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73"/>
          <w:szCs w:val="73"/>
          <w:b w:val="1"/>
          <w:bCs w:val="1"/>
          <w:color w:val="FFFFFF"/>
        </w:rPr>
        <w:t>2025</w:t>
      </w:r>
    </w:p>
    <w:p>
      <w:pPr>
        <w:spacing w:after="0"/>
        <w:rPr>
          <w:sz w:val="20"/>
          <w:szCs w:val="20"/>
          <w:color w:val="auto"/>
        </w:rPr>
      </w:pPr>
      <w:r>
        <w:rPr>
          <w:rFonts w:ascii="Arial" w:cs="Arial" w:eastAsia="Arial" w:hAnsi="Arial"/>
          <w:sz w:val="61"/>
          <w:szCs w:val="61"/>
          <w:color w:val="FFFFFF"/>
        </w:rPr>
        <w:t>Annual Report</w:t>
      </w:r>
    </w:p>
    <w:p>
      <w:pPr>
        <w:sectPr>
          <w:pgSz w:w="11880" w:h="15480" w:orient="portrait"/>
          <w:cols w:equalWidth="0" w:num="1">
            <w:col w:w="9540"/>
          </w:cols>
          <w:pgMar w:left="90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669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60"/>
        <w:spacing w:after="0"/>
        <w:rPr>
          <w:sz w:val="20"/>
          <w:szCs w:val="20"/>
          <w:color w:val="auto"/>
        </w:rPr>
      </w:pPr>
      <w:r>
        <w:rPr>
          <w:rFonts w:ascii="Arial" w:cs="Arial" w:eastAsia="Arial" w:hAnsi="Arial"/>
          <w:sz w:val="48"/>
          <w:szCs w:val="48"/>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3" w:name="page4"/>
    <w:bookmarkEnd w:id="3"/>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329565</wp:posOffset>
            </wp:positionV>
            <wp:extent cx="2311400"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1400" cy="63309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
        <w:spacing w:after="0"/>
        <w:rPr>
          <w:sz w:val="20"/>
          <w:szCs w:val="20"/>
          <w:color w:val="auto"/>
        </w:rPr>
      </w:pPr>
      <w:r>
        <w:rPr>
          <w:rFonts w:ascii="Arial" w:cs="Arial" w:eastAsia="Arial" w:hAnsi="Arial"/>
          <w:sz w:val="34"/>
          <w:szCs w:val="34"/>
          <w:color w:val="0C3D25"/>
        </w:rPr>
        <w:t>NOTICE OF ANNUAL MEETING OF STOCKHOLDERS</w:t>
      </w:r>
    </w:p>
    <w:p>
      <w:pPr>
        <w:sectPr>
          <w:pgSz w:w="11880" w:h="15480" w:orient="portrait"/>
          <w:cols w:equalWidth="0" w:num="1">
            <w:col w:w="10062"/>
          </w:cols>
          <w:pgMar w:left="898" w:top="1440" w:right="920" w:bottom="1440" w:gutter="0" w:footer="0" w:header="0"/>
        </w:sectPr>
      </w:pPr>
    </w:p>
    <w:p>
      <w:pPr>
        <w:spacing w:after="0" w:line="390"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C3D25"/>
        </w:rPr>
        <w:t>Date and Time: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Tuesday, May 12, 2026 at 11:00 a.m. Central Time</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C3D25"/>
        </w:rPr>
        <w:t>Place: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Waste Management, Inc.</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auto"/>
        </w:rPr>
        <w:t>800 Capitol Street, Suite 3000</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auto"/>
        </w:rPr>
        <w:t>Houston, Texas 77002</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C3D25"/>
        </w:rPr>
        <w:t>Record Date: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March 17, 2026</w:t>
      </w:r>
    </w:p>
    <w:p>
      <w:pPr>
        <w:spacing w:after="0" w:line="228" w:lineRule="exact"/>
        <w:rPr>
          <w:sz w:val="20"/>
          <w:szCs w:val="20"/>
          <w:color w:val="auto"/>
        </w:rPr>
      </w:pPr>
    </w:p>
    <w:p>
      <w:pPr>
        <w:ind w:left="2" w:right="20"/>
        <w:spacing w:after="0" w:line="249" w:lineRule="auto"/>
        <w:rPr>
          <w:sz w:val="20"/>
          <w:szCs w:val="20"/>
          <w:color w:val="auto"/>
        </w:rPr>
      </w:pPr>
      <w:r>
        <w:rPr>
          <w:rFonts w:ascii="Arial" w:cs="Arial" w:eastAsia="Arial" w:hAnsi="Arial"/>
          <w:sz w:val="22"/>
          <w:szCs w:val="22"/>
          <w:b w:val="1"/>
          <w:bCs w:val="1"/>
          <w:color w:val="0C3D25"/>
        </w:rPr>
        <w:t>Agenda for the Annual Meeting (or any adjournment or postponement thereof):</w:t>
      </w:r>
    </w:p>
    <w:p>
      <w:pPr>
        <w:spacing w:after="0" w:line="135" w:lineRule="exact"/>
        <w:rPr>
          <w:sz w:val="20"/>
          <w:szCs w:val="20"/>
          <w:color w:val="auto"/>
        </w:rPr>
      </w:pPr>
    </w:p>
    <w:p>
      <w:pPr>
        <w:ind w:left="202" w:right="20" w:hanging="202"/>
        <w:spacing w:after="0" w:line="249" w:lineRule="auto"/>
        <w:tabs>
          <w:tab w:leader="none" w:pos="202" w:val="left"/>
        </w:tabs>
        <w:numPr>
          <w:ilvl w:val="0"/>
          <w:numId w:val="1"/>
        </w:numPr>
        <w:rPr>
          <w:rFonts w:ascii="Arial" w:cs="Arial" w:eastAsia="Arial" w:hAnsi="Arial"/>
          <w:sz w:val="20"/>
          <w:szCs w:val="20"/>
          <w:color w:val="0C3D25"/>
        </w:rPr>
      </w:pPr>
      <w:r>
        <w:rPr>
          <w:rFonts w:ascii="Arial" w:cs="Arial" w:eastAsia="Arial" w:hAnsi="Arial"/>
          <w:sz w:val="20"/>
          <w:szCs w:val="20"/>
          <w:color w:val="auto"/>
        </w:rPr>
        <w:t>To elect the nine nominees named in the attached proxy statement to our Board of Directors;</w:t>
      </w:r>
    </w:p>
    <w:p>
      <w:pPr>
        <w:spacing w:after="0" w:line="121" w:lineRule="exact"/>
        <w:rPr>
          <w:rFonts w:ascii="Arial" w:cs="Arial" w:eastAsia="Arial" w:hAnsi="Arial"/>
          <w:sz w:val="20"/>
          <w:szCs w:val="20"/>
          <w:color w:val="0C3D25"/>
        </w:rPr>
      </w:pPr>
    </w:p>
    <w:p>
      <w:pPr>
        <w:jc w:val="both"/>
        <w:ind w:left="202" w:hanging="202"/>
        <w:spacing w:after="0" w:line="249" w:lineRule="auto"/>
        <w:tabs>
          <w:tab w:leader="none" w:pos="202" w:val="left"/>
        </w:tabs>
        <w:numPr>
          <w:ilvl w:val="0"/>
          <w:numId w:val="1"/>
        </w:numPr>
        <w:rPr>
          <w:rFonts w:ascii="Arial" w:cs="Arial" w:eastAsia="Arial" w:hAnsi="Arial"/>
          <w:sz w:val="20"/>
          <w:szCs w:val="20"/>
          <w:color w:val="0C3D25"/>
        </w:rPr>
      </w:pPr>
      <w:r>
        <w:rPr>
          <w:rFonts w:ascii="Arial" w:cs="Arial" w:eastAsia="Arial" w:hAnsi="Arial"/>
          <w:sz w:val="20"/>
          <w:szCs w:val="20"/>
          <w:color w:val="auto"/>
        </w:rPr>
        <w:t>To vote on a proposal to ratify the appointment of Ernst &amp; Young LLP as our independent registered public accounting firm for the fiscal year ending December 31, 2026;</w:t>
      </w:r>
    </w:p>
    <w:p>
      <w:pPr>
        <w:spacing w:after="0" w:line="123" w:lineRule="exact"/>
        <w:rPr>
          <w:rFonts w:ascii="Arial" w:cs="Arial" w:eastAsia="Arial" w:hAnsi="Arial"/>
          <w:sz w:val="20"/>
          <w:szCs w:val="20"/>
          <w:color w:val="0C3D25"/>
        </w:rPr>
      </w:pPr>
    </w:p>
    <w:p>
      <w:pPr>
        <w:ind w:left="202" w:right="20" w:hanging="202"/>
        <w:spacing w:after="0" w:line="249" w:lineRule="auto"/>
        <w:tabs>
          <w:tab w:leader="none" w:pos="202" w:val="left"/>
        </w:tabs>
        <w:numPr>
          <w:ilvl w:val="0"/>
          <w:numId w:val="1"/>
        </w:numPr>
        <w:rPr>
          <w:rFonts w:ascii="Arial" w:cs="Arial" w:eastAsia="Arial" w:hAnsi="Arial"/>
          <w:sz w:val="20"/>
          <w:szCs w:val="20"/>
          <w:color w:val="0C3D25"/>
        </w:rPr>
      </w:pPr>
      <w:r>
        <w:rPr>
          <w:rFonts w:ascii="Arial" w:cs="Arial" w:eastAsia="Arial" w:hAnsi="Arial"/>
          <w:sz w:val="20"/>
          <w:szCs w:val="20"/>
          <w:color w:val="auto"/>
        </w:rPr>
        <w:t>To vote on a non-binding, advisory proposal to approve our executive compensation;</w:t>
      </w:r>
    </w:p>
    <w:p>
      <w:pPr>
        <w:spacing w:after="0" w:line="121" w:lineRule="exact"/>
        <w:rPr>
          <w:rFonts w:ascii="Arial" w:cs="Arial" w:eastAsia="Arial" w:hAnsi="Arial"/>
          <w:sz w:val="20"/>
          <w:szCs w:val="20"/>
          <w:color w:val="0C3D25"/>
        </w:rPr>
      </w:pPr>
    </w:p>
    <w:p>
      <w:pPr>
        <w:jc w:val="both"/>
        <w:ind w:left="202" w:right="20" w:hanging="202"/>
        <w:spacing w:after="0" w:line="290" w:lineRule="auto"/>
        <w:tabs>
          <w:tab w:leader="none" w:pos="202" w:val="left"/>
        </w:tabs>
        <w:numPr>
          <w:ilvl w:val="0"/>
          <w:numId w:val="1"/>
        </w:numPr>
        <w:rPr>
          <w:rFonts w:ascii="Arial" w:cs="Arial" w:eastAsia="Arial" w:hAnsi="Arial"/>
          <w:sz w:val="18"/>
          <w:szCs w:val="18"/>
          <w:color w:val="0C3D25"/>
        </w:rPr>
      </w:pPr>
      <w:r>
        <w:rPr>
          <w:rFonts w:ascii="Arial" w:cs="Arial" w:eastAsia="Arial" w:hAnsi="Arial"/>
          <w:sz w:val="18"/>
          <w:szCs w:val="18"/>
          <w:color w:val="auto"/>
        </w:rPr>
        <w:t>To vote on a proposal to amend and restate our Employee Stock Purchase Plan (the “ESPP”) to increase the number of shares authorized for issuance; and</w:t>
      </w:r>
    </w:p>
    <w:p>
      <w:pPr>
        <w:spacing w:after="0" w:line="87" w:lineRule="exact"/>
        <w:rPr>
          <w:rFonts w:ascii="Arial" w:cs="Arial" w:eastAsia="Arial" w:hAnsi="Arial"/>
          <w:sz w:val="18"/>
          <w:szCs w:val="18"/>
          <w:color w:val="0C3D25"/>
        </w:rPr>
      </w:pPr>
    </w:p>
    <w:p>
      <w:pPr>
        <w:ind w:left="202" w:right="20" w:hanging="202"/>
        <w:spacing w:after="0" w:line="249" w:lineRule="auto"/>
        <w:tabs>
          <w:tab w:leader="none" w:pos="202" w:val="left"/>
        </w:tabs>
        <w:numPr>
          <w:ilvl w:val="0"/>
          <w:numId w:val="1"/>
        </w:numPr>
        <w:rPr>
          <w:rFonts w:ascii="Arial" w:cs="Arial" w:eastAsia="Arial" w:hAnsi="Arial"/>
          <w:sz w:val="20"/>
          <w:szCs w:val="20"/>
          <w:color w:val="0C3D25"/>
        </w:rPr>
      </w:pPr>
      <w:r>
        <w:rPr>
          <w:rFonts w:ascii="Arial" w:cs="Arial" w:eastAsia="Arial" w:hAnsi="Arial"/>
          <w:sz w:val="20"/>
          <w:szCs w:val="20"/>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left="280" w:right="140"/>
        <w:spacing w:after="0" w:line="250" w:lineRule="auto"/>
        <w:rPr>
          <w:sz w:val="20"/>
          <w:szCs w:val="20"/>
          <w:color w:val="auto"/>
        </w:rPr>
      </w:pPr>
      <w:r>
        <w:rPr>
          <w:rFonts w:ascii="Arial" w:cs="Arial" w:eastAsia="Arial" w:hAnsi="Arial"/>
          <w:sz w:val="20"/>
          <w:szCs w:val="20"/>
          <w:b w:val="1"/>
          <w:bCs w:val="1"/>
          <w:color w:val="0C3D25"/>
        </w:rPr>
        <w:t>IMPORTANT NOTICE REGARDING THE AVAILABILITY OF PROXY MATERIALS FOR THE STOCKHOLDER MEETING TO BE HELD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-668655</wp:posOffset>
            </wp:positionV>
            <wp:extent cx="3117215" cy="501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7215" cy="5018405"/>
                    </a:xfrm>
                    <a:prstGeom prst="rect">
                      <a:avLst/>
                    </a:prstGeom>
                    <a:noFill/>
                  </pic:spPr>
                </pic:pic>
              </a:graphicData>
            </a:graphic>
          </wp:anchor>
        </w:drawing>
      </w:r>
    </w:p>
    <w:p>
      <w:pPr>
        <w:spacing w:after="0" w:line="40"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b w:val="1"/>
          <w:bCs w:val="1"/>
          <w:color w:val="auto"/>
        </w:rPr>
        <w:t>This Notice of Annual Meeting and Proxy Statement and the Company’s Annual Report on Form 10-K for the year ended December 31, 2025 are available at investors.wm.com.</w:t>
      </w:r>
    </w:p>
    <w:p>
      <w:pPr>
        <w:spacing w:after="0" w:line="62" w:lineRule="exact"/>
        <w:rPr>
          <w:sz w:val="20"/>
          <w:szCs w:val="20"/>
          <w:color w:val="auto"/>
        </w:rPr>
      </w:pPr>
    </w:p>
    <w:p>
      <w:pPr>
        <w:jc w:val="both"/>
        <w:ind w:left="1080" w:right="140"/>
        <w:spacing w:after="0" w:line="286" w:lineRule="auto"/>
        <w:rPr>
          <w:sz w:val="20"/>
          <w:szCs w:val="20"/>
          <w:color w:val="auto"/>
        </w:rPr>
      </w:pPr>
      <w:r>
        <w:rPr>
          <w:rFonts w:ascii="Arial" w:cs="Arial" w:eastAsia="Arial" w:hAnsi="Arial"/>
          <w:sz w:val="18"/>
          <w:szCs w:val="18"/>
          <w:color w:val="auto"/>
        </w:rPr>
        <w:t>You may submit your proxy via the Internet by following the instructions provided in the Notice or, if you received printed copies of the proxy materials, on your proxy card.</w:t>
      </w:r>
    </w:p>
    <w:p>
      <w:pPr>
        <w:spacing w:after="0" w:line="31" w:lineRule="exact"/>
        <w:rPr>
          <w:sz w:val="20"/>
          <w:szCs w:val="20"/>
          <w:color w:val="auto"/>
        </w:rPr>
      </w:pPr>
    </w:p>
    <w:p>
      <w:pPr>
        <w:jc w:val="both"/>
        <w:ind w:left="1080" w:right="140"/>
        <w:spacing w:after="0" w:line="281" w:lineRule="auto"/>
        <w:rPr>
          <w:sz w:val="20"/>
          <w:szCs w:val="20"/>
          <w:color w:val="auto"/>
        </w:rPr>
      </w:pPr>
      <w:r>
        <w:rPr>
          <w:rFonts w:ascii="Arial" w:cs="Arial" w:eastAsia="Arial" w:hAnsi="Arial"/>
          <w:sz w:val="18"/>
          <w:szCs w:val="18"/>
          <w:color w:val="auto"/>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11, 2026.</w:t>
      </w:r>
    </w:p>
    <w:p>
      <w:pPr>
        <w:spacing w:after="0" w:line="37" w:lineRule="exact"/>
        <w:rPr>
          <w:sz w:val="20"/>
          <w:szCs w:val="20"/>
          <w:color w:val="auto"/>
        </w:rPr>
      </w:pPr>
    </w:p>
    <w:p>
      <w:pPr>
        <w:jc w:val="both"/>
        <w:ind w:left="1080" w:right="140"/>
        <w:spacing w:after="0" w:line="249" w:lineRule="auto"/>
        <w:rPr>
          <w:sz w:val="20"/>
          <w:szCs w:val="20"/>
          <w:color w:val="auto"/>
        </w:rPr>
      </w:pPr>
      <w:r>
        <w:rPr>
          <w:rFonts w:ascii="Arial" w:cs="Arial" w:eastAsia="Arial" w:hAnsi="Arial"/>
          <w:sz w:val="20"/>
          <w:szCs w:val="20"/>
          <w:color w:val="auto"/>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66" w:lineRule="exact"/>
        <w:rPr>
          <w:sz w:val="20"/>
          <w:szCs w:val="20"/>
          <w:color w:val="auto"/>
        </w:rPr>
      </w:pPr>
    </w:p>
    <w:p>
      <w:pPr>
        <w:jc w:val="both"/>
        <w:ind w:right="140"/>
        <w:spacing w:after="0" w:line="286" w:lineRule="auto"/>
        <w:rPr>
          <w:sz w:val="20"/>
          <w:szCs w:val="20"/>
          <w:color w:val="auto"/>
        </w:rPr>
      </w:pPr>
      <w:r>
        <w:rPr>
          <w:rFonts w:ascii="Arial" w:cs="Arial" w:eastAsia="Arial" w:hAnsi="Arial"/>
          <w:sz w:val="18"/>
          <w:szCs w:val="18"/>
          <w:color w:val="auto"/>
        </w:rPr>
        <w:t>If your shares of Common Stock are held in street name, you will receive instructions from your broker, bank or nominee that you must follow in order to have your shares of Common Stock voted at the Annual Meeting.</w:t>
      </w:r>
    </w:p>
    <w:p>
      <w:pPr>
        <w:spacing w:after="0" w:line="200" w:lineRule="exact"/>
        <w:rPr>
          <w:sz w:val="20"/>
          <w:szCs w:val="20"/>
          <w:color w:val="auto"/>
        </w:rPr>
      </w:pPr>
    </w:p>
    <w:p>
      <w:pPr>
        <w:sectPr>
          <w:pgSz w:w="11880" w:h="15480" w:orient="portrait"/>
          <w:cols w:equalWidth="0" w:num="2">
            <w:col w:w="4922" w:space="360"/>
            <w:col w:w="4780"/>
          </w:cols>
          <w:pgMar w:left="898" w:top="1440" w:right="920" w:bottom="1440" w:gutter="0" w:footer="0" w:header="0"/>
          <w:type w:val="continuous"/>
        </w:sectPr>
      </w:pPr>
    </w:p>
    <w:p>
      <w:pPr>
        <w:spacing w:after="0" w:line="148" w:lineRule="exact"/>
        <w:rPr>
          <w:sz w:val="20"/>
          <w:szCs w:val="20"/>
          <w:color w:val="auto"/>
        </w:rPr>
      </w:pPr>
    </w:p>
    <w:p>
      <w:pPr>
        <w:ind w:left="2"/>
        <w:spacing w:after="0" w:line="251" w:lineRule="auto"/>
        <w:rPr>
          <w:sz w:val="20"/>
          <w:szCs w:val="20"/>
          <w:color w:val="auto"/>
        </w:rPr>
      </w:pPr>
      <w:r>
        <w:rPr>
          <w:rFonts w:ascii="Arial" w:cs="Arial" w:eastAsia="Arial" w:hAnsi="Arial"/>
          <w:sz w:val="20"/>
          <w:szCs w:val="20"/>
          <w:color w:val="auto"/>
        </w:rPr>
        <w:t xml:space="preserve">Your vote is important. </w:t>
      </w:r>
      <w:r>
        <w:rPr>
          <w:rFonts w:ascii="Arial" w:cs="Arial" w:eastAsia="Arial" w:hAnsi="Arial"/>
          <w:sz w:val="20"/>
          <w:szCs w:val="20"/>
          <w:b w:val="1"/>
          <w:bCs w:val="1"/>
          <w:color w:val="auto"/>
        </w:rPr>
        <w:t>We urge all stockholders to vote and submit their proxies as soon as possible using one of the</w:t>
      </w:r>
      <w:r>
        <w:rPr>
          <w:rFonts w:ascii="Arial" w:cs="Arial" w:eastAsia="Arial" w:hAnsi="Arial"/>
          <w:sz w:val="20"/>
          <w:szCs w:val="20"/>
          <w:color w:val="auto"/>
        </w:rPr>
        <w:t xml:space="preserve"> </w:t>
      </w:r>
      <w:r>
        <w:rPr>
          <w:rFonts w:ascii="Arial" w:cs="Arial" w:eastAsia="Arial" w:hAnsi="Arial"/>
          <w:sz w:val="20"/>
          <w:szCs w:val="20"/>
          <w:b w:val="1"/>
          <w:bCs w:val="1"/>
          <w:color w:val="auto"/>
        </w:rPr>
        <w:t>methods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103505</wp:posOffset>
            </wp:positionV>
            <wp:extent cx="1180465" cy="404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0465" cy="404495"/>
                    </a:xfrm>
                    <a:prstGeom prst="rect">
                      <a:avLst/>
                    </a:prstGeom>
                    <a:noFill/>
                  </pic:spPr>
                </pic:pic>
              </a:graphicData>
            </a:graphic>
          </wp:anchor>
        </w:drawing>
      </w:r>
    </w:p>
    <w:p>
      <w:pPr>
        <w:sectPr>
          <w:pgSz w:w="11880" w:h="15480" w:orient="portrait"/>
          <w:cols w:equalWidth="0" w:num="1">
            <w:col w:w="10062"/>
          </w:cols>
          <w:pgMar w:left="898" w:top="1440" w:right="9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 w:right="280"/>
        <w:spacing w:after="0" w:line="303"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auto"/>
        </w:rPr>
        <w:t xml:space="preserve">Enroll in Electronic Delivery Today. </w:t>
      </w:r>
      <w:r>
        <w:rPr>
          <w:rFonts w:ascii="Arial" w:cs="Arial" w:eastAsia="Arial" w:hAnsi="Arial"/>
          <w:sz w:val="20"/>
          <w:szCs w:val="20"/>
          <w:color w:val="auto"/>
        </w:rPr>
        <w:t>Help us save paper, time and money! If your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are held in street name through a bank or broker, visit www.proxyvote.com or follow the instructions on the Notice, proxy card or voting instructions. All stockholders may enroll at enroll.icsdelivery.com/wmi.</w:t>
      </w:r>
    </w:p>
    <w:p>
      <w:pPr>
        <w:spacing w:after="0" w:line="261" w:lineRule="exact"/>
        <w:rPr>
          <w:sz w:val="20"/>
          <w:szCs w:val="20"/>
          <w:color w:val="auto"/>
        </w:rPr>
      </w:pPr>
    </w:p>
    <w:p>
      <w:pPr>
        <w:sectPr>
          <w:pgSz w:w="11880" w:h="15480" w:orient="portrait"/>
          <w:cols w:equalWidth="0" w:num="2">
            <w:col w:w="1982" w:space="720"/>
            <w:col w:w="7360"/>
          </w:cols>
          <w:pgMar w:left="898" w:top="1440" w:right="920" w:bottom="1440" w:gutter="0" w:footer="0" w:header="0"/>
          <w:type w:val="continuous"/>
        </w:sectPr>
      </w:pPr>
    </w:p>
    <w:p>
      <w:pPr>
        <w:ind w:left="62"/>
        <w:spacing w:after="0"/>
        <w:rPr>
          <w:sz w:val="20"/>
          <w:szCs w:val="20"/>
          <w:color w:val="auto"/>
        </w:rPr>
      </w:pPr>
      <w:r>
        <w:rPr>
          <w:rFonts w:ascii="Arial" w:cs="Arial" w:eastAsia="Arial" w:hAnsi="Arial"/>
          <w:sz w:val="18"/>
          <w:szCs w:val="18"/>
          <w:color w:val="auto"/>
        </w:rPr>
        <w:t>March 31, 2026</w:t>
      </w:r>
    </w:p>
    <w:p>
      <w:pPr>
        <w:sectPr>
          <w:pgSz w:w="11880" w:h="15480" w:orient="portrait"/>
          <w:cols w:equalWidth="0" w:num="1">
            <w:col w:w="10062"/>
          </w:cols>
          <w:pgMar w:left="898" w:top="1440" w:right="920"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color w:val="0C3D25"/>
        </w:rPr>
        <w:t>PROXY 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color w:val="0C3D25"/>
        </w:rPr>
        <w:t>TABLE OF CONTENTS</w:t>
      </w: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2816225</wp:posOffset>
                </wp:positionH>
                <wp:positionV relativeFrom="paragraph">
                  <wp:posOffset>37465</wp:posOffset>
                </wp:positionV>
                <wp:extent cx="2235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75pt,2.95pt" to="239.35pt,2.95pt" o:allowincell="f" strokecolor="#000000" strokeweight="0.499pt"/>
            </w:pict>
          </mc:Fallback>
        </mc:AlternateContent>
      </w:r>
    </w:p>
    <w:p>
      <w:pPr>
        <w:spacing w:after="0" w:line="70"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C3D25"/>
        </w:rPr>
        <w:t xml:space="preserve">GENERAL INFORMATION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1</w:t>
      </w:r>
    </w:p>
    <w:p>
      <w:pPr>
        <w:spacing w:after="0" w:line="49"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C3D25"/>
        </w:rPr>
        <w:t xml:space="preserve">BOARD OF DIRECTORS  </w:t>
      </w:r>
      <w:r>
        <w:rPr>
          <w:rFonts w:ascii="Arial" w:cs="Arial" w:eastAsia="Arial" w:hAnsi="Arial"/>
          <w:sz w:val="20"/>
          <w:szCs w:val="20"/>
          <w:color w:val="000000"/>
        </w:rPr>
        <w:t>. . . . . . . . . . . . . . . . . .</w:t>
      </w:r>
      <w:r>
        <w:rPr>
          <w:sz w:val="20"/>
          <w:szCs w:val="20"/>
          <w:color w:val="auto"/>
        </w:rPr>
        <w:tab/>
      </w:r>
      <w:r>
        <w:rPr>
          <w:rFonts w:ascii="Arial" w:cs="Arial" w:eastAsia="Arial" w:hAnsi="Arial"/>
          <w:sz w:val="17"/>
          <w:szCs w:val="17"/>
          <w:color w:val="auto"/>
        </w:rPr>
        <w:t>4</w:t>
      </w:r>
    </w:p>
    <w:p>
      <w:pPr>
        <w:spacing w:after="0" w:line="51" w:lineRule="exact"/>
        <w:rPr>
          <w:sz w:val="20"/>
          <w:szCs w:val="20"/>
          <w:color w:val="auto"/>
        </w:rPr>
      </w:pPr>
    </w:p>
    <w:p>
      <w:pPr>
        <w:ind w:left="200"/>
        <w:spacing w:after="0"/>
        <w:tabs>
          <w:tab w:leader="none" w:pos="2220" w:val="left"/>
          <w:tab w:leader="none" w:pos="4660" w:val="left"/>
        </w:tabs>
        <w:rPr>
          <w:sz w:val="20"/>
          <w:szCs w:val="20"/>
          <w:color w:val="auto"/>
        </w:rPr>
      </w:pPr>
      <w:r>
        <w:rPr>
          <w:rFonts w:ascii="Arial" w:cs="Arial" w:eastAsia="Arial" w:hAnsi="Arial"/>
          <w:sz w:val="20"/>
          <w:szCs w:val="20"/>
          <w:color w:val="auto"/>
        </w:rPr>
        <w:t>Nominees for Director</w:t>
        <w:tab/>
        <w:t>.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Leadership Structure . .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Independence of Board Members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Meetings and Board Committees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Role in Risk Oversight . . . . . . . .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Oversight of Sustainability Risk and</w:t>
      </w:r>
    </w:p>
    <w:p>
      <w:pPr>
        <w:spacing w:after="0" w:line="9" w:lineRule="exact"/>
        <w:rPr>
          <w:sz w:val="20"/>
          <w:szCs w:val="20"/>
          <w:color w:val="auto"/>
        </w:rPr>
      </w:pPr>
    </w:p>
    <w:p>
      <w:pPr>
        <w:ind w:left="400"/>
        <w:spacing w:after="0"/>
        <w:tabs>
          <w:tab w:leader="none" w:pos="4660" w:val="left"/>
        </w:tabs>
        <w:rPr>
          <w:sz w:val="20"/>
          <w:szCs w:val="20"/>
          <w:color w:val="auto"/>
        </w:rPr>
      </w:pPr>
      <w:r>
        <w:rPr>
          <w:rFonts w:ascii="Arial" w:cs="Arial" w:eastAsia="Arial" w:hAnsi="Arial"/>
          <w:sz w:val="20"/>
          <w:szCs w:val="20"/>
          <w:color w:val="auto"/>
        </w:rPr>
        <w:t>Performance  . . . . . . . . . . . . . . . . . . . . . .</w:t>
      </w:r>
      <w:r>
        <w:rPr>
          <w:sz w:val="20"/>
          <w:szCs w:val="20"/>
          <w:color w:val="auto"/>
        </w:rPr>
        <w:tab/>
      </w:r>
      <w:r>
        <w:rPr>
          <w:rFonts w:ascii="Arial" w:cs="Arial" w:eastAsia="Arial" w:hAnsi="Arial"/>
          <w:sz w:val="17"/>
          <w:szCs w:val="17"/>
          <w:color w:val="auto"/>
        </w:rPr>
        <w:t>6</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Audit Committee  . . . . . . . . . . . . . . . . . . . . .</w:t>
      </w:r>
      <w:r>
        <w:rPr>
          <w:sz w:val="20"/>
          <w:szCs w:val="20"/>
          <w:color w:val="auto"/>
        </w:rPr>
        <w:tab/>
      </w:r>
      <w:r>
        <w:rPr>
          <w:rFonts w:ascii="Arial" w:cs="Arial" w:eastAsia="Arial" w:hAnsi="Arial"/>
          <w:sz w:val="17"/>
          <w:szCs w:val="17"/>
          <w:color w:val="auto"/>
        </w:rPr>
        <w:t>8</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Audit Committee Report  . . . . . . . . . . . . . . . .</w:t>
      </w:r>
      <w:r>
        <w:rPr>
          <w:sz w:val="20"/>
          <w:szCs w:val="20"/>
          <w:color w:val="auto"/>
        </w:rPr>
        <w:tab/>
      </w:r>
      <w:r>
        <w:rPr>
          <w:rFonts w:ascii="Arial" w:cs="Arial" w:eastAsia="Arial" w:hAnsi="Arial"/>
          <w:sz w:val="17"/>
          <w:szCs w:val="17"/>
          <w:color w:val="auto"/>
        </w:rPr>
        <w:t>9</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Management Development and Compensation</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Committee . . . . . . . . . . . . . . . . . . . . . . . .</w:t>
      </w:r>
      <w:r>
        <w:rPr>
          <w:sz w:val="20"/>
          <w:szCs w:val="20"/>
          <w:color w:val="auto"/>
        </w:rPr>
        <w:tab/>
      </w:r>
      <w:r>
        <w:rPr>
          <w:rFonts w:ascii="Arial" w:cs="Arial" w:eastAsia="Arial" w:hAnsi="Arial"/>
          <w:sz w:val="17"/>
          <w:szCs w:val="17"/>
          <w:color w:val="auto"/>
        </w:rPr>
        <w:t>10</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Compensation Committee Report . . . . . . . . . .</w:t>
      </w:r>
      <w:r>
        <w:rPr>
          <w:sz w:val="20"/>
          <w:szCs w:val="20"/>
          <w:color w:val="auto"/>
        </w:rPr>
        <w:tab/>
      </w:r>
      <w:r>
        <w:rPr>
          <w:rFonts w:ascii="Arial" w:cs="Arial" w:eastAsia="Arial" w:hAnsi="Arial"/>
          <w:sz w:val="17"/>
          <w:szCs w:val="17"/>
          <w:color w:val="auto"/>
        </w:rPr>
        <w:t>10</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Compensation Committee Interlocks and</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Insider Participation  . . . . . . . . . . . .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Nominating and Governance Committee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Related Party Transactions . . . . . . . . . . . . . .</w:t>
      </w:r>
      <w:r>
        <w:rPr>
          <w:sz w:val="20"/>
          <w:szCs w:val="20"/>
          <w:color w:val="auto"/>
        </w:rPr>
        <w:tab/>
      </w:r>
      <w:r>
        <w:rPr>
          <w:rFonts w:ascii="Arial" w:cs="Arial" w:eastAsia="Arial" w:hAnsi="Arial"/>
          <w:sz w:val="17"/>
          <w:szCs w:val="17"/>
          <w:color w:val="auto"/>
        </w:rPr>
        <w:t>12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Board of Directors Governing Documents . . . .</w:t>
      </w:r>
      <w:r>
        <w:rPr>
          <w:sz w:val="20"/>
          <w:szCs w:val="20"/>
          <w:color w:val="auto"/>
        </w:rPr>
        <w:tab/>
      </w:r>
      <w:r>
        <w:rPr>
          <w:rFonts w:ascii="Arial" w:cs="Arial" w:eastAsia="Arial" w:hAnsi="Arial"/>
          <w:sz w:val="17"/>
          <w:szCs w:val="17"/>
          <w:color w:val="auto"/>
        </w:rPr>
        <w:t>13</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Non-Employee Director Compensation . . . . . .</w:t>
      </w:r>
      <w:r>
        <w:rPr>
          <w:sz w:val="20"/>
          <w:szCs w:val="20"/>
          <w:color w:val="auto"/>
        </w:rPr>
        <w:tab/>
      </w:r>
      <w:r>
        <w:rPr>
          <w:rFonts w:ascii="Arial" w:cs="Arial" w:eastAsia="Arial" w:hAnsi="Arial"/>
          <w:sz w:val="17"/>
          <w:szCs w:val="17"/>
          <w:color w:val="auto"/>
        </w:rPr>
        <w:t>13</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ELECTION OF DIRECTORS (Item 1 on the Proxy</w:t>
      </w:r>
    </w:p>
    <w:p>
      <w:pPr>
        <w:spacing w:after="0" w:line="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C3D25"/>
        </w:rPr>
        <w:t xml:space="preserve">Card) </w:t>
      </w:r>
      <w:r>
        <w:rPr>
          <w:rFonts w:ascii="Arial" w:cs="Arial" w:eastAsia="Arial" w:hAnsi="Arial"/>
          <w:sz w:val="20"/>
          <w:szCs w:val="20"/>
          <w:color w:val="000000"/>
        </w:rPr>
        <w:t>. . . . . . . . . . . . . . . . . . . . . . . . . . . . .</w:t>
      </w:r>
      <w:r>
        <w:rPr>
          <w:sz w:val="20"/>
          <w:szCs w:val="20"/>
          <w:color w:val="auto"/>
        </w:rPr>
        <w:tab/>
      </w:r>
      <w:r>
        <w:rPr>
          <w:rFonts w:ascii="Arial" w:cs="Arial" w:eastAsia="Arial" w:hAnsi="Arial"/>
          <w:sz w:val="17"/>
          <w:szCs w:val="17"/>
          <w:color w:val="auto"/>
        </w:rPr>
        <w:t>16</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C3D25"/>
        </w:rPr>
        <w:t xml:space="preserve">DIRECTOR AND OFFICER STOCK OWNERSHIP </w:t>
      </w:r>
      <w:r>
        <w:rPr>
          <w:rFonts w:ascii="Arial" w:cs="Arial" w:eastAsia="Arial" w:hAnsi="Arial"/>
          <w:sz w:val="20"/>
          <w:szCs w:val="20"/>
          <w:color w:val="000000"/>
        </w:rPr>
        <w:t>. .</w:t>
      </w:r>
      <w:r>
        <w:rPr>
          <w:sz w:val="20"/>
          <w:szCs w:val="20"/>
          <w:color w:val="auto"/>
        </w:rPr>
        <w:tab/>
      </w:r>
      <w:r>
        <w:rPr>
          <w:rFonts w:ascii="Arial" w:cs="Arial" w:eastAsia="Arial" w:hAnsi="Arial"/>
          <w:sz w:val="17"/>
          <w:szCs w:val="17"/>
          <w:color w:val="auto"/>
        </w:rPr>
        <w:t>28</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SECURITY OWNERSHIP OF CERTAIN</w:t>
      </w:r>
    </w:p>
    <w:p>
      <w:pPr>
        <w:spacing w:after="0" w:line="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C3D25"/>
        </w:rPr>
        <w:t xml:space="preserve">BENEFICIAL OWNERS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29</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C3D25"/>
        </w:rPr>
        <w:t xml:space="preserve">EXECUTIVE OFFICERS </w:t>
      </w:r>
      <w:r>
        <w:rPr>
          <w:rFonts w:ascii="Arial" w:cs="Arial" w:eastAsia="Arial" w:hAnsi="Arial"/>
          <w:sz w:val="20"/>
          <w:szCs w:val="20"/>
          <w:color w:val="000000"/>
        </w:rPr>
        <w:t>. . . . . . . . . . . . . . . . . . .</w:t>
      </w:r>
      <w:r>
        <w:rPr>
          <w:sz w:val="20"/>
          <w:szCs w:val="20"/>
          <w:color w:val="auto"/>
        </w:rPr>
        <w:tab/>
      </w:r>
      <w:r>
        <w:rPr>
          <w:rFonts w:ascii="Arial" w:cs="Arial" w:eastAsia="Arial" w:hAnsi="Arial"/>
          <w:sz w:val="17"/>
          <w:szCs w:val="17"/>
          <w:color w:val="auto"/>
        </w:rPr>
        <w:t>30</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C3D25"/>
        </w:rPr>
        <w:t xml:space="preserve">EXECUTIVE COMPENSATION  </w:t>
      </w:r>
      <w:r>
        <w:rPr>
          <w:rFonts w:ascii="Arial" w:cs="Arial" w:eastAsia="Arial" w:hAnsi="Arial"/>
          <w:sz w:val="20"/>
          <w:szCs w:val="20"/>
          <w:color w:val="000000"/>
        </w:rPr>
        <w:t>.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C3D25"/>
        </w:rPr>
        <w:t xml:space="preserve">Compensation Discussion and Analysis  </w:t>
      </w:r>
      <w:r>
        <w:rPr>
          <w:rFonts w:ascii="Arial" w:cs="Arial" w:eastAsia="Arial" w:hAnsi="Arial"/>
          <w:sz w:val="20"/>
          <w:szCs w:val="20"/>
          <w:color w:val="000000"/>
        </w:rPr>
        <w:t>. . . .</w:t>
      </w:r>
      <w:r>
        <w:rPr>
          <w:sz w:val="20"/>
          <w:szCs w:val="20"/>
          <w:color w:val="auto"/>
        </w:rPr>
        <w:tab/>
      </w:r>
      <w:r>
        <w:rPr>
          <w:rFonts w:ascii="Arial" w:cs="Arial" w:eastAsia="Arial" w:hAnsi="Arial"/>
          <w:sz w:val="17"/>
          <w:szCs w:val="17"/>
          <w:color w:val="auto"/>
        </w:rPr>
        <w:t>31</w:t>
      </w:r>
    </w:p>
    <w:p>
      <w:pPr>
        <w:spacing w:after="0" w:line="51"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Introduction . . . . . . . . . .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Executive Summary  . . . .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2025 Compensation Program Results and</w:t>
      </w:r>
    </w:p>
    <w:p>
      <w:pPr>
        <w:spacing w:after="0" w:line="9" w:lineRule="exact"/>
        <w:rPr>
          <w:sz w:val="20"/>
          <w:szCs w:val="20"/>
          <w:color w:val="auto"/>
        </w:rPr>
      </w:pPr>
    </w:p>
    <w:p>
      <w:pPr>
        <w:ind w:left="600"/>
        <w:spacing w:after="0"/>
        <w:tabs>
          <w:tab w:leader="none" w:pos="2700" w:val="left"/>
          <w:tab w:leader="none" w:pos="4560" w:val="left"/>
        </w:tabs>
        <w:rPr>
          <w:sz w:val="20"/>
          <w:szCs w:val="20"/>
          <w:color w:val="auto"/>
        </w:rPr>
      </w:pPr>
      <w:r>
        <w:rPr>
          <w:rFonts w:ascii="Arial" w:cs="Arial" w:eastAsia="Arial" w:hAnsi="Arial"/>
          <w:sz w:val="20"/>
          <w:szCs w:val="20"/>
          <w:color w:val="auto"/>
        </w:rPr>
        <w:t>Company Performance</w:t>
        <w:tab/>
        <w:t>. . . . . . . . . . . . .</w:t>
      </w:r>
      <w:r>
        <w:rPr>
          <w:sz w:val="20"/>
          <w:szCs w:val="20"/>
          <w:color w:val="auto"/>
        </w:rPr>
        <w:tab/>
      </w:r>
      <w:r>
        <w:rPr>
          <w:rFonts w:ascii="Arial" w:cs="Arial" w:eastAsia="Arial" w:hAnsi="Arial"/>
          <w:sz w:val="17"/>
          <w:szCs w:val="17"/>
          <w:color w:val="auto"/>
        </w:rPr>
        <w:t>32</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Executive Compensation Decisions in</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auto"/>
        </w:rPr>
        <w:t>Connection with Leadership Transitions . .</w:t>
      </w:r>
      <w:r>
        <w:rPr>
          <w:sz w:val="20"/>
          <w:szCs w:val="20"/>
          <w:color w:val="auto"/>
        </w:rPr>
        <w:tab/>
      </w:r>
      <w:r>
        <w:rPr>
          <w:rFonts w:ascii="Arial" w:cs="Arial" w:eastAsia="Arial" w:hAnsi="Arial"/>
          <w:sz w:val="17"/>
          <w:szCs w:val="17"/>
          <w:color w:val="auto"/>
        </w:rPr>
        <w:t>34</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Consideration of Stockholder Advisory</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auto"/>
        </w:rPr>
        <w:t>Vote . . . . . . . . . . . . . . . . . . . . . . . . . . .</w:t>
      </w:r>
      <w:r>
        <w:rPr>
          <w:sz w:val="20"/>
          <w:szCs w:val="20"/>
          <w:color w:val="auto"/>
        </w:rPr>
        <w:tab/>
      </w:r>
      <w:r>
        <w:rPr>
          <w:rFonts w:ascii="Arial" w:cs="Arial" w:eastAsia="Arial" w:hAnsi="Arial"/>
          <w:sz w:val="17"/>
          <w:szCs w:val="17"/>
          <w:color w:val="auto"/>
        </w:rPr>
        <w:t>35</w:t>
      </w:r>
    </w:p>
    <w:p>
      <w:pPr>
        <w:spacing w:after="0" w:line="4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2026 Compensation Program Preview . . . . .</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32"/>
        </w:trPr>
        <w:tc>
          <w:tcPr>
            <w:tcW w:w="4440" w:type="dxa"/>
            <w:vAlign w:val="bottom"/>
            <w:vMerge w:val="restart"/>
          </w:tcPr>
          <w:p>
            <w:pPr>
              <w:ind w:left="400"/>
              <w:spacing w:after="0"/>
              <w:rPr>
                <w:sz w:val="20"/>
                <w:szCs w:val="20"/>
                <w:color w:val="auto"/>
              </w:rPr>
            </w:pPr>
            <w:r>
              <w:rPr>
                <w:rFonts w:ascii="Arial" w:cs="Arial" w:eastAsia="Arial" w:hAnsi="Arial"/>
                <w:sz w:val="20"/>
                <w:szCs w:val="20"/>
                <w:color w:val="auto"/>
              </w:rPr>
              <w:t>Our Compensation Philosophy for Named</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4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Executive Officers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Overview of Elements of Our 2025 Executive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Program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How Named Executive Officer Compensation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Decisions are Made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Named Executives’ 2025 Compensation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Program and Results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Post-Employment and Change in Control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Clawback Policies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Other Compensation Policies and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Practices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w w:val="99"/>
              </w:rPr>
              <w:t xml:space="preserve">Executive Compensation Tables </w:t>
            </w:r>
            <w:r>
              <w:rPr>
                <w:rFonts w:ascii="Arial" w:cs="Arial" w:eastAsia="Arial" w:hAnsi="Arial"/>
                <w:sz w:val="20"/>
                <w:szCs w:val="20"/>
                <w:color w:val="000000"/>
                <w:w w:val="99"/>
              </w:rPr>
              <w:t>.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Summary Compensation Table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Grant of Plan-Based Awards in 2025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Outstanding Equity Awards as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December 31, 2025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Option Exercises and Stock Vested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Nonqualified Deferred Compensation in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2025  . . . . . . . . . . . . . . . . . . . . . . . . . .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Payments Upon Termination or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Change in Control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Consideration Upon Termination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Employment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Chief Executive Officer Pay Ratio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Equity Compensation Plan Table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rPr>
              <w:t xml:space="preserve">Pay Versus Performance </w:t>
            </w:r>
            <w:r>
              <w:rPr>
                <w:rFonts w:ascii="Arial" w:cs="Arial" w:eastAsia="Arial" w:hAnsi="Arial"/>
                <w:sz w:val="20"/>
                <w:szCs w:val="20"/>
                <w:color w:val="000000"/>
              </w:rPr>
              <w:t>.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C3D25"/>
                <w:w w:val="96"/>
              </w:rPr>
              <w:t>RATIFICATION OF INDEPENDENT REGISTERED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C3D25"/>
              </w:rPr>
              <w:t>PUBLIC ACCOUNTING FIRM (Item 2 on the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rPr>
              <w:t xml:space="preserve">Proxy Card)  </w:t>
            </w:r>
            <w:r>
              <w:rPr>
                <w:rFonts w:ascii="Arial" w:cs="Arial" w:eastAsia="Arial" w:hAnsi="Arial"/>
                <w:sz w:val="20"/>
                <w:szCs w:val="20"/>
                <w:color w:val="000000"/>
              </w:rPr>
              <w:t>.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C3D25"/>
              </w:rPr>
              <w:t>ADVISORY VOTE ON EXECUTIVE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w w:val="94"/>
              </w:rPr>
              <w:t xml:space="preserve">COMPENSATION (Item 3 on the Proxy Card) </w:t>
            </w:r>
            <w:r>
              <w:rPr>
                <w:rFonts w:ascii="Arial" w:cs="Arial" w:eastAsia="Arial" w:hAnsi="Arial"/>
                <w:sz w:val="20"/>
                <w:szCs w:val="20"/>
                <w:color w:val="000000"/>
                <w:w w:val="94"/>
              </w:rPr>
              <w:t>. .</w:t>
            </w:r>
          </w:p>
        </w:tc>
        <w:tc>
          <w:tcPr>
            <w:tcW w:w="36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C3D25"/>
              </w:rPr>
              <w:t>PROPOSAL TO AMEND AND RESTATE THE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C3D25"/>
                <w:w w:val="97"/>
              </w:rPr>
              <w:t>COMPANY’S EMPLOYEE STOCK PURCHASE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rPr>
              <w:t xml:space="preserve">PLAN (Item 4 on the Proxy Card)  </w:t>
            </w:r>
            <w:r>
              <w:rPr>
                <w:rFonts w:ascii="Arial" w:cs="Arial" w:eastAsia="Arial" w:hAnsi="Arial"/>
                <w:sz w:val="20"/>
                <w:szCs w:val="20"/>
                <w:color w:val="000000"/>
              </w:rPr>
              <w:t>.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rPr>
              <w:t xml:space="preserve">APPENDIX A </w:t>
            </w:r>
            <w:r>
              <w:rPr>
                <w:rFonts w:ascii="Arial" w:cs="Arial" w:eastAsia="Arial" w:hAnsi="Arial"/>
                <w:sz w:val="20"/>
                <w:szCs w:val="20"/>
                <w:color w:val="000000"/>
              </w:rPr>
              <w:t>.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A-1</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C3D25"/>
              </w:rPr>
              <w:t xml:space="preserve">APPENDIX B </w:t>
            </w:r>
            <w:r>
              <w:rPr>
                <w:rFonts w:ascii="Arial" w:cs="Arial" w:eastAsia="Arial" w:hAnsi="Arial"/>
                <w:sz w:val="20"/>
                <w:szCs w:val="20"/>
                <w:color w:val="000000"/>
              </w:rPr>
              <w:t>.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B-1</w:t>
            </w:r>
          </w:p>
        </w:tc>
        <w:tc>
          <w:tcPr>
            <w:tcW w:w="0" w:type="dxa"/>
            <w:vAlign w:val="bottom"/>
          </w:tcPr>
          <w:p>
            <w:pPr>
              <w:spacing w:after="0"/>
              <w:rPr>
                <w:sz w:val="1"/>
                <w:szCs w:val="1"/>
                <w:color w:val="auto"/>
              </w:rPr>
            </w:pPr>
          </w:p>
        </w:tc>
      </w:tr>
    </w:tbl>
    <w:p>
      <w:pPr>
        <w:sectPr>
          <w:pgSz w:w="11880" w:h="15480" w:orient="portrait"/>
          <w:cols w:equalWidth="0" w:num="2">
            <w:col w:w="4780" w:space="480"/>
            <w:col w:w="4800"/>
          </w:cols>
          <w:pgMar w:left="900" w:top="1131" w:right="920" w:bottom="1440" w:gutter="0" w:footer="0" w:header="0"/>
        </w:sectPr>
      </w:pPr>
    </w:p>
    <w:bookmarkStart w:id="6" w:name="page7"/>
    <w:bookmarkEnd w:id="6"/>
    <w:p>
      <w:pPr>
        <w:spacing w:after="0"/>
        <w:rPr>
          <w:sz w:val="20"/>
          <w:szCs w:val="20"/>
          <w:color w:val="auto"/>
        </w:rPr>
      </w:pPr>
      <w:r>
        <w:rPr>
          <w:rFonts w:ascii="Arial" w:cs="Arial" w:eastAsia="Arial" w:hAnsi="Arial"/>
          <w:sz w:val="40"/>
          <w:szCs w:val="40"/>
          <w:color w:val="0C3D25"/>
        </w:rPr>
        <w:t>GENERAL INFORMATION</w:t>
      </w:r>
    </w:p>
    <w:p>
      <w:pPr>
        <w:spacing w:after="0" w:line="26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cleaner, renewable energy. Following our 2024 acquisition of Stericycle, Inc. (“Stericycle”), our Healthcare Solutions segment provides regulated waste and compliance services and secure information destruction services in the U.S., Canada and Western Europe that protect people and brands, promote health and well-being and safeguard the environment.</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Board of Directors is soliciting your proxy for the 2026 Annual Meeting of Stockholders and at any postponement or adjournment of the meeting. We are furnishing proxy materials to our stockholders primarily via the Internet. On March 31, 2026, we sent an electronic notice of how to access our proxy materials and our Annual Report to stockholders that have previously signed up to receive their proxy materials via the Internet. On March 31, 2026,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Enroll in Electronic Delivery Today! </w:t>
      </w:r>
      <w:r>
        <w:rPr>
          <w:rFonts w:ascii="Arial" w:cs="Arial" w:eastAsia="Arial" w:hAnsi="Arial"/>
          <w:sz w:val="20"/>
          <w:szCs w:val="20"/>
          <w:color w:val="000000"/>
        </w:rPr>
        <w:t>We encourage stockholders to elect to receive all future proxy materials</w:t>
      </w:r>
      <w:r>
        <w:rPr>
          <w:rFonts w:ascii="Arial" w:cs="Arial" w:eastAsia="Arial" w:hAnsi="Arial"/>
          <w:sz w:val="20"/>
          <w:szCs w:val="20"/>
          <w:b w:val="1"/>
          <w:bCs w:val="1"/>
          <w:color w:val="0C3D25"/>
        </w:rPr>
        <w:t xml:space="preserve"> </w:t>
      </w:r>
      <w:r>
        <w:rPr>
          <w:rFonts w:ascii="Arial" w:cs="Arial" w:eastAsia="Arial" w:hAnsi="Arial"/>
          <w:sz w:val="20"/>
          <w:szCs w:val="20"/>
          <w:color w:val="000000"/>
        </w:rPr>
        <w:t>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119" w:lineRule="exact"/>
        <w:rPr>
          <w:sz w:val="20"/>
          <w:szCs w:val="20"/>
          <w:color w:val="auto"/>
        </w:rPr>
      </w:pPr>
    </w:p>
    <w:p>
      <w:pPr>
        <w:spacing w:after="0"/>
        <w:tabs>
          <w:tab w:leader="none" w:pos="3580" w:val="left"/>
        </w:tabs>
        <w:rPr>
          <w:sz w:val="20"/>
          <w:szCs w:val="20"/>
          <w:color w:val="auto"/>
        </w:rPr>
      </w:pPr>
      <w:r>
        <w:rPr>
          <w:rFonts w:ascii="Arial" w:cs="Arial" w:eastAsia="Arial" w:hAnsi="Arial"/>
          <w:sz w:val="20"/>
          <w:szCs w:val="20"/>
          <w:b w:val="1"/>
          <w:bCs w:val="1"/>
          <w:color w:val="0C3D25"/>
        </w:rPr>
        <w:t>Shares Outstanding on the Record Date</w:t>
      </w:r>
      <w:r>
        <w:rPr>
          <w:sz w:val="20"/>
          <w:szCs w:val="20"/>
          <w:color w:val="auto"/>
        </w:rPr>
        <w:tab/>
      </w:r>
      <w:r>
        <w:rPr>
          <w:rFonts w:ascii="Arial" w:cs="Arial" w:eastAsia="Arial" w:hAnsi="Arial"/>
          <w:sz w:val="18"/>
          <w:szCs w:val="18"/>
          <w:color w:val="auto"/>
        </w:rPr>
        <w:t>There were 402,913,509 shares of common stock of Waste Management,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outstanding and entitled to vote as of March 17, 2026, the record date for the Annual Meeting.</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Attending the Meeting </w:t>
      </w:r>
      <w:r>
        <w:rPr>
          <w:rFonts w:ascii="Arial" w:cs="Arial" w:eastAsia="Arial" w:hAnsi="Arial"/>
          <w:sz w:val="20"/>
          <w:szCs w:val="20"/>
          <w:color w:val="000000"/>
        </w:rPr>
        <w:t>Only stockholders, their proxy holders and our invited guests may attend the Annual Meeting. If</w:t>
      </w:r>
      <w:r>
        <w:rPr>
          <w:rFonts w:ascii="Arial" w:cs="Arial" w:eastAsia="Arial" w:hAnsi="Arial"/>
          <w:sz w:val="20"/>
          <w:szCs w:val="20"/>
          <w:b w:val="1"/>
          <w:bCs w:val="1"/>
          <w:color w:val="0C3D25"/>
        </w:rPr>
        <w:t xml:space="preserve"> </w:t>
      </w:r>
      <w:r>
        <w:rPr>
          <w:rFonts w:ascii="Arial" w:cs="Arial" w:eastAsia="Arial" w:hAnsi="Arial"/>
          <w:sz w:val="20"/>
          <w:szCs w:val="20"/>
          <w:color w:val="000000"/>
        </w:rPr>
        <w:t>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s office at 713-512-6393. The only items that we anticipate will be discussed at the Annual Meeting are the items set out in the Notice. We do not anticipate that there will be any presentations.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0C3D25"/>
        </w:rPr>
        <w:t xml:space="preserve">Voting Instructions </w:t>
      </w:r>
      <w:r>
        <w:rPr>
          <w:rFonts w:ascii="Arial" w:cs="Arial" w:eastAsia="Arial" w:hAnsi="Arial"/>
          <w:sz w:val="19"/>
          <w:szCs w:val="19"/>
          <w:color w:val="000000"/>
        </w:rPr>
        <w:t>You can submit your proxy by Internet, phone or mail. You may receive more than one proxy card</w:t>
      </w:r>
      <w:r>
        <w:rPr>
          <w:rFonts w:ascii="Arial" w:cs="Arial" w:eastAsia="Arial" w:hAnsi="Arial"/>
          <w:sz w:val="19"/>
          <w:szCs w:val="19"/>
          <w:b w:val="1"/>
          <w:bCs w:val="1"/>
          <w:color w:val="0C3D25"/>
        </w:rPr>
        <w:t xml:space="preserve"> </w:t>
      </w:r>
      <w:r>
        <w:rPr>
          <w:rFonts w:ascii="Arial" w:cs="Arial" w:eastAsia="Arial" w:hAnsi="Arial"/>
          <w:sz w:val="19"/>
          <w:szCs w:val="19"/>
          <w:color w:val="000000"/>
        </w:rPr>
        <w:t>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Other Matters </w:t>
      </w:r>
      <w:r>
        <w:rPr>
          <w:rFonts w:ascii="Arial" w:cs="Arial" w:eastAsia="Arial" w:hAnsi="Arial"/>
          <w:sz w:val="20"/>
          <w:szCs w:val="20"/>
          <w:color w:val="000000"/>
        </w:rPr>
        <w:t>The Company does not intend to bring any other matters before the Annual Meeting, nor does the</w:t>
      </w:r>
      <w:r>
        <w:rPr>
          <w:rFonts w:ascii="Arial" w:cs="Arial" w:eastAsia="Arial" w:hAnsi="Arial"/>
          <w:sz w:val="20"/>
          <w:szCs w:val="20"/>
          <w:b w:val="1"/>
          <w:bCs w:val="1"/>
          <w:color w:val="0C3D25"/>
        </w:rPr>
        <w:t xml:space="preserve"> </w:t>
      </w:r>
      <w:r>
        <w:rPr>
          <w:rFonts w:ascii="Arial" w:cs="Arial" w:eastAsia="Arial" w:hAnsi="Arial"/>
          <w:sz w:val="20"/>
          <w:szCs w:val="20"/>
          <w:color w:val="000000"/>
        </w:rPr>
        <w:t>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Voting and Asking Questions at the Meeting </w:t>
      </w:r>
      <w:r>
        <w:rPr>
          <w:rFonts w:ascii="Arial" w:cs="Arial" w:eastAsia="Arial" w:hAnsi="Arial"/>
          <w:sz w:val="20"/>
          <w:szCs w:val="20"/>
          <w:color w:val="000000"/>
        </w:rPr>
        <w:t>Stockholders can vote and ask questions at the Annual Meeting relevant</w:t>
      </w:r>
      <w:r>
        <w:rPr>
          <w:rFonts w:ascii="Arial" w:cs="Arial" w:eastAsia="Arial" w:hAnsi="Arial"/>
          <w:sz w:val="20"/>
          <w:szCs w:val="20"/>
          <w:b w:val="1"/>
          <w:bCs w:val="1"/>
          <w:color w:val="0C3D25"/>
        </w:rPr>
        <w:t xml:space="preserve"> </w:t>
      </w:r>
      <w:r>
        <w:rPr>
          <w:rFonts w:ascii="Arial" w:cs="Arial" w:eastAsia="Arial" w:hAnsi="Arial"/>
          <w:sz w:val="20"/>
          <w:szCs w:val="20"/>
          <w:color w:val="000000"/>
        </w:rPr>
        <w:t>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00" w:lineRule="exact"/>
        <w:rPr>
          <w:sz w:val="20"/>
          <w:szCs w:val="20"/>
          <w:color w:val="auto"/>
        </w:rPr>
      </w:pPr>
    </w:p>
    <w:p>
      <w:pPr>
        <w:spacing w:after="0" w:line="227"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GENERAL INFORMATION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Changing Your Vote </w:t>
      </w:r>
      <w:r>
        <w:rPr>
          <w:rFonts w:ascii="Arial" w:cs="Arial" w:eastAsia="Arial" w:hAnsi="Arial"/>
          <w:sz w:val="20"/>
          <w:szCs w:val="20"/>
          <w:color w:val="000000"/>
        </w:rPr>
        <w:t>Stockholders of record may revoke their proxy at any time before we vote it at the meeting by</w:t>
      </w:r>
      <w:r>
        <w:rPr>
          <w:rFonts w:ascii="Arial" w:cs="Arial" w:eastAsia="Arial" w:hAnsi="Arial"/>
          <w:sz w:val="20"/>
          <w:szCs w:val="20"/>
          <w:b w:val="1"/>
          <w:bCs w:val="1"/>
          <w:color w:val="0C3D25"/>
        </w:rPr>
        <w:t xml:space="preserve"> </w:t>
      </w:r>
      <w:r>
        <w:rPr>
          <w:rFonts w:ascii="Arial" w:cs="Arial" w:eastAsia="Arial" w:hAnsi="Arial"/>
          <w:sz w:val="20"/>
          <w:szCs w:val="20"/>
          <w:color w:val="000000"/>
        </w:rPr>
        <w:t>submitting a later-dated proxy via the Internet, by telephone, by mail, by delivering instructions to our Corporate Secretary 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The Proposals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proposals are being presented for a vote of the stockholders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113665</wp:posOffset>
                </wp:positionV>
                <wp:extent cx="638556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95pt" to="502.75pt,8.95pt" o:allowincell="f" strokecolor="#0C3D25" strokeweight="0.7969pt"/>
            </w:pict>
          </mc:Fallback>
        </mc:AlternateConten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360" w:type="dxa"/>
            <w:vAlign w:val="bottom"/>
          </w:tcPr>
          <w:p>
            <w:pPr>
              <w:ind w:left="260"/>
              <w:spacing w:after="0"/>
              <w:rPr>
                <w:sz w:val="20"/>
                <w:szCs w:val="20"/>
                <w:color w:val="auto"/>
              </w:rPr>
            </w:pPr>
            <w:r>
              <w:rPr>
                <w:rFonts w:ascii="Arial" w:cs="Arial" w:eastAsia="Arial" w:hAnsi="Arial"/>
                <w:sz w:val="18"/>
                <w:szCs w:val="18"/>
                <w:b w:val="1"/>
                <w:bCs w:val="1"/>
                <w:color w:val="0C3D25"/>
              </w:rPr>
              <w:t>Board Vote</w:t>
            </w:r>
          </w:p>
        </w:tc>
        <w:tc>
          <w:tcPr>
            <w:tcW w:w="0" w:type="dxa"/>
            <w:vAlign w:val="bottom"/>
          </w:tcPr>
          <w:p>
            <w:pPr>
              <w:spacing w:after="0"/>
              <w:rPr>
                <w:sz w:val="1"/>
                <w:szCs w:val="1"/>
                <w:color w:val="auto"/>
              </w:rPr>
            </w:pPr>
          </w:p>
        </w:tc>
      </w:tr>
      <w:tr>
        <w:trPr>
          <w:trHeight w:val="209"/>
        </w:trPr>
        <w:tc>
          <w:tcPr>
            <w:tcW w:w="1440" w:type="dxa"/>
            <w:vAlign w:val="bottom"/>
          </w:tcPr>
          <w:p>
            <w:pPr>
              <w:jc w:val="center"/>
              <w:spacing w:after="0"/>
              <w:rPr>
                <w:sz w:val="20"/>
                <w:szCs w:val="20"/>
                <w:color w:val="auto"/>
              </w:rPr>
            </w:pPr>
            <w:r>
              <w:rPr>
                <w:rFonts w:ascii="Arial" w:cs="Arial" w:eastAsia="Arial" w:hAnsi="Arial"/>
                <w:sz w:val="18"/>
                <w:szCs w:val="18"/>
                <w:b w:val="1"/>
                <w:bCs w:val="1"/>
                <w:color w:val="0C3D25"/>
                <w:w w:val="93"/>
              </w:rPr>
              <w:t>Proposal</w:t>
            </w:r>
          </w:p>
        </w:tc>
        <w:tc>
          <w:tcPr>
            <w:tcW w:w="6260" w:type="dxa"/>
            <w:vAlign w:val="bottom"/>
          </w:tcPr>
          <w:p>
            <w:pPr>
              <w:ind w:left="300"/>
              <w:spacing w:after="0"/>
              <w:rPr>
                <w:sz w:val="20"/>
                <w:szCs w:val="20"/>
                <w:color w:val="auto"/>
              </w:rPr>
            </w:pPr>
            <w:r>
              <w:rPr>
                <w:rFonts w:ascii="Arial" w:cs="Arial" w:eastAsia="Arial" w:hAnsi="Arial"/>
                <w:sz w:val="18"/>
                <w:szCs w:val="18"/>
                <w:b w:val="1"/>
                <w:bCs w:val="1"/>
                <w:color w:val="0C3D25"/>
              </w:rPr>
              <w:t>Matter</w:t>
            </w:r>
          </w:p>
        </w:tc>
        <w:tc>
          <w:tcPr>
            <w:tcW w:w="2360" w:type="dxa"/>
            <w:vAlign w:val="bottom"/>
          </w:tcPr>
          <w:p>
            <w:pPr>
              <w:ind w:left="260"/>
              <w:spacing w:after="0"/>
              <w:rPr>
                <w:sz w:val="20"/>
                <w:szCs w:val="20"/>
                <w:color w:val="auto"/>
              </w:rPr>
            </w:pPr>
            <w:r>
              <w:rPr>
                <w:rFonts w:ascii="Arial" w:cs="Arial" w:eastAsia="Arial" w:hAnsi="Arial"/>
                <w:sz w:val="18"/>
                <w:szCs w:val="18"/>
                <w:b w:val="1"/>
                <w:bCs w:val="1"/>
                <w:color w:val="0C3D25"/>
              </w:rPr>
              <w:t>Recommendation</w:t>
            </w:r>
          </w:p>
        </w:tc>
        <w:tc>
          <w:tcPr>
            <w:tcW w:w="0" w:type="dxa"/>
            <w:vAlign w:val="bottom"/>
          </w:tcPr>
          <w:p>
            <w:pPr>
              <w:spacing w:after="0"/>
              <w:rPr>
                <w:sz w:val="1"/>
                <w:szCs w:val="1"/>
                <w:color w:val="auto"/>
              </w:rPr>
            </w:pPr>
          </w:p>
        </w:tc>
      </w:tr>
      <w:tr>
        <w:trPr>
          <w:trHeight w:val="36"/>
        </w:trPr>
        <w:tc>
          <w:tcPr>
            <w:tcW w:w="1440" w:type="dxa"/>
            <w:vAlign w:val="bottom"/>
            <w:tcBorders>
              <w:bottom w:val="single" w:sz="8" w:color="0C3D25"/>
            </w:tcBorders>
          </w:tcPr>
          <w:p>
            <w:pPr>
              <w:spacing w:after="0"/>
              <w:rPr>
                <w:sz w:val="3"/>
                <w:szCs w:val="3"/>
                <w:color w:val="auto"/>
              </w:rPr>
            </w:pPr>
          </w:p>
        </w:tc>
        <w:tc>
          <w:tcPr>
            <w:tcW w:w="6260" w:type="dxa"/>
            <w:vAlign w:val="bottom"/>
            <w:tcBorders>
              <w:bottom w:val="single" w:sz="8" w:color="0C3D25"/>
            </w:tcBorders>
          </w:tcPr>
          <w:p>
            <w:pPr>
              <w:spacing w:after="0"/>
              <w:rPr>
                <w:sz w:val="3"/>
                <w:szCs w:val="3"/>
                <w:color w:val="auto"/>
              </w:rPr>
            </w:pPr>
          </w:p>
        </w:tc>
        <w:tc>
          <w:tcPr>
            <w:tcW w:w="236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433"/>
        </w:trPr>
        <w:tc>
          <w:tcPr>
            <w:tcW w:w="1440" w:type="dxa"/>
            <w:vAlign w:val="bottom"/>
            <w:vMerge w:val="restart"/>
            <w:shd w:val="clear" w:color="auto" w:fill="C0C6B3"/>
          </w:tcPr>
          <w:p>
            <w:pPr>
              <w:jc w:val="center"/>
              <w:spacing w:after="0"/>
              <w:rPr>
                <w:sz w:val="20"/>
                <w:szCs w:val="20"/>
                <w:color w:val="auto"/>
              </w:rPr>
            </w:pPr>
            <w:r>
              <w:rPr>
                <w:rFonts w:ascii="Arial" w:cs="Arial" w:eastAsia="Arial" w:hAnsi="Arial"/>
                <w:sz w:val="72"/>
                <w:szCs w:val="72"/>
                <w:b w:val="1"/>
                <w:bCs w:val="1"/>
                <w:color w:val="0C3D25"/>
                <w:w w:val="99"/>
              </w:rPr>
              <w:t>1</w:t>
            </w:r>
          </w:p>
        </w:tc>
        <w:tc>
          <w:tcPr>
            <w:tcW w:w="6260" w:type="dxa"/>
            <w:vAlign w:val="bottom"/>
            <w:vMerge w:val="restart"/>
            <w:shd w:val="clear" w:color="auto" w:fill="C0C6B3"/>
          </w:tcPr>
          <w:p>
            <w:pPr>
              <w:ind w:left="300"/>
              <w:spacing w:after="0"/>
              <w:rPr>
                <w:sz w:val="20"/>
                <w:szCs w:val="20"/>
                <w:color w:val="auto"/>
              </w:rPr>
            </w:pPr>
            <w:r>
              <w:rPr>
                <w:rFonts w:ascii="Arial" w:cs="Arial" w:eastAsia="Arial" w:hAnsi="Arial"/>
                <w:sz w:val="20"/>
                <w:szCs w:val="20"/>
                <w:b w:val="1"/>
                <w:bCs w:val="1"/>
                <w:color w:val="auto"/>
                <w:w w:val="99"/>
              </w:rPr>
              <w:t>Election of Director Nominees set forth in this Proxy Statement</w:t>
            </w:r>
          </w:p>
        </w:tc>
        <w:tc>
          <w:tcPr>
            <w:tcW w:w="2360" w:type="dxa"/>
            <w:vAlign w:val="bottom"/>
            <w:shd w:val="clear" w:color="auto" w:fill="C0C6B3"/>
          </w:tcPr>
          <w:p>
            <w:pPr>
              <w:ind w:left="260"/>
              <w:spacing w:after="0"/>
              <w:rPr>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each director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C0C6B3"/>
          </w:tcPr>
          <w:p>
            <w:pPr>
              <w:spacing w:after="0"/>
              <w:rPr>
                <w:sz w:val="10"/>
                <w:szCs w:val="10"/>
                <w:color w:val="auto"/>
              </w:rPr>
            </w:pPr>
          </w:p>
        </w:tc>
        <w:tc>
          <w:tcPr>
            <w:tcW w:w="6260" w:type="dxa"/>
            <w:vAlign w:val="bottom"/>
            <w:vMerge w:val="continue"/>
            <w:shd w:val="clear" w:color="auto" w:fill="C0C6B3"/>
          </w:tcPr>
          <w:p>
            <w:pPr>
              <w:spacing w:after="0"/>
              <w:rPr>
                <w:sz w:val="10"/>
                <w:szCs w:val="10"/>
                <w:color w:val="auto"/>
              </w:rPr>
            </w:pPr>
          </w:p>
        </w:tc>
        <w:tc>
          <w:tcPr>
            <w:tcW w:w="2360" w:type="dxa"/>
            <w:vAlign w:val="bottom"/>
            <w:vMerge w:val="restart"/>
            <w:shd w:val="clear" w:color="auto" w:fill="C0C6B3"/>
          </w:tcPr>
          <w:p>
            <w:pPr>
              <w:ind w:left="260"/>
              <w:spacing w:after="0"/>
              <w:rPr>
                <w:sz w:val="20"/>
                <w:szCs w:val="20"/>
                <w:color w:val="auto"/>
              </w:rPr>
            </w:pPr>
            <w:r>
              <w:rPr>
                <w:rFonts w:ascii="Arial" w:cs="Arial" w:eastAsia="Arial" w:hAnsi="Arial"/>
                <w:sz w:val="20"/>
                <w:szCs w:val="20"/>
                <w:color w:val="auto"/>
              </w:rPr>
              <w:t>nominee</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C0C6B3"/>
          </w:tcPr>
          <w:p>
            <w:pPr>
              <w:spacing w:after="0"/>
              <w:rPr>
                <w:sz w:val="10"/>
                <w:szCs w:val="10"/>
                <w:color w:val="auto"/>
              </w:rPr>
            </w:pPr>
          </w:p>
        </w:tc>
        <w:tc>
          <w:tcPr>
            <w:tcW w:w="6260" w:type="dxa"/>
            <w:vAlign w:val="bottom"/>
            <w:shd w:val="clear" w:color="auto" w:fill="C0C6B3"/>
          </w:tcPr>
          <w:p>
            <w:pPr>
              <w:spacing w:after="0"/>
              <w:rPr>
                <w:sz w:val="10"/>
                <w:szCs w:val="10"/>
                <w:color w:val="auto"/>
              </w:rPr>
            </w:pPr>
          </w:p>
        </w:tc>
        <w:tc>
          <w:tcPr>
            <w:tcW w:w="2360" w:type="dxa"/>
            <w:vAlign w:val="bottom"/>
            <w:vMerge w:val="continue"/>
            <w:shd w:val="clear" w:color="auto" w:fill="C0C6B3"/>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Borders>
              <w:bottom w:val="single" w:sz="8" w:color="0C3D25"/>
            </w:tcBorders>
            <w:vMerge w:val="continue"/>
            <w:shd w:val="clear" w:color="auto" w:fill="C0C6B3"/>
          </w:tcPr>
          <w:p>
            <w:pPr>
              <w:spacing w:after="0"/>
              <w:rPr>
                <w:sz w:val="15"/>
                <w:szCs w:val="15"/>
                <w:color w:val="auto"/>
              </w:rPr>
            </w:pPr>
          </w:p>
        </w:tc>
        <w:tc>
          <w:tcPr>
            <w:tcW w:w="6260" w:type="dxa"/>
            <w:vAlign w:val="bottom"/>
            <w:tcBorders>
              <w:bottom w:val="single" w:sz="8" w:color="0C3D25"/>
            </w:tcBorders>
            <w:shd w:val="clear" w:color="auto" w:fill="C0C6B3"/>
          </w:tcPr>
          <w:p>
            <w:pPr>
              <w:spacing w:after="0"/>
              <w:rPr>
                <w:sz w:val="15"/>
                <w:szCs w:val="15"/>
                <w:color w:val="auto"/>
              </w:rPr>
            </w:pPr>
          </w:p>
        </w:tc>
        <w:tc>
          <w:tcPr>
            <w:tcW w:w="2360" w:type="dxa"/>
            <w:vAlign w:val="bottom"/>
            <w:tcBorders>
              <w:bottom w:val="single" w:sz="8" w:color="0C3D25"/>
            </w:tcBorders>
            <w:shd w:val="clear" w:color="auto" w:fill="C0C6B3"/>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1440" w:type="dxa"/>
            <w:vAlign w:val="bottom"/>
            <w:vMerge w:val="restart"/>
            <w:shd w:val="clear" w:color="auto" w:fill="E6E8DE"/>
          </w:tcPr>
          <w:p>
            <w:pPr>
              <w:jc w:val="center"/>
              <w:spacing w:after="0" w:line="818" w:lineRule="exact"/>
              <w:rPr>
                <w:sz w:val="20"/>
                <w:szCs w:val="20"/>
                <w:color w:val="auto"/>
              </w:rPr>
            </w:pPr>
            <w:r>
              <w:rPr>
                <w:rFonts w:ascii="Arial" w:cs="Arial" w:eastAsia="Arial" w:hAnsi="Arial"/>
                <w:sz w:val="72"/>
                <w:szCs w:val="72"/>
                <w:b w:val="1"/>
                <w:bCs w:val="1"/>
                <w:color w:val="0C3D25"/>
                <w:w w:val="99"/>
              </w:rPr>
              <w:t>2</w:t>
            </w:r>
          </w:p>
        </w:tc>
        <w:tc>
          <w:tcPr>
            <w:tcW w:w="6260" w:type="dxa"/>
            <w:vAlign w:val="bottom"/>
            <w:shd w:val="clear" w:color="auto" w:fill="E6E8DE"/>
          </w:tcPr>
          <w:p>
            <w:pPr>
              <w:ind w:left="300"/>
              <w:spacing w:after="0"/>
              <w:rPr>
                <w:sz w:val="20"/>
                <w:szCs w:val="20"/>
                <w:color w:val="auto"/>
              </w:rPr>
            </w:pPr>
            <w:r>
              <w:rPr>
                <w:rFonts w:ascii="Arial" w:cs="Arial" w:eastAsia="Arial" w:hAnsi="Arial"/>
                <w:sz w:val="20"/>
                <w:szCs w:val="20"/>
                <w:b w:val="1"/>
                <w:bCs w:val="1"/>
                <w:color w:val="auto"/>
                <w:w w:val="95"/>
              </w:rPr>
              <w:t>Ratification of Ernst &amp; Young LLP as the Company’s Independent</w:t>
            </w:r>
          </w:p>
        </w:tc>
        <w:tc>
          <w:tcPr>
            <w:tcW w:w="2360" w:type="dxa"/>
            <w:vAlign w:val="bottom"/>
            <w:vMerge w:val="restart"/>
            <w:shd w:val="clear" w:color="auto" w:fill="E6E8DE"/>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E6E8DE"/>
          </w:tcPr>
          <w:p>
            <w:pPr>
              <w:spacing w:after="0"/>
              <w:rPr>
                <w:sz w:val="10"/>
                <w:szCs w:val="10"/>
                <w:color w:val="auto"/>
              </w:rPr>
            </w:pPr>
          </w:p>
        </w:tc>
        <w:tc>
          <w:tcPr>
            <w:tcW w:w="6260" w:type="dxa"/>
            <w:vAlign w:val="bottom"/>
            <w:vMerge w:val="restart"/>
            <w:shd w:val="clear" w:color="auto" w:fill="E6E8DE"/>
          </w:tcPr>
          <w:p>
            <w:pPr>
              <w:ind w:left="300"/>
              <w:spacing w:after="0"/>
              <w:rPr>
                <w:sz w:val="20"/>
                <w:szCs w:val="20"/>
                <w:color w:val="auto"/>
              </w:rPr>
            </w:pPr>
            <w:r>
              <w:rPr>
                <w:rFonts w:ascii="Arial" w:cs="Arial" w:eastAsia="Arial" w:hAnsi="Arial"/>
                <w:sz w:val="20"/>
                <w:szCs w:val="20"/>
                <w:b w:val="1"/>
                <w:bCs w:val="1"/>
                <w:color w:val="auto"/>
              </w:rPr>
              <w:t>Registered Public Accounting Firm for fiscal year 2026</w:t>
            </w:r>
          </w:p>
        </w:tc>
        <w:tc>
          <w:tcPr>
            <w:tcW w:w="2360" w:type="dxa"/>
            <w:vAlign w:val="bottom"/>
            <w:vMerge w:val="continue"/>
            <w:shd w:val="clear" w:color="auto" w:fill="E6E8D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E6E8DE"/>
          </w:tcPr>
          <w:p>
            <w:pPr>
              <w:spacing w:after="0"/>
              <w:rPr>
                <w:sz w:val="10"/>
                <w:szCs w:val="10"/>
                <w:color w:val="auto"/>
              </w:rPr>
            </w:pPr>
          </w:p>
        </w:tc>
        <w:tc>
          <w:tcPr>
            <w:tcW w:w="6260" w:type="dxa"/>
            <w:vAlign w:val="bottom"/>
            <w:vMerge w:val="continue"/>
            <w:shd w:val="clear" w:color="auto" w:fill="E6E8DE"/>
          </w:tcPr>
          <w:p>
            <w:pPr>
              <w:spacing w:after="0"/>
              <w:rPr>
                <w:sz w:val="10"/>
                <w:szCs w:val="10"/>
                <w:color w:val="auto"/>
              </w:rPr>
            </w:pPr>
          </w:p>
        </w:tc>
        <w:tc>
          <w:tcPr>
            <w:tcW w:w="2360" w:type="dxa"/>
            <w:vAlign w:val="bottom"/>
            <w:shd w:val="clear" w:color="auto" w:fill="E6E8D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Borders>
              <w:bottom w:val="single" w:sz="8" w:color="0C3D25"/>
            </w:tcBorders>
            <w:vMerge w:val="continue"/>
            <w:shd w:val="clear" w:color="auto" w:fill="E6E8DE"/>
          </w:tcPr>
          <w:p>
            <w:pPr>
              <w:spacing w:after="0"/>
              <w:rPr>
                <w:sz w:val="15"/>
                <w:szCs w:val="15"/>
                <w:color w:val="auto"/>
              </w:rPr>
            </w:pPr>
          </w:p>
        </w:tc>
        <w:tc>
          <w:tcPr>
            <w:tcW w:w="6260" w:type="dxa"/>
            <w:vAlign w:val="bottom"/>
            <w:tcBorders>
              <w:bottom w:val="single" w:sz="8" w:color="0C3D25"/>
            </w:tcBorders>
            <w:shd w:val="clear" w:color="auto" w:fill="E6E8DE"/>
          </w:tcPr>
          <w:p>
            <w:pPr>
              <w:spacing w:after="0"/>
              <w:rPr>
                <w:sz w:val="15"/>
                <w:szCs w:val="15"/>
                <w:color w:val="auto"/>
              </w:rPr>
            </w:pPr>
          </w:p>
        </w:tc>
        <w:tc>
          <w:tcPr>
            <w:tcW w:w="2360" w:type="dxa"/>
            <w:vAlign w:val="bottom"/>
            <w:tcBorders>
              <w:bottom w:val="single" w:sz="8" w:color="0C3D25"/>
            </w:tcBorders>
            <w:shd w:val="clear" w:color="auto" w:fill="E6E8DE"/>
          </w:tcPr>
          <w:p>
            <w:pPr>
              <w:spacing w:after="0"/>
              <w:rPr>
                <w:sz w:val="15"/>
                <w:szCs w:val="15"/>
                <w:color w:val="auto"/>
              </w:rPr>
            </w:pPr>
          </w:p>
        </w:tc>
        <w:tc>
          <w:tcPr>
            <w:tcW w:w="0" w:type="dxa"/>
            <w:vAlign w:val="bottom"/>
          </w:tcPr>
          <w:p>
            <w:pPr>
              <w:spacing w:after="0"/>
              <w:rPr>
                <w:sz w:val="1"/>
                <w:szCs w:val="1"/>
                <w:color w:val="auto"/>
              </w:rPr>
            </w:pPr>
          </w:p>
        </w:tc>
      </w:tr>
      <w:tr>
        <w:trPr>
          <w:trHeight w:val="521"/>
        </w:trPr>
        <w:tc>
          <w:tcPr>
            <w:tcW w:w="1440" w:type="dxa"/>
            <w:vAlign w:val="bottom"/>
            <w:vMerge w:val="restart"/>
            <w:shd w:val="clear" w:color="auto" w:fill="C0C6B3"/>
          </w:tcPr>
          <w:p>
            <w:pPr>
              <w:jc w:val="center"/>
              <w:spacing w:after="0" w:line="818" w:lineRule="exact"/>
              <w:rPr>
                <w:sz w:val="20"/>
                <w:szCs w:val="20"/>
                <w:color w:val="auto"/>
              </w:rPr>
            </w:pPr>
            <w:r>
              <w:rPr>
                <w:rFonts w:ascii="Arial" w:cs="Arial" w:eastAsia="Arial" w:hAnsi="Arial"/>
                <w:sz w:val="72"/>
                <w:szCs w:val="72"/>
                <w:b w:val="1"/>
                <w:bCs w:val="1"/>
                <w:color w:val="0C3D25"/>
                <w:w w:val="99"/>
              </w:rPr>
              <w:t>3</w:t>
            </w:r>
          </w:p>
        </w:tc>
        <w:tc>
          <w:tcPr>
            <w:tcW w:w="6260" w:type="dxa"/>
            <w:vAlign w:val="bottom"/>
            <w:shd w:val="clear" w:color="auto" w:fill="C0C6B3"/>
          </w:tcPr>
          <w:p>
            <w:pPr>
              <w:ind w:left="300"/>
              <w:spacing w:after="0"/>
              <w:rPr>
                <w:sz w:val="20"/>
                <w:szCs w:val="20"/>
                <w:color w:val="auto"/>
              </w:rPr>
            </w:pPr>
            <w:r>
              <w:rPr>
                <w:rFonts w:ascii="Arial" w:cs="Arial" w:eastAsia="Arial" w:hAnsi="Arial"/>
                <w:sz w:val="20"/>
                <w:szCs w:val="20"/>
                <w:b w:val="1"/>
                <w:bCs w:val="1"/>
                <w:color w:val="auto"/>
              </w:rPr>
              <w:t>Approval of the Company’s Executive Compensation</w:t>
            </w:r>
          </w:p>
        </w:tc>
        <w:tc>
          <w:tcPr>
            <w:tcW w:w="2360" w:type="dxa"/>
            <w:vAlign w:val="bottom"/>
            <w:shd w:val="clear" w:color="auto" w:fill="C0C6B3"/>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297"/>
        </w:trPr>
        <w:tc>
          <w:tcPr>
            <w:tcW w:w="1440" w:type="dxa"/>
            <w:vAlign w:val="bottom"/>
            <w:tcBorders>
              <w:bottom w:val="single" w:sz="8" w:color="0C3D25"/>
            </w:tcBorders>
            <w:vMerge w:val="continue"/>
            <w:shd w:val="clear" w:color="auto" w:fill="C0C6B3"/>
          </w:tcPr>
          <w:p>
            <w:pPr>
              <w:spacing w:after="0"/>
              <w:rPr>
                <w:sz w:val="24"/>
                <w:szCs w:val="24"/>
                <w:color w:val="auto"/>
              </w:rPr>
            </w:pPr>
          </w:p>
        </w:tc>
        <w:tc>
          <w:tcPr>
            <w:tcW w:w="6260" w:type="dxa"/>
            <w:vAlign w:val="bottom"/>
            <w:tcBorders>
              <w:bottom w:val="single" w:sz="8" w:color="0C3D25"/>
            </w:tcBorders>
            <w:shd w:val="clear" w:color="auto" w:fill="C0C6B3"/>
          </w:tcPr>
          <w:p>
            <w:pPr>
              <w:spacing w:after="0"/>
              <w:rPr>
                <w:sz w:val="24"/>
                <w:szCs w:val="24"/>
                <w:color w:val="auto"/>
              </w:rPr>
            </w:pPr>
          </w:p>
        </w:tc>
        <w:tc>
          <w:tcPr>
            <w:tcW w:w="2360" w:type="dxa"/>
            <w:vAlign w:val="bottom"/>
            <w:tcBorders>
              <w:bottom w:val="single" w:sz="8" w:color="0C3D25"/>
            </w:tcBorders>
            <w:shd w:val="clear" w:color="auto" w:fill="C0C6B3"/>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440" w:type="dxa"/>
            <w:vAlign w:val="bottom"/>
            <w:vMerge w:val="restart"/>
            <w:shd w:val="clear" w:color="auto" w:fill="E6E8DE"/>
          </w:tcPr>
          <w:p>
            <w:pPr>
              <w:jc w:val="center"/>
              <w:spacing w:after="0" w:line="822" w:lineRule="exact"/>
              <w:rPr>
                <w:sz w:val="20"/>
                <w:szCs w:val="20"/>
                <w:color w:val="auto"/>
              </w:rPr>
            </w:pPr>
            <w:r>
              <w:rPr>
                <w:rFonts w:ascii="Arial" w:cs="Arial" w:eastAsia="Arial" w:hAnsi="Arial"/>
                <w:sz w:val="72"/>
                <w:szCs w:val="72"/>
                <w:b w:val="1"/>
                <w:bCs w:val="1"/>
                <w:color w:val="0C3D25"/>
                <w:w w:val="99"/>
              </w:rPr>
              <w:t>4</w:t>
            </w:r>
          </w:p>
        </w:tc>
        <w:tc>
          <w:tcPr>
            <w:tcW w:w="6260" w:type="dxa"/>
            <w:vAlign w:val="bottom"/>
            <w:shd w:val="clear" w:color="auto" w:fill="E6E8DE"/>
          </w:tcPr>
          <w:p>
            <w:pPr>
              <w:ind w:left="300"/>
              <w:spacing w:after="0"/>
              <w:rPr>
                <w:sz w:val="20"/>
                <w:szCs w:val="20"/>
                <w:color w:val="auto"/>
              </w:rPr>
            </w:pPr>
            <w:r>
              <w:rPr>
                <w:rFonts w:ascii="Arial" w:cs="Arial" w:eastAsia="Arial" w:hAnsi="Arial"/>
                <w:sz w:val="20"/>
                <w:szCs w:val="20"/>
                <w:b w:val="1"/>
                <w:bCs w:val="1"/>
                <w:color w:val="auto"/>
                <w:w w:val="94"/>
              </w:rPr>
              <w:t>Approval of Proposal to Amend and Restate the Company’s ESPP</w:t>
            </w:r>
          </w:p>
        </w:tc>
        <w:tc>
          <w:tcPr>
            <w:tcW w:w="2360" w:type="dxa"/>
            <w:vAlign w:val="bottom"/>
            <w:shd w:val="clear" w:color="auto" w:fill="E6E8DE"/>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301"/>
        </w:trPr>
        <w:tc>
          <w:tcPr>
            <w:tcW w:w="1440" w:type="dxa"/>
            <w:vAlign w:val="bottom"/>
            <w:tcBorders>
              <w:bottom w:val="single" w:sz="8" w:color="0C3D25"/>
            </w:tcBorders>
            <w:vMerge w:val="continue"/>
            <w:shd w:val="clear" w:color="auto" w:fill="E6E8DE"/>
          </w:tcPr>
          <w:p>
            <w:pPr>
              <w:spacing w:after="0"/>
              <w:rPr>
                <w:sz w:val="24"/>
                <w:szCs w:val="24"/>
                <w:color w:val="auto"/>
              </w:rPr>
            </w:pPr>
          </w:p>
        </w:tc>
        <w:tc>
          <w:tcPr>
            <w:tcW w:w="6260" w:type="dxa"/>
            <w:vAlign w:val="bottom"/>
            <w:tcBorders>
              <w:bottom w:val="single" w:sz="8" w:color="0C3D25"/>
            </w:tcBorders>
            <w:shd w:val="clear" w:color="auto" w:fill="E6E8DE"/>
          </w:tcPr>
          <w:p>
            <w:pPr>
              <w:spacing w:after="0"/>
              <w:rPr>
                <w:sz w:val="24"/>
                <w:szCs w:val="24"/>
                <w:color w:val="auto"/>
              </w:rPr>
            </w:pPr>
          </w:p>
        </w:tc>
        <w:tc>
          <w:tcPr>
            <w:tcW w:w="2360" w:type="dxa"/>
            <w:vAlign w:val="bottom"/>
            <w:tcBorders>
              <w:bottom w:val="single" w:sz="8" w:color="0C3D25"/>
            </w:tcBorders>
            <w:shd w:val="clear" w:color="auto" w:fill="E6E8DE"/>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0C3D25"/>
        </w:rPr>
        <w:t xml:space="preserve">Votes Required to Adopt the Proposals </w:t>
      </w:r>
      <w:r>
        <w:rPr>
          <w:rFonts w:ascii="Arial" w:cs="Arial" w:eastAsia="Arial" w:hAnsi="Arial"/>
          <w:sz w:val="20"/>
          <w:szCs w:val="20"/>
          <w:color w:val="000000"/>
        </w:rPr>
        <w:t>Each share of our Common Stock outstanding on the record date is entitled to</w:t>
      </w:r>
      <w:r>
        <w:rPr>
          <w:rFonts w:ascii="Arial" w:cs="Arial" w:eastAsia="Arial" w:hAnsi="Arial"/>
          <w:sz w:val="20"/>
          <w:szCs w:val="20"/>
          <w:b w:val="1"/>
          <w:bCs w:val="1"/>
          <w:color w:val="0C3D25"/>
        </w:rPr>
        <w:t xml:space="preserve"> </w:t>
      </w:r>
      <w:r>
        <w:rPr>
          <w:rFonts w:ascii="Arial" w:cs="Arial" w:eastAsia="Arial" w:hAnsi="Arial"/>
          <w:sz w:val="20"/>
          <w:szCs w:val="20"/>
          <w:color w:val="000000"/>
        </w:rPr>
        <w:t>one vote on each of the nine director nominees and one vote on each other proposal.</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Proposal 1:</w:t>
      </w:r>
      <w:r>
        <w:rPr>
          <w:rFonts w:ascii="Arial" w:cs="Arial" w:eastAsia="Arial" w:hAnsi="Arial"/>
          <w:sz w:val="20"/>
          <w:szCs w:val="20"/>
          <w:color w:val="auto"/>
        </w:rPr>
        <w:t xml:space="preserve">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12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u w:val="single" w:color="auto"/>
          <w:color w:val="auto"/>
        </w:rPr>
        <w:t>Proposal 2, 3 and 4:</w:t>
      </w:r>
      <w:r>
        <w:rPr>
          <w:rFonts w:ascii="Arial" w:cs="Arial" w:eastAsia="Arial" w:hAnsi="Arial"/>
          <w:sz w:val="18"/>
          <w:szCs w:val="18"/>
          <w:color w:val="auto"/>
        </w:rPr>
        <w:t xml:space="preserve"> In order to be approved, each of proposals 2, 3 and 4 require the affirmative vote of the holders of a majority of the outstanding shares of Common Stock present, in person or by proxy, and entitled to vote on the matter.</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0C3D25"/>
        </w:rPr>
        <w:t xml:space="preserve">Effect of Abstentions </w:t>
      </w:r>
      <w:r>
        <w:rPr>
          <w:rFonts w:ascii="Arial" w:cs="Arial" w:eastAsia="Arial" w:hAnsi="Arial"/>
          <w:sz w:val="20"/>
          <w:szCs w:val="20"/>
          <w:color w:val="000000"/>
        </w:rPr>
        <w:t>Abstentions will have no effect on the election of directors. For each of the other proposals,</w:t>
      </w:r>
      <w:r>
        <w:rPr>
          <w:rFonts w:ascii="Arial" w:cs="Arial" w:eastAsia="Arial" w:hAnsi="Arial"/>
          <w:sz w:val="20"/>
          <w:szCs w:val="20"/>
          <w:b w:val="1"/>
          <w:bCs w:val="1"/>
          <w:color w:val="0C3D25"/>
        </w:rPr>
        <w:t xml:space="preserve"> </w:t>
      </w:r>
      <w:r>
        <w:rPr>
          <w:rFonts w:ascii="Arial" w:cs="Arial" w:eastAsia="Arial" w:hAnsi="Arial"/>
          <w:sz w:val="20"/>
          <w:szCs w:val="20"/>
          <w:color w:val="000000"/>
        </w:rPr>
        <w:t xml:space="preserve">abstentions will have the same effect as a vote </w:t>
      </w:r>
      <w:r>
        <w:rPr>
          <w:rFonts w:ascii="Arial" w:cs="Arial" w:eastAsia="Arial" w:hAnsi="Arial"/>
          <w:sz w:val="20"/>
          <w:szCs w:val="20"/>
          <w:i w:val="1"/>
          <w:iCs w:val="1"/>
          <w:color w:val="000000"/>
        </w:rPr>
        <w:t>against</w:t>
      </w:r>
      <w:r>
        <w:rPr>
          <w:rFonts w:ascii="Arial" w:cs="Arial" w:eastAsia="Arial" w:hAnsi="Arial"/>
          <w:sz w:val="20"/>
          <w:szCs w:val="20"/>
          <w:color w:val="000000"/>
        </w:rPr>
        <w:t xml:space="preserve"> these matters.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0C3D25"/>
        </w:rPr>
        <w:t xml:space="preserve">Effect of Broker Non-Votes </w:t>
      </w:r>
      <w:r>
        <w:rPr>
          <w:rFonts w:ascii="Arial" w:cs="Arial" w:eastAsia="Arial" w:hAnsi="Arial"/>
          <w:sz w:val="19"/>
          <w:szCs w:val="19"/>
          <w:color w:val="000000"/>
        </w:rPr>
        <w:t>If your shares are held by a broker, you may submit your voting instructions to the broker</w:t>
      </w:r>
      <w:r>
        <w:rPr>
          <w:rFonts w:ascii="Arial" w:cs="Arial" w:eastAsia="Arial" w:hAnsi="Arial"/>
          <w:sz w:val="19"/>
          <w:szCs w:val="19"/>
          <w:b w:val="1"/>
          <w:bCs w:val="1"/>
          <w:color w:val="0C3D25"/>
        </w:rPr>
        <w:t xml:space="preserve"> </w:t>
      </w:r>
      <w:r>
        <w:rPr>
          <w:rFonts w:ascii="Arial" w:cs="Arial" w:eastAsia="Arial" w:hAnsi="Arial"/>
          <w:sz w:val="19"/>
          <w:szCs w:val="19"/>
          <w:color w:val="000000"/>
        </w:rPr>
        <w:t>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With respect to proposals 1, 3 and 4, broker non-votes will have no effect on the outcome. To be sure your shares are voted in the manner you desire, you should instruct your broker how to vote your shares.</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C3D25"/>
        </w:rPr>
        <w:t xml:space="preserve">Quorum </w:t>
      </w:r>
      <w:r>
        <w:rPr>
          <w:rFonts w:ascii="Arial" w:cs="Arial" w:eastAsia="Arial" w:hAnsi="Arial"/>
          <w:sz w:val="20"/>
          <w:szCs w:val="20"/>
          <w:color w:val="000000"/>
        </w:rPr>
        <w:t>The holders of a majority of the shares of Common Stock outstanding on the record date must be present in</w:t>
      </w:r>
      <w:r>
        <w:rPr>
          <w:rFonts w:ascii="Arial" w:cs="Arial" w:eastAsia="Arial" w:hAnsi="Arial"/>
          <w:sz w:val="20"/>
          <w:szCs w:val="20"/>
          <w:b w:val="1"/>
          <w:bCs w:val="1"/>
          <w:color w:val="0C3D25"/>
        </w:rPr>
        <w:t xml:space="preserve"> </w:t>
      </w:r>
      <w:r>
        <w:rPr>
          <w:rFonts w:ascii="Arial" w:cs="Arial" w:eastAsia="Arial" w:hAnsi="Arial"/>
          <w:sz w:val="20"/>
          <w:szCs w:val="20"/>
          <w:color w:val="000000"/>
        </w:rPr>
        <w:t>person or by proxy to constitute a quorum necessary to conduct the Annual Meeting. Abstentions and broker non-votes are counted for purposes of determining a quorum.</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0C3D25"/>
        </w:rPr>
        <w:t xml:space="preserve">Stockholder Proposals and Nominees for the 2026 Annual Meeting </w:t>
      </w:r>
      <w:r>
        <w:rPr>
          <w:rFonts w:ascii="Arial" w:cs="Arial" w:eastAsia="Arial" w:hAnsi="Arial"/>
          <w:sz w:val="20"/>
          <w:szCs w:val="20"/>
          <w:color w:val="000000"/>
        </w:rPr>
        <w:t>The Company will not consider any proposal or</w:t>
      </w:r>
      <w:r>
        <w:rPr>
          <w:rFonts w:ascii="Arial" w:cs="Arial" w:eastAsia="Arial" w:hAnsi="Arial"/>
          <w:sz w:val="20"/>
          <w:szCs w:val="20"/>
          <w:b w:val="1"/>
          <w:bCs w:val="1"/>
          <w:color w:val="0C3D25"/>
        </w:rPr>
        <w:t xml:space="preserve"> </w:t>
      </w:r>
      <w:r>
        <w:rPr>
          <w:rFonts w:ascii="Arial" w:cs="Arial" w:eastAsia="Arial" w:hAnsi="Arial"/>
          <w:sz w:val="20"/>
          <w:szCs w:val="20"/>
          <w:color w:val="000000"/>
        </w:rPr>
        <w:t>nomination that is not timely or otherwise does not meet the Company’s By-law and Securities and Exchange Commission (“SEC”) requirements for submitting a proposal or nomination. We also ask that you email a courtesy copy of any notice to GCLegal@wm.com. A copy of our By-laws may be obtained free of charge by writing to our Corporate Secretary at 800 Capitol Street, Suite 3000, Houston, Texas 77002 and is available in the “Sustainability &amp; Governance — Corporate Governance” section of investors.wm.com.</w:t>
      </w:r>
    </w:p>
    <w:p>
      <w:pPr>
        <w:spacing w:after="0" w:line="200" w:lineRule="exact"/>
        <w:rPr>
          <w:sz w:val="20"/>
          <w:szCs w:val="20"/>
          <w:color w:val="auto"/>
        </w:rPr>
      </w:pPr>
    </w:p>
    <w:p>
      <w:pPr>
        <w:spacing w:after="0" w:line="224"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8" w:name="page9"/>
    <w:bookmarkEnd w:id="8"/>
    <w:p>
      <w:pPr>
        <w:ind w:left="81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GENERAL INFORMATION</w:t>
      </w:r>
    </w:p>
    <w:p>
      <w:pPr>
        <w:spacing w:after="0" w:line="27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Stockholder Proposals:</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stockholders who wish to submit a proposal for inclusion in the proxy statement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to Rule 14a-8 under the Securities Exchange Act of 1934, as amended (the “Exchange Act”), for our 2027 Annual Meeting must submit their proposal to our Corporate Secretary at Waste Management, Inc., 800 Capitol Street, Suite 3000, Houston, Texas 77002 for receipt on or before December 1, 2026. The proponent and the proposal must comply with the requirements set forth in the federal securities laws, including Rule 14a-8 of the Exchange Act, in order to be included in the Company’s proxy statement and proxy card for the 2027 Annual Meeting.</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Advance Notice Proposals and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 addition, the Company’s By-laws establish advance notice procedures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By-laws, for a proposal or nominee not included in our proxy materials to be properly brought before the 2027 Annual Meeting, a stockholder’s notice must be delivered to our Corporate Secretary at Waste Management, Inc., 800 Capitol Street, Suite 3000, Houston, Texas 77002 no earlier than December 13, 2026, and no later than January 12, 2027,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12, 2027, and must also comply with all other requirements of Rule 14a-19 under the Exchange Act. The Company will disregard any proxies solicited for a stockholder’s director nominee(s) if such stockholder fails to comply with such requirements.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Proxy Access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By-laws permit a stockholder or group of up to 20 stockholders owning 3%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1, 2026, and no later than December 1, 2026, together with other information required by the Company’s By-laws.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C3D25"/>
        </w:rPr>
        <w:t xml:space="preserve">Expenses of Solicitation </w:t>
      </w:r>
      <w:r>
        <w:rPr>
          <w:rFonts w:ascii="Arial" w:cs="Arial" w:eastAsia="Arial" w:hAnsi="Arial"/>
          <w:sz w:val="20"/>
          <w:szCs w:val="20"/>
          <w:color w:val="000000"/>
        </w:rPr>
        <w:t>We pay the cost of preparing, assembling and mailing this proxy-soliciting material. In addition</w:t>
      </w:r>
      <w:r>
        <w:rPr>
          <w:rFonts w:ascii="Arial" w:cs="Arial" w:eastAsia="Arial" w:hAnsi="Arial"/>
          <w:sz w:val="20"/>
          <w:szCs w:val="20"/>
          <w:b w:val="1"/>
          <w:bCs w:val="1"/>
          <w:color w:val="0C3D25"/>
        </w:rPr>
        <w:t xml:space="preserve"> </w:t>
      </w:r>
      <w:r>
        <w:rPr>
          <w:rFonts w:ascii="Arial" w:cs="Arial" w:eastAsia="Arial" w:hAnsi="Arial"/>
          <w:sz w:val="20"/>
          <w:szCs w:val="20"/>
          <w:color w:val="000000"/>
        </w:rPr>
        <w:t>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2026 Annual Meeting for a fee of $20,000 plus associated costs and expenses.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C3D25"/>
        </w:rPr>
        <w:t xml:space="preserve">Annual Report </w:t>
      </w:r>
      <w:r>
        <w:rPr>
          <w:rFonts w:ascii="Arial" w:cs="Arial" w:eastAsia="Arial" w:hAnsi="Arial"/>
          <w:sz w:val="20"/>
          <w:szCs w:val="20"/>
          <w:color w:val="000000"/>
        </w:rPr>
        <w:t>A copy of our Annual Report on Form 10-K for the year ended December 31, 2025, which includes our</w:t>
      </w:r>
      <w:r>
        <w:rPr>
          <w:rFonts w:ascii="Arial" w:cs="Arial" w:eastAsia="Arial" w:hAnsi="Arial"/>
          <w:sz w:val="20"/>
          <w:szCs w:val="20"/>
          <w:b w:val="1"/>
          <w:bCs w:val="1"/>
          <w:color w:val="0C3D25"/>
        </w:rPr>
        <w:t xml:space="preserve"> </w:t>
      </w:r>
      <w:r>
        <w:rPr>
          <w:rFonts w:ascii="Arial" w:cs="Arial" w:eastAsia="Arial" w:hAnsi="Arial"/>
          <w:sz w:val="20"/>
          <w:szCs w:val="20"/>
          <w:color w:val="000000"/>
        </w:rPr>
        <w:t>financial statements for fiscal year 2025, is provided with this Proxy Statement and is available at investors.wm.com. The Annual Report on Form 10-K is not incorporated by reference into this Proxy Statement or deemed to be a part of the materials for the solicitation of proxies.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 wish to receive a separate or additional copy of this Proxy Statement and Annual Report free of charge, please contact: Waste Management, Inc., Corporate Secretary, 800 Capitol Street, Suite 3000, Houston, Texas 77002, telephone 713-512-6393.</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C3D25"/>
        </w:rPr>
        <w:t xml:space="preserve">Householding Information </w:t>
      </w:r>
      <w:r>
        <w:rPr>
          <w:rFonts w:ascii="Arial" w:cs="Arial" w:eastAsia="Arial" w:hAnsi="Arial"/>
          <w:sz w:val="20"/>
          <w:szCs w:val="20"/>
          <w:color w:val="000000"/>
        </w:rPr>
        <w:t>We have adopted a procedure approved by the SEC called “householding.” Under this</w:t>
      </w:r>
      <w:r>
        <w:rPr>
          <w:rFonts w:ascii="Arial" w:cs="Arial" w:eastAsia="Arial" w:hAnsi="Arial"/>
          <w:sz w:val="20"/>
          <w:szCs w:val="20"/>
          <w:b w:val="1"/>
          <w:bCs w:val="1"/>
          <w:color w:val="0C3D25"/>
        </w:rPr>
        <w:t xml:space="preserve"> </w:t>
      </w:r>
      <w:r>
        <w:rPr>
          <w:rFonts w:ascii="Arial" w:cs="Arial" w:eastAsia="Arial" w:hAnsi="Arial"/>
          <w:sz w:val="20"/>
          <w:szCs w:val="20"/>
          <w:color w:val="000000"/>
        </w:rPr>
        <w:t>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 receiving multiple copies of proxy materials and wish to receive only one copy for your household, please contact Broadridge.</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color w:val="0C3D25"/>
        </w:rPr>
        <w:t>BOARD OF DIRECTORS</w:t>
      </w: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Board of Directors currently has 9 members. Each member of our Board is elected annually and is nominated for re-election at the 2026 Annual Meeting.</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Nominees for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0C3D25"/>
              </w:rPr>
              <w:t>Committee</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Borders>
              <w:bottom w:val="single" w:sz="8" w:color="0C3D25"/>
            </w:tcBorders>
          </w:tcPr>
          <w:p>
            <w:pPr>
              <w:spacing w:after="0"/>
              <w:rPr>
                <w:sz w:val="3"/>
                <w:szCs w:val="3"/>
                <w:color w:val="auto"/>
              </w:rPr>
            </w:pPr>
          </w:p>
        </w:tc>
        <w:tc>
          <w:tcPr>
            <w:tcW w:w="260" w:type="dxa"/>
            <w:vAlign w:val="bottom"/>
            <w:tcBorders>
              <w:bottom w:val="single" w:sz="8" w:color="0C3D25"/>
            </w:tcBorders>
          </w:tcPr>
          <w:p>
            <w:pPr>
              <w:spacing w:after="0"/>
              <w:rPr>
                <w:sz w:val="3"/>
                <w:szCs w:val="3"/>
                <w:color w:val="auto"/>
              </w:rPr>
            </w:pPr>
          </w:p>
        </w:tc>
        <w:tc>
          <w:tcPr>
            <w:tcW w:w="300" w:type="dxa"/>
            <w:vAlign w:val="bottom"/>
            <w:tcBorders>
              <w:bottom w:val="single" w:sz="8" w:color="0C3D25"/>
            </w:tcBorders>
          </w:tcPr>
          <w:p>
            <w:pPr>
              <w:spacing w:after="0"/>
              <w:rPr>
                <w:sz w:val="3"/>
                <w:szCs w:val="3"/>
                <w:color w:val="auto"/>
              </w:rPr>
            </w:pPr>
          </w:p>
        </w:tc>
        <w:tc>
          <w:tcPr>
            <w:tcW w:w="660" w:type="dxa"/>
            <w:vAlign w:val="bottom"/>
            <w:tcBorders>
              <w:bottom w:val="single" w:sz="8" w:color="0C3D25"/>
            </w:tcBorders>
          </w:tcPr>
          <w:p>
            <w:pPr>
              <w:spacing w:after="0"/>
              <w:rPr>
                <w:sz w:val="3"/>
                <w:szCs w:val="3"/>
                <w:color w:val="auto"/>
              </w:rPr>
            </w:pPr>
          </w:p>
        </w:tc>
        <w:tc>
          <w:tcPr>
            <w:tcW w:w="240" w:type="dxa"/>
            <w:vAlign w:val="bottom"/>
            <w:tcBorders>
              <w:bottom w:val="single" w:sz="8" w:color="0C3D25"/>
            </w:tcBorders>
          </w:tcPr>
          <w:p>
            <w:pPr>
              <w:spacing w:after="0"/>
              <w:rPr>
                <w:sz w:val="3"/>
                <w:szCs w:val="3"/>
                <w:color w:val="auto"/>
              </w:rPr>
            </w:pPr>
          </w:p>
        </w:tc>
        <w:tc>
          <w:tcPr>
            <w:tcW w:w="720" w:type="dxa"/>
            <w:vAlign w:val="bottom"/>
            <w:tcBorders>
              <w:bottom w:val="single" w:sz="8" w:color="0C3D25"/>
            </w:tcBorders>
          </w:tcPr>
          <w:p>
            <w:pPr>
              <w:spacing w:after="0"/>
              <w:rPr>
                <w:sz w:val="3"/>
                <w:szCs w:val="3"/>
                <w:color w:val="auto"/>
              </w:rPr>
            </w:pPr>
          </w:p>
        </w:tc>
        <w:tc>
          <w:tcPr>
            <w:tcW w:w="520" w:type="dxa"/>
            <w:vAlign w:val="bottom"/>
            <w:tcBorders>
              <w:bottom w:val="single" w:sz="8" w:color="0C3D25"/>
            </w:tcBorders>
          </w:tcPr>
          <w:p>
            <w:pPr>
              <w:spacing w:after="0"/>
              <w:rPr>
                <w:sz w:val="3"/>
                <w:szCs w:val="3"/>
                <w:color w:val="auto"/>
              </w:rPr>
            </w:pPr>
          </w:p>
        </w:tc>
        <w:tc>
          <w:tcPr>
            <w:tcW w:w="260" w:type="dxa"/>
            <w:vAlign w:val="bottom"/>
            <w:tcBorders>
              <w:bottom w:val="single" w:sz="8" w:color="0C3D25"/>
            </w:tcBorders>
          </w:tcPr>
          <w:p>
            <w:pPr>
              <w:spacing w:after="0"/>
              <w:rPr>
                <w:sz w:val="3"/>
                <w:szCs w:val="3"/>
                <w:color w:val="auto"/>
              </w:rPr>
            </w:pPr>
          </w:p>
        </w:tc>
        <w:tc>
          <w:tcPr>
            <w:tcW w:w="40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C3D25"/>
                <w:w w:val="91"/>
              </w:rPr>
              <w:t>Management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0C3D25"/>
                <w:w w:val="90"/>
              </w:rPr>
              <w:t>Development &amp;</w:t>
            </w:r>
          </w:p>
        </w:tc>
        <w:tc>
          <w:tcPr>
            <w:tcW w:w="1180" w:type="dxa"/>
            <w:vAlign w:val="bottom"/>
            <w:gridSpan w:val="3"/>
          </w:tcPr>
          <w:p>
            <w:pPr>
              <w:jc w:val="center"/>
              <w:ind w:left="20"/>
              <w:spacing w:after="0" w:line="160" w:lineRule="exact"/>
              <w:rPr>
                <w:sz w:val="20"/>
                <w:szCs w:val="20"/>
                <w:color w:val="auto"/>
              </w:rPr>
            </w:pPr>
            <w:r>
              <w:rPr>
                <w:rFonts w:ascii="Arial" w:cs="Arial" w:eastAsia="Arial" w:hAnsi="Arial"/>
                <w:sz w:val="16"/>
                <w:szCs w:val="16"/>
                <w:b w:val="1"/>
                <w:bCs w:val="1"/>
                <w:color w:val="0C3D25"/>
                <w:w w:val="92"/>
              </w:rPr>
              <w:t>Nominating &amp;</w:t>
            </w: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6"/>
                <w:szCs w:val="16"/>
                <w:b w:val="1"/>
                <w:bCs w:val="1"/>
                <w:color w:val="0C3D25"/>
              </w:rPr>
              <w:t>Name</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jc w:val="center"/>
              <w:ind w:left="42"/>
              <w:spacing w:after="0"/>
              <w:rPr>
                <w:sz w:val="20"/>
                <w:szCs w:val="20"/>
                <w:color w:val="auto"/>
              </w:rPr>
            </w:pPr>
            <w:r>
              <w:rPr>
                <w:rFonts w:ascii="Arial" w:cs="Arial" w:eastAsia="Arial" w:hAnsi="Arial"/>
                <w:sz w:val="16"/>
                <w:szCs w:val="16"/>
                <w:b w:val="1"/>
                <w:bCs w:val="1"/>
                <w:color w:val="0C3D25"/>
                <w:w w:val="92"/>
              </w:rPr>
              <w:t>Age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C3D25"/>
                <w:w w:val="93"/>
              </w:rPr>
              <w:t>Tenure</w:t>
            </w:r>
          </w:p>
        </w:tc>
        <w:tc>
          <w:tcPr>
            <w:tcW w:w="1360" w:type="dxa"/>
            <w:vAlign w:val="bottom"/>
          </w:tcPr>
          <w:p>
            <w:pPr>
              <w:ind w:left="240"/>
              <w:spacing w:after="0"/>
              <w:rPr>
                <w:sz w:val="20"/>
                <w:szCs w:val="20"/>
                <w:color w:val="auto"/>
              </w:rPr>
            </w:pPr>
            <w:r>
              <w:rPr>
                <w:rFonts w:ascii="Arial" w:cs="Arial" w:eastAsia="Arial" w:hAnsi="Arial"/>
                <w:sz w:val="16"/>
                <w:szCs w:val="16"/>
                <w:b w:val="1"/>
                <w:bCs w:val="1"/>
                <w:color w:val="0C3D25"/>
              </w:rPr>
              <w:t>Independent</w:t>
            </w:r>
          </w:p>
        </w:tc>
        <w:tc>
          <w:tcPr>
            <w:tcW w:w="860" w:type="dxa"/>
            <w:vAlign w:val="bottom"/>
            <w:gridSpan w:val="3"/>
          </w:tcPr>
          <w:p>
            <w:pPr>
              <w:ind w:left="240"/>
              <w:spacing w:after="0"/>
              <w:rPr>
                <w:sz w:val="20"/>
                <w:szCs w:val="20"/>
                <w:color w:val="auto"/>
              </w:rPr>
            </w:pPr>
            <w:r>
              <w:rPr>
                <w:rFonts w:ascii="Arial" w:cs="Arial" w:eastAsia="Arial" w:hAnsi="Arial"/>
                <w:sz w:val="16"/>
                <w:szCs w:val="16"/>
                <w:b w:val="1"/>
                <w:bCs w:val="1"/>
                <w:color w:val="0C3D25"/>
              </w:rPr>
              <w:t>Audit</w:t>
            </w: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C3D25"/>
                <w:w w:val="91"/>
              </w:rPr>
              <w:t>Compensation</w:t>
            </w:r>
          </w:p>
        </w:tc>
        <w:tc>
          <w:tcPr>
            <w:tcW w:w="1180" w:type="dxa"/>
            <w:vAlign w:val="bottom"/>
            <w:gridSpan w:val="3"/>
          </w:tcPr>
          <w:p>
            <w:pPr>
              <w:jc w:val="center"/>
              <w:ind w:left="20"/>
              <w:spacing w:after="0"/>
              <w:rPr>
                <w:sz w:val="20"/>
                <w:szCs w:val="20"/>
                <w:color w:val="auto"/>
              </w:rPr>
            </w:pPr>
            <w:r>
              <w:rPr>
                <w:rFonts w:ascii="Arial" w:cs="Arial" w:eastAsia="Arial" w:hAnsi="Arial"/>
                <w:sz w:val="16"/>
                <w:szCs w:val="16"/>
                <w:b w:val="1"/>
                <w:bCs w:val="1"/>
                <w:color w:val="0C3D25"/>
                <w:w w:val="90"/>
              </w:rPr>
              <w:t>Governance</w:t>
            </w:r>
          </w:p>
        </w:tc>
        <w:tc>
          <w:tcPr>
            <w:tcW w:w="0" w:type="dxa"/>
            <w:vAlign w:val="bottom"/>
          </w:tcPr>
          <w:p>
            <w:pPr>
              <w:spacing w:after="0"/>
              <w:rPr>
                <w:sz w:val="1"/>
                <w:szCs w:val="1"/>
                <w:color w:val="auto"/>
              </w:rPr>
            </w:pPr>
          </w:p>
        </w:tc>
      </w:tr>
      <w:tr>
        <w:trPr>
          <w:trHeight w:val="42"/>
        </w:trPr>
        <w:tc>
          <w:tcPr>
            <w:tcW w:w="680" w:type="dxa"/>
            <w:vAlign w:val="bottom"/>
            <w:tcBorders>
              <w:bottom w:val="single" w:sz="8" w:color="0C3D25"/>
            </w:tcBorders>
          </w:tcPr>
          <w:p>
            <w:pPr>
              <w:spacing w:after="0"/>
              <w:rPr>
                <w:sz w:val="3"/>
                <w:szCs w:val="3"/>
                <w:color w:val="auto"/>
              </w:rPr>
            </w:pPr>
          </w:p>
        </w:tc>
        <w:tc>
          <w:tcPr>
            <w:tcW w:w="260" w:type="dxa"/>
            <w:vAlign w:val="bottom"/>
            <w:tcBorders>
              <w:bottom w:val="single" w:sz="8" w:color="0C3D25"/>
            </w:tcBorders>
          </w:tcPr>
          <w:p>
            <w:pPr>
              <w:spacing w:after="0"/>
              <w:rPr>
                <w:sz w:val="3"/>
                <w:szCs w:val="3"/>
                <w:color w:val="auto"/>
              </w:rPr>
            </w:pPr>
          </w:p>
        </w:tc>
        <w:tc>
          <w:tcPr>
            <w:tcW w:w="1460" w:type="dxa"/>
            <w:vAlign w:val="bottom"/>
            <w:tcBorders>
              <w:bottom w:val="single" w:sz="8" w:color="0C3D25"/>
            </w:tcBorders>
          </w:tcPr>
          <w:p>
            <w:pPr>
              <w:spacing w:after="0"/>
              <w:rPr>
                <w:sz w:val="3"/>
                <w:szCs w:val="3"/>
                <w:color w:val="auto"/>
              </w:rPr>
            </w:pPr>
          </w:p>
        </w:tc>
        <w:tc>
          <w:tcPr>
            <w:tcW w:w="900" w:type="dxa"/>
            <w:vAlign w:val="bottom"/>
            <w:tcBorders>
              <w:bottom w:val="single" w:sz="8" w:color="0C3D25"/>
            </w:tcBorders>
          </w:tcPr>
          <w:p>
            <w:pPr>
              <w:spacing w:after="0"/>
              <w:rPr>
                <w:sz w:val="3"/>
                <w:szCs w:val="3"/>
                <w:color w:val="auto"/>
              </w:rPr>
            </w:pPr>
          </w:p>
        </w:tc>
        <w:tc>
          <w:tcPr>
            <w:tcW w:w="1740" w:type="dxa"/>
            <w:vAlign w:val="bottom"/>
            <w:tcBorders>
              <w:bottom w:val="single" w:sz="8" w:color="0C3D25"/>
            </w:tcBorders>
          </w:tcPr>
          <w:p>
            <w:pPr>
              <w:spacing w:after="0"/>
              <w:rPr>
                <w:sz w:val="3"/>
                <w:szCs w:val="3"/>
                <w:color w:val="auto"/>
              </w:rPr>
            </w:pPr>
          </w:p>
        </w:tc>
        <w:tc>
          <w:tcPr>
            <w:tcW w:w="1360" w:type="dxa"/>
            <w:vAlign w:val="bottom"/>
            <w:tcBorders>
              <w:bottom w:val="single" w:sz="8" w:color="0C3D25"/>
            </w:tcBorders>
          </w:tcPr>
          <w:p>
            <w:pPr>
              <w:spacing w:after="0"/>
              <w:rPr>
                <w:sz w:val="3"/>
                <w:szCs w:val="3"/>
                <w:color w:val="auto"/>
              </w:rPr>
            </w:pPr>
          </w:p>
        </w:tc>
        <w:tc>
          <w:tcPr>
            <w:tcW w:w="300" w:type="dxa"/>
            <w:vAlign w:val="bottom"/>
            <w:tcBorders>
              <w:bottom w:val="single" w:sz="8" w:color="0C3D25"/>
            </w:tcBorders>
          </w:tcPr>
          <w:p>
            <w:pPr>
              <w:spacing w:after="0"/>
              <w:rPr>
                <w:sz w:val="3"/>
                <w:szCs w:val="3"/>
                <w:color w:val="auto"/>
              </w:rPr>
            </w:pPr>
          </w:p>
        </w:tc>
        <w:tc>
          <w:tcPr>
            <w:tcW w:w="260" w:type="dxa"/>
            <w:vAlign w:val="bottom"/>
            <w:tcBorders>
              <w:bottom w:val="single" w:sz="8" w:color="0C3D25"/>
            </w:tcBorders>
          </w:tcPr>
          <w:p>
            <w:pPr>
              <w:spacing w:after="0"/>
              <w:rPr>
                <w:sz w:val="3"/>
                <w:szCs w:val="3"/>
                <w:color w:val="auto"/>
              </w:rPr>
            </w:pPr>
          </w:p>
        </w:tc>
        <w:tc>
          <w:tcPr>
            <w:tcW w:w="300" w:type="dxa"/>
            <w:vAlign w:val="bottom"/>
            <w:tcBorders>
              <w:bottom w:val="single" w:sz="8" w:color="0C3D25"/>
            </w:tcBorders>
          </w:tcPr>
          <w:p>
            <w:pPr>
              <w:spacing w:after="0"/>
              <w:rPr>
                <w:sz w:val="3"/>
                <w:szCs w:val="3"/>
                <w:color w:val="auto"/>
              </w:rPr>
            </w:pPr>
          </w:p>
        </w:tc>
        <w:tc>
          <w:tcPr>
            <w:tcW w:w="660" w:type="dxa"/>
            <w:vAlign w:val="bottom"/>
            <w:tcBorders>
              <w:bottom w:val="single" w:sz="8" w:color="0C3D25"/>
            </w:tcBorders>
          </w:tcPr>
          <w:p>
            <w:pPr>
              <w:spacing w:after="0"/>
              <w:rPr>
                <w:sz w:val="3"/>
                <w:szCs w:val="3"/>
                <w:color w:val="auto"/>
              </w:rPr>
            </w:pPr>
          </w:p>
        </w:tc>
        <w:tc>
          <w:tcPr>
            <w:tcW w:w="240" w:type="dxa"/>
            <w:vAlign w:val="bottom"/>
            <w:tcBorders>
              <w:bottom w:val="single" w:sz="8" w:color="0C3D25"/>
            </w:tcBorders>
          </w:tcPr>
          <w:p>
            <w:pPr>
              <w:spacing w:after="0"/>
              <w:rPr>
                <w:sz w:val="3"/>
                <w:szCs w:val="3"/>
                <w:color w:val="auto"/>
              </w:rPr>
            </w:pPr>
          </w:p>
        </w:tc>
        <w:tc>
          <w:tcPr>
            <w:tcW w:w="720" w:type="dxa"/>
            <w:vAlign w:val="bottom"/>
            <w:tcBorders>
              <w:bottom w:val="single" w:sz="8" w:color="0C3D25"/>
            </w:tcBorders>
          </w:tcPr>
          <w:p>
            <w:pPr>
              <w:spacing w:after="0"/>
              <w:rPr>
                <w:sz w:val="3"/>
                <w:szCs w:val="3"/>
                <w:color w:val="auto"/>
              </w:rPr>
            </w:pPr>
          </w:p>
        </w:tc>
        <w:tc>
          <w:tcPr>
            <w:tcW w:w="520" w:type="dxa"/>
            <w:vAlign w:val="bottom"/>
            <w:tcBorders>
              <w:bottom w:val="single" w:sz="8" w:color="0C3D25"/>
            </w:tcBorders>
          </w:tcPr>
          <w:p>
            <w:pPr>
              <w:spacing w:after="0"/>
              <w:rPr>
                <w:sz w:val="3"/>
                <w:szCs w:val="3"/>
                <w:color w:val="auto"/>
              </w:rPr>
            </w:pPr>
          </w:p>
        </w:tc>
        <w:tc>
          <w:tcPr>
            <w:tcW w:w="260" w:type="dxa"/>
            <w:vAlign w:val="bottom"/>
            <w:tcBorders>
              <w:bottom w:val="single" w:sz="8" w:color="0C3D25"/>
            </w:tcBorders>
          </w:tcPr>
          <w:p>
            <w:pPr>
              <w:spacing w:after="0"/>
              <w:rPr>
                <w:sz w:val="3"/>
                <w:szCs w:val="3"/>
                <w:color w:val="auto"/>
              </w:rPr>
            </w:pPr>
          </w:p>
        </w:tc>
        <w:tc>
          <w:tcPr>
            <w:tcW w:w="40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Thomas L. Bené</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63</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2024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Bruce E. Chinn</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69</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2023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James C. Fish, Jr.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63</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2016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Andrés R. Gluski</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68</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0C3D25"/>
            </w:tcBorders>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right w:val="single" w:sz="8" w:color="0C3D25"/>
            </w:tcBorders>
          </w:tcPr>
          <w:p>
            <w:pPr>
              <w:spacing w:after="0"/>
              <w:rPr>
                <w:sz w:val="20"/>
                <w:szCs w:val="20"/>
                <w:color w:val="auto"/>
              </w:rPr>
            </w:pPr>
          </w:p>
        </w:tc>
        <w:tc>
          <w:tcPr>
            <w:tcW w:w="240" w:type="dxa"/>
            <w:vAlign w:val="bottom"/>
            <w:tcBorders>
              <w:bottom w:val="single" w:sz="8" w:color="0C3D25"/>
              <w:right w:val="single" w:sz="8" w:color="0C3D25"/>
            </w:tcBorders>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8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146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1740" w:type="dxa"/>
            <w:vAlign w:val="bottom"/>
            <w:tcBorders>
              <w:bottom w:val="single" w:sz="8" w:color="0C3D25"/>
            </w:tcBorders>
          </w:tcPr>
          <w:p>
            <w:pPr>
              <w:spacing w:after="0"/>
              <w:rPr>
                <w:sz w:val="6"/>
                <w:szCs w:val="6"/>
                <w:color w:val="auto"/>
              </w:rPr>
            </w:pPr>
          </w:p>
        </w:tc>
        <w:tc>
          <w:tcPr>
            <w:tcW w:w="1360" w:type="dxa"/>
            <w:vAlign w:val="bottom"/>
            <w:tcBorders>
              <w:bottom w:val="single" w:sz="8" w:color="0C3D25"/>
            </w:tcBorders>
          </w:tcPr>
          <w:p>
            <w:pPr>
              <w:spacing w:after="0"/>
              <w:rPr>
                <w:sz w:val="6"/>
                <w:szCs w:val="6"/>
                <w:color w:val="auto"/>
              </w:rPr>
            </w:pPr>
          </w:p>
        </w:tc>
        <w:tc>
          <w:tcPr>
            <w:tcW w:w="30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300" w:type="dxa"/>
            <w:vAlign w:val="bottom"/>
            <w:tcBorders>
              <w:bottom w:val="single" w:sz="8" w:color="0C3D25"/>
            </w:tcBorders>
          </w:tcPr>
          <w:p>
            <w:pPr>
              <w:spacing w:after="0"/>
              <w:rPr>
                <w:sz w:val="6"/>
                <w:szCs w:val="6"/>
                <w:color w:val="auto"/>
              </w:rPr>
            </w:pPr>
          </w:p>
        </w:tc>
        <w:tc>
          <w:tcPr>
            <w:tcW w:w="660" w:type="dxa"/>
            <w:vAlign w:val="bottom"/>
            <w:tcBorders>
              <w:bottom w:val="single" w:sz="8" w:color="0C3D25"/>
            </w:tcBorders>
          </w:tcPr>
          <w:p>
            <w:pPr>
              <w:spacing w:after="0"/>
              <w:rPr>
                <w:sz w:val="6"/>
                <w:szCs w:val="6"/>
                <w:color w:val="auto"/>
              </w:rPr>
            </w:pPr>
          </w:p>
        </w:tc>
        <w:tc>
          <w:tcPr>
            <w:tcW w:w="240" w:type="dxa"/>
            <w:vAlign w:val="bottom"/>
            <w:tcBorders>
              <w:bottom w:val="single" w:sz="8" w:color="0C3D25"/>
            </w:tcBorders>
          </w:tcPr>
          <w:p>
            <w:pPr>
              <w:spacing w:after="0"/>
              <w:rPr>
                <w:sz w:val="6"/>
                <w:szCs w:val="6"/>
                <w:color w:val="auto"/>
              </w:rPr>
            </w:pPr>
          </w:p>
        </w:tc>
        <w:tc>
          <w:tcPr>
            <w:tcW w:w="720" w:type="dxa"/>
            <w:vAlign w:val="bottom"/>
            <w:tcBorders>
              <w:bottom w:val="single" w:sz="8" w:color="0C3D25"/>
            </w:tcBorders>
          </w:tcPr>
          <w:p>
            <w:pPr>
              <w:spacing w:after="0"/>
              <w:rPr>
                <w:sz w:val="6"/>
                <w:szCs w:val="6"/>
                <w:color w:val="auto"/>
              </w:rPr>
            </w:pPr>
          </w:p>
        </w:tc>
        <w:tc>
          <w:tcPr>
            <w:tcW w:w="52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400" w:type="dxa"/>
            <w:vAlign w:val="bottom"/>
            <w:tcBorders>
              <w:bottom w:val="single" w:sz="8" w:color="0C3D25"/>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Victoria M. Holt</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68</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2013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0C3D25"/>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right w:val="single" w:sz="8" w:color="0C3D25"/>
            </w:tcBorders>
          </w:tcPr>
          <w:p>
            <w:pPr>
              <w:spacing w:after="0"/>
              <w:rPr>
                <w:sz w:val="20"/>
                <w:szCs w:val="20"/>
                <w:color w:val="auto"/>
              </w:rPr>
            </w:pPr>
          </w:p>
        </w:tc>
        <w:tc>
          <w:tcPr>
            <w:tcW w:w="260" w:type="dxa"/>
            <w:vAlign w:val="bottom"/>
            <w:tcBorders>
              <w:bottom w:val="single" w:sz="8" w:color="0C3D25"/>
              <w:right w:val="single" w:sz="8" w:color="0C3D25"/>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400" w:type="dxa"/>
            <w:vAlign w:val="bottom"/>
            <w:gridSpan w:val="3"/>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Kathleen M. Mazzarella</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66</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Sean E. Menke</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57</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William B. Plummer</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67</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2019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0C3D25"/>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Borders>
              <w:right w:val="single" w:sz="8" w:color="0C3D25"/>
            </w:tcBorders>
          </w:tcPr>
          <w:p>
            <w:pPr>
              <w:spacing w:after="0"/>
              <w:rPr>
                <w:sz w:val="20"/>
                <w:szCs w:val="20"/>
                <w:color w:val="auto"/>
              </w:rPr>
            </w:pPr>
          </w:p>
        </w:tc>
        <w:tc>
          <w:tcPr>
            <w:tcW w:w="260" w:type="dxa"/>
            <w:vAlign w:val="bottom"/>
            <w:tcBorders>
              <w:bottom w:val="single" w:sz="8" w:color="0C3D25"/>
              <w:right w:val="single" w:sz="8" w:color="0C3D25"/>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8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146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1740" w:type="dxa"/>
            <w:vAlign w:val="bottom"/>
            <w:tcBorders>
              <w:bottom w:val="single" w:sz="8" w:color="0C3D25"/>
            </w:tcBorders>
          </w:tcPr>
          <w:p>
            <w:pPr>
              <w:spacing w:after="0"/>
              <w:rPr>
                <w:sz w:val="6"/>
                <w:szCs w:val="6"/>
                <w:color w:val="auto"/>
              </w:rPr>
            </w:pPr>
          </w:p>
        </w:tc>
        <w:tc>
          <w:tcPr>
            <w:tcW w:w="1360" w:type="dxa"/>
            <w:vAlign w:val="bottom"/>
            <w:tcBorders>
              <w:bottom w:val="single" w:sz="8" w:color="0C3D25"/>
            </w:tcBorders>
          </w:tcPr>
          <w:p>
            <w:pPr>
              <w:spacing w:after="0"/>
              <w:rPr>
                <w:sz w:val="6"/>
                <w:szCs w:val="6"/>
                <w:color w:val="auto"/>
              </w:rPr>
            </w:pPr>
          </w:p>
        </w:tc>
        <w:tc>
          <w:tcPr>
            <w:tcW w:w="30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300" w:type="dxa"/>
            <w:vAlign w:val="bottom"/>
            <w:tcBorders>
              <w:bottom w:val="single" w:sz="8" w:color="0C3D25"/>
            </w:tcBorders>
          </w:tcPr>
          <w:p>
            <w:pPr>
              <w:spacing w:after="0"/>
              <w:rPr>
                <w:sz w:val="6"/>
                <w:szCs w:val="6"/>
                <w:color w:val="auto"/>
              </w:rPr>
            </w:pPr>
          </w:p>
        </w:tc>
        <w:tc>
          <w:tcPr>
            <w:tcW w:w="660" w:type="dxa"/>
            <w:vAlign w:val="bottom"/>
            <w:tcBorders>
              <w:bottom w:val="single" w:sz="8" w:color="0C3D25"/>
            </w:tcBorders>
          </w:tcPr>
          <w:p>
            <w:pPr>
              <w:spacing w:after="0"/>
              <w:rPr>
                <w:sz w:val="6"/>
                <w:szCs w:val="6"/>
                <w:color w:val="auto"/>
              </w:rPr>
            </w:pPr>
          </w:p>
        </w:tc>
        <w:tc>
          <w:tcPr>
            <w:tcW w:w="240" w:type="dxa"/>
            <w:vAlign w:val="bottom"/>
            <w:tcBorders>
              <w:bottom w:val="single" w:sz="8" w:color="0C3D25"/>
            </w:tcBorders>
          </w:tcPr>
          <w:p>
            <w:pPr>
              <w:spacing w:after="0"/>
              <w:rPr>
                <w:sz w:val="6"/>
                <w:szCs w:val="6"/>
                <w:color w:val="auto"/>
              </w:rPr>
            </w:pPr>
          </w:p>
        </w:tc>
        <w:tc>
          <w:tcPr>
            <w:tcW w:w="720" w:type="dxa"/>
            <w:vAlign w:val="bottom"/>
            <w:tcBorders>
              <w:bottom w:val="single" w:sz="8" w:color="0C3D25"/>
            </w:tcBorders>
          </w:tcPr>
          <w:p>
            <w:pPr>
              <w:spacing w:after="0"/>
              <w:rPr>
                <w:sz w:val="6"/>
                <w:szCs w:val="6"/>
                <w:color w:val="auto"/>
              </w:rPr>
            </w:pPr>
          </w:p>
        </w:tc>
        <w:tc>
          <w:tcPr>
            <w:tcW w:w="520" w:type="dxa"/>
            <w:vAlign w:val="bottom"/>
            <w:tcBorders>
              <w:bottom w:val="single" w:sz="8" w:color="0C3D25"/>
            </w:tcBorders>
          </w:tcPr>
          <w:p>
            <w:pPr>
              <w:spacing w:after="0"/>
              <w:rPr>
                <w:sz w:val="6"/>
                <w:szCs w:val="6"/>
                <w:color w:val="auto"/>
              </w:rPr>
            </w:pPr>
          </w:p>
        </w:tc>
        <w:tc>
          <w:tcPr>
            <w:tcW w:w="260" w:type="dxa"/>
            <w:vAlign w:val="bottom"/>
            <w:tcBorders>
              <w:bottom w:val="single" w:sz="8" w:color="0C3D25"/>
            </w:tcBorders>
          </w:tcPr>
          <w:p>
            <w:pPr>
              <w:spacing w:after="0"/>
              <w:rPr>
                <w:sz w:val="6"/>
                <w:szCs w:val="6"/>
                <w:color w:val="auto"/>
              </w:rPr>
            </w:pPr>
          </w:p>
        </w:tc>
        <w:tc>
          <w:tcPr>
            <w:tcW w:w="400" w:type="dxa"/>
            <w:vAlign w:val="bottom"/>
            <w:tcBorders>
              <w:bottom w:val="single" w:sz="8" w:color="0C3D25"/>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Maryrose T. Sylvester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60</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68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146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740" w:type="dxa"/>
            <w:vAlign w:val="bottom"/>
            <w:tcBorders>
              <w:bottom w:val="single" w:sz="8" w:color="0C3D25"/>
            </w:tcBorders>
          </w:tcPr>
          <w:p>
            <w:pPr>
              <w:spacing w:after="0"/>
              <w:rPr>
                <w:sz w:val="2"/>
                <w:szCs w:val="2"/>
                <w:color w:val="auto"/>
              </w:rPr>
            </w:pPr>
          </w:p>
        </w:tc>
        <w:tc>
          <w:tcPr>
            <w:tcW w:w="13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30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80" w:type="dxa"/>
            <w:vAlign w:val="bottom"/>
            <w:vMerge w:val="restart"/>
          </w:tcPr>
          <w:p>
            <w:pPr>
              <w:ind w:left="60"/>
              <w:spacing w:after="0"/>
              <w:rPr>
                <w:sz w:val="20"/>
                <w:szCs w:val="20"/>
                <w:color w:val="auto"/>
              </w:rPr>
            </w:pPr>
            <w:r>
              <w:rPr>
                <w:rFonts w:ascii="Arial" w:cs="Arial" w:eastAsia="Arial" w:hAnsi="Arial"/>
                <w:sz w:val="20"/>
                <w:szCs w:val="20"/>
                <w:color w:val="auto"/>
              </w:rPr>
              <w:t>Chair</w:t>
            </w:r>
          </w:p>
        </w:tc>
        <w:tc>
          <w:tcPr>
            <w:tcW w:w="260" w:type="dxa"/>
            <w:vAlign w:val="bottom"/>
            <w:tcBorders>
              <w:bottom w:val="single" w:sz="8" w:color="0C3D25"/>
            </w:tcBorders>
          </w:tcPr>
          <w:p>
            <w:pPr>
              <w:spacing w:after="0"/>
              <w:rPr>
                <w:sz w:val="14"/>
                <w:szCs w:val="14"/>
                <w:color w:val="auto"/>
              </w:rPr>
            </w:pPr>
          </w:p>
        </w:tc>
        <w:tc>
          <w:tcPr>
            <w:tcW w:w="1460" w:type="dxa"/>
            <w:vAlign w:val="bottom"/>
            <w:vMerge w:val="restart"/>
          </w:tcPr>
          <w:p>
            <w:pPr>
              <w:ind w:left="340"/>
              <w:spacing w:after="0"/>
              <w:rPr>
                <w:sz w:val="20"/>
                <w:szCs w:val="20"/>
                <w:color w:val="auto"/>
              </w:rPr>
            </w:pPr>
            <w:r>
              <w:rPr>
                <w:rFonts w:ascii="Arial" w:cs="Arial" w:eastAsia="Arial" w:hAnsi="Arial"/>
                <w:sz w:val="20"/>
                <w:szCs w:val="20"/>
                <w:color w:val="auto"/>
              </w:rPr>
              <w:t>Member</w:t>
            </w: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680" w:type="dxa"/>
            <w:vAlign w:val="bottom"/>
            <w:vMerge w:val="continue"/>
          </w:tcPr>
          <w:p>
            <w:pPr>
              <w:spacing w:after="0"/>
              <w:rPr>
                <w:sz w:val="20"/>
                <w:szCs w:val="20"/>
                <w:color w:val="auto"/>
              </w:rPr>
            </w:pPr>
          </w:p>
        </w:tc>
        <w:tc>
          <w:tcPr>
            <w:tcW w:w="260" w:type="dxa"/>
            <w:vAlign w:val="bottom"/>
            <w:tcBorders>
              <w:left w:val="single" w:sz="8" w:color="0C3D25"/>
              <w:bottom w:val="single" w:sz="8" w:color="0C3D25"/>
              <w:right w:val="single" w:sz="8" w:color="0C3D25"/>
            </w:tcBorders>
          </w:tcPr>
          <w:p>
            <w:pPr>
              <w:spacing w:after="0"/>
              <w:rPr>
                <w:sz w:val="20"/>
                <w:szCs w:val="20"/>
                <w:color w:val="auto"/>
              </w:rPr>
            </w:pPr>
          </w:p>
        </w:tc>
        <w:tc>
          <w:tcPr>
            <w:tcW w:w="14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-2852420</wp:posOffset>
            </wp:positionV>
            <wp:extent cx="18859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-2891155</wp:posOffset>
            </wp:positionV>
            <wp:extent cx="181610" cy="235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-2560955</wp:posOffset>
            </wp:positionV>
            <wp:extent cx="1885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-2599690</wp:posOffset>
            </wp:positionV>
            <wp:extent cx="180975" cy="235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-1997075</wp:posOffset>
            </wp:positionV>
            <wp:extent cx="18859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-2035810</wp:posOffset>
            </wp:positionV>
            <wp:extent cx="180975"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-1973580</wp:posOffset>
            </wp:positionV>
            <wp:extent cx="105410" cy="119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-1705610</wp:posOffset>
            </wp:positionV>
            <wp:extent cx="18859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-1744345</wp:posOffset>
            </wp:positionV>
            <wp:extent cx="180975" cy="23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-1682115</wp:posOffset>
            </wp:positionV>
            <wp:extent cx="105410" cy="119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-1414145</wp:posOffset>
            </wp:positionV>
            <wp:extent cx="18859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-1452880</wp:posOffset>
            </wp:positionV>
            <wp:extent cx="180975" cy="234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-1452880</wp:posOffset>
            </wp:positionV>
            <wp:extent cx="180975" cy="234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-1452880</wp:posOffset>
            </wp:positionV>
            <wp:extent cx="180975" cy="234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-1122680</wp:posOffset>
            </wp:positionV>
            <wp:extent cx="18859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-1161415</wp:posOffset>
            </wp:positionV>
            <wp:extent cx="180975" cy="235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-1161415</wp:posOffset>
            </wp:positionV>
            <wp:extent cx="180975"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-831215</wp:posOffset>
            </wp:positionV>
            <wp:extent cx="18859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-807720</wp:posOffset>
            </wp:positionV>
            <wp:extent cx="105410" cy="119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-869950</wp:posOffset>
            </wp:positionV>
            <wp:extent cx="180975" cy="23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-539750</wp:posOffset>
            </wp:positionV>
            <wp:extent cx="18859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-578485</wp:posOffset>
            </wp:positionV>
            <wp:extent cx="180975" cy="235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-578485</wp:posOffset>
            </wp:positionV>
            <wp:extent cx="180975" cy="235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-174625</wp:posOffset>
            </wp:positionV>
            <wp:extent cx="105410" cy="119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-236855</wp:posOffset>
            </wp:positionV>
            <wp:extent cx="151765" cy="207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151765" cy="2070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Leadership Structure</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Ms. Kathleen M. Mazzarella’s service as Non-Executive Chair of the Board began in May 2023.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non-employee directors attend. The Non-Executive Chair also serves on all three Board committees. Stockholders and interested parties wishing to communicate with the Board or any of the non-employee directors should address their communications to Non-Executive Chair of the Board or the applicable director, c/o Waste Management, Inc., P.O. Box 53569, Houston, Texas 77052-3569. Additional information about communicating with our directors is available in our Corporate Governance Guidelines, which can be found by accessing the “Sustainability &amp; Governance — Corporate Governance” section of investors.wm.com.</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ectPr>
          <w:pgSz w:w="11880" w:h="15480" w:orient="portrait"/>
          <w:cols w:equalWidth="0" w:num="1">
            <w:col w:w="10060"/>
          </w:cols>
          <w:pgMar w:left="900" w:top="1131"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type w:val="continuous"/>
        </w:sectPr>
      </w:pPr>
    </w:p>
    <w:bookmarkStart w:id="10" w:name="page11"/>
    <w:bookmarkEnd w:id="10"/>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Independence of Board Members</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Board of Directors has determined that each of the following eight non-employee director nominees are independent in accordance with the New York Stock Exchange listing standards: Thomas L. Bené, Bruce E. Chinn, Andrés R. Gluski, Victoria M. Holt, Kathleen M. Mazzarella, Sean E. Menke, William B. Plummer and Maryrose T. Sylvester. James C. Fish, Jr., our Chief Executive Officer, is also a director of the Company. As an executive officer of the Company, Mr. Fish is not an “independent” director.</w:t>
      </w:r>
    </w:p>
    <w:p>
      <w:pPr>
        <w:spacing w:after="0" w:line="12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“Sustainability &amp; Governance — Corporate Governance” section of investors.wm.com. In addition to these categorical standards, our Board makes a subjective determination of independence considering relevant facts and circumstances.</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Breakthru Beverage Group, LLC. Ms. Mazzarella, Mr. Gluski, and Mr. Bené served as chief executive officer of these entities, respectively, for 2025.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Meetings and Board Committees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Last year the Board held seven regular meetings and one special meeting, and each committee of the Board met independently as set forth below. Each incumbent director attended at least 75% of the meetings of the Board and the committees on which he or she served. In addition, all directors attended the 2025 Annual Meeting of Stockholders. Our Corporate Governance Guidelines provide that directors are expected to attend the annual meeting of stockholders, and if an unavoidable conflict arises, the director must notify the Chair of the Board in advance.</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Role in Risk Oversight</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1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 We also consult with a range of outside advisors and experts throughout the year, depending on the subject matter of the</w:t>
      </w:r>
    </w:p>
    <w:p>
      <w:pPr>
        <w:spacing w:after="0" w:line="390"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Chief Executive Officer, President and Chief Operating Officer, Chief Financial Officer, Chief Legal Officer, Chief Human Resources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acquisition integration; climate transition and natural disaster impact; industry disruption; pricing and cost management; macroeconomic and regulatory impact; supply chain management; cyber security and artificial intelligence; business continuity; health and safety; brand management; growth strategies; commodity risk management; extended producer responsibility; asset network and market planning.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Oversight of Sustainability Risk and Performance</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27"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2" w:name="page13"/>
    <w:bookmarkEnd w:id="12"/>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9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Board receives strategic updates quarterly from our Senior Leadership Team.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2025, the Board received several dedicated updates regarding sustainability topics, including our sustainability growth strategy, and the Board receives regular updates from our Chief Human Resources Officer with respect to our people-first strategy, including workforce evolution, labor market developments and employee retention.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2025 Sustainability Report.</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Audit Committee also plays a significant role in oversight of sustainability risk and performance. As discussed above, our Audit Committee receives regular ERM updates with in-depth discussion on specific risk topics, which include sustainability risks. Additionally, the Audit Committee receives quarterly reports on our compliance programs, including ethics and environmental and safety audit, with an annual in-depth review of our compliance programs with risk assessments. Our Audit Committee also has responsibility for oversight of information and cybersecurity and assessment of cyber threats and defenses. Our Audit Committee receives reports on these matters from our most senior executives in the Digital organization, and the Company’s executive officers, at least twice a year. Topics historically covered in such reports, and for which our Board exercises oversight, include third-party evaluation of our technology infrastructure and information security against the industry-standard NIST (National Institute of Standards and Technology) cybersecurity framework; management of emerging cyber threats such as merger and acquisition activity; use and governance of artificial intelligence, including oversight of our artificial intelligence policies and procedures;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below. The Committee also engages in quarterly sessions with our Chief Executive Officer and our Chief Human Resources Officer regarding talent development and succession planning at several levels of our organization. A critical component of these talent development and succession planning efforts is the recognition that diversity and inclusion are fundamental Company values. Our Human Resources programs overseen by our MD&amp;C Committee embrace and cultivate belonging, respect, trust, open communication and diversity of thought and people.</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numerous elements of Board composition,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For additional information about the topics discussed above, including sustainability goals, metrics and progress, we encourage stockholders to review our 2025 Sustainability Report at sustainability.wm.com. The Sustainability Report conveys the strong linkage between the Company’s sustainability goals and our growth strategy, inclusive of the planned and ongoing expansion of the Company’s recycling and renewable energy businesses. Our 2025 Sustainability Report referenced above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225"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5067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506730"/>
                        </a:xfrm>
                        <a:prstGeom prst="rect">
                          <a:avLst/>
                        </a:prstGeom>
                        <a:solidFill>
                          <a:srgbClr val="E6E8DE"/>
                        </a:solidFill>
                      </wps:spPr>
                      <wps:bodyPr/>
                    </wps:wsp>
                  </a:graphicData>
                </a:graphic>
              </wp:anchor>
            </w:drawing>
          </mc:Choice>
          <mc:Fallback>
            <w:pict>
              <v:rect id="Shape 50" o:spid="_x0000_s1075" style="position:absolute;margin-left:-0.0499pt;margin-top:12.55pt;width:502.85pt;height:3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165100</wp:posOffset>
                </wp:positionV>
                <wp:extent cx="638556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502.75pt,13pt" o:allowincell="f" strokecolor="#0C3D25" strokeweight="0.998pt"/>
            </w:pict>
          </mc:Fallback>
        </mc:AlternateConten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THE AUDIT COMMITTEE</w:t>
      </w:r>
    </w:p>
    <w:p>
      <w:pPr>
        <w:spacing w:after="0" w:line="141" w:lineRule="exact"/>
        <w:rPr>
          <w:sz w:val="20"/>
          <w:szCs w:val="20"/>
          <w:color w:val="auto"/>
        </w:rPr>
      </w:pPr>
    </w:p>
    <w:p>
      <w:pPr>
        <w:ind w:left="120"/>
        <w:spacing w:after="0"/>
        <w:tabs>
          <w:tab w:leader="none" w:pos="6360"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2025: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6412230" cy="7476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6412230" cy="7476490"/>
                    </a:xfrm>
                    <a:prstGeom prst="rect">
                      <a:avLst/>
                    </a:prstGeom>
                    <a:noFill/>
                  </pic:spPr>
                </pic:pic>
              </a:graphicData>
            </a:graphic>
          </wp:anchor>
        </w:drawing>
      </w:r>
    </w:p>
    <w:p>
      <w:pPr>
        <w:ind w:left="120"/>
        <w:spacing w:after="0"/>
        <w:tabs>
          <w:tab w:leader="none" w:pos="3760" w:val="left"/>
        </w:tabs>
        <w:rPr>
          <w:sz w:val="20"/>
          <w:szCs w:val="20"/>
          <w:color w:val="auto"/>
        </w:rPr>
      </w:pPr>
      <w:r>
        <w:rPr>
          <w:rFonts w:ascii="Arial" w:cs="Arial" w:eastAsia="Arial" w:hAnsi="Arial"/>
          <w:sz w:val="20"/>
          <w:szCs w:val="20"/>
          <w:b w:val="1"/>
          <w:bCs w:val="1"/>
          <w:color w:val="auto"/>
        </w:rPr>
        <w:t xml:space="preserve">William B. Plummer,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8"/>
          <w:szCs w:val="18"/>
          <w:b w:val="1"/>
          <w:bCs w:val="1"/>
          <w:color w:val="auto"/>
        </w:rPr>
        <w:t>Victoria M. Holt</w:t>
      </w:r>
    </w:p>
    <w:p>
      <w:pPr>
        <w:spacing w:after="0" w:line="1"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20"/>
          <w:szCs w:val="20"/>
          <w:b w:val="1"/>
          <w:bCs w:val="1"/>
          <w:color w:val="auto"/>
        </w:rPr>
        <w:t>Bruce E. Chinn</w:t>
      </w:r>
      <w:r>
        <w:rPr>
          <w:sz w:val="20"/>
          <w:szCs w:val="20"/>
          <w:color w:val="auto"/>
        </w:rPr>
        <w:tab/>
      </w:r>
      <w:r>
        <w:rPr>
          <w:rFonts w:ascii="Arial" w:cs="Arial" w:eastAsia="Arial" w:hAnsi="Arial"/>
          <w:sz w:val="19"/>
          <w:szCs w:val="19"/>
          <w:b w:val="1"/>
          <w:bCs w:val="1"/>
          <w:color w:val="auto"/>
        </w:rPr>
        <w:t>Kathleen M. Mazzarella</w:t>
      </w:r>
    </w:p>
    <w:p>
      <w:pPr>
        <w:ind w:left="120"/>
        <w:spacing w:after="0"/>
        <w:tabs>
          <w:tab w:leader="none" w:pos="3760" w:val="left"/>
        </w:tabs>
        <w:rPr>
          <w:sz w:val="20"/>
          <w:szCs w:val="20"/>
          <w:color w:val="auto"/>
        </w:rPr>
      </w:pPr>
      <w:r>
        <w:rPr>
          <w:rFonts w:ascii="Arial" w:cs="Arial" w:eastAsia="Arial" w:hAnsi="Arial"/>
          <w:sz w:val="20"/>
          <w:szCs w:val="20"/>
          <w:b w:val="1"/>
          <w:bCs w:val="1"/>
          <w:color w:val="auto"/>
        </w:rPr>
        <w:t>Andrés R. Gluski</w:t>
      </w:r>
      <w:r>
        <w:rPr>
          <w:sz w:val="20"/>
          <w:szCs w:val="20"/>
          <w:color w:val="auto"/>
        </w:rPr>
        <w:tab/>
      </w:r>
      <w:r>
        <w:rPr>
          <w:rFonts w:ascii="Arial" w:cs="Arial" w:eastAsia="Arial" w:hAnsi="Arial"/>
          <w:sz w:val="18"/>
          <w:szCs w:val="18"/>
          <w:b w:val="1"/>
          <w:bCs w:val="1"/>
          <w:color w:val="auto"/>
        </w:rPr>
        <w:t>Sean E. Menke</w:t>
      </w:r>
    </w:p>
    <w:p>
      <w:pPr>
        <w:spacing w:after="0" w:line="69" w:lineRule="exact"/>
        <w:rPr>
          <w:sz w:val="20"/>
          <w:szCs w:val="20"/>
          <w:color w:val="auto"/>
        </w:rPr>
      </w:pPr>
    </w:p>
    <w:p>
      <w:pPr>
        <w:jc w:val="both"/>
        <w:ind w:left="40"/>
        <w:spacing w:after="0" w:line="254" w:lineRule="auto"/>
        <w:rPr>
          <w:sz w:val="20"/>
          <w:szCs w:val="20"/>
          <w:color w:val="auto"/>
        </w:rPr>
      </w:pPr>
      <w:r>
        <w:rPr>
          <w:rFonts w:ascii="Arial" w:cs="Arial" w:eastAsia="Arial" w:hAnsi="Arial"/>
          <w:sz w:val="19"/>
          <w:szCs w:val="19"/>
          <w:color w:val="auto"/>
        </w:rPr>
        <w:t>Mr. Plummer has been the Chair of our Audit Committee since May 2020. Each member of our Audit Committee satisfies the additional New York Stock Exchange independence standards for audit committees set forth in Section 10A of the Exchange Act. Our Board of Directors has determined that Audit Committee Chair Mr. Plummer, Mr. Chinn, Mr. Gluski, Ms. Holt, Ms. Mazzarella and Mr. Menke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Key Functions</w:t>
      </w:r>
    </w:p>
    <w:p>
      <w:pPr>
        <w:spacing w:after="0" w:line="71"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auto"/>
        </w:rPr>
        <w:t>The Audit Committee’s duties are set forth in a written charter that was approved by the Board of Directors. A copy of the charter can be found by accessing the “Sustainability &amp; Governance — Corporate Governance” section of investors.wm.com.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Administrative Responsibilities</w:t>
      </w:r>
    </w:p>
    <w:p>
      <w:pPr>
        <w:spacing w:after="0" w:line="61" w:lineRule="exact"/>
        <w:rPr>
          <w:sz w:val="20"/>
          <w:szCs w:val="20"/>
          <w:color w:val="auto"/>
        </w:rPr>
      </w:pPr>
    </w:p>
    <w:p>
      <w:pPr>
        <w:ind w:left="240" w:hanging="202"/>
        <w:spacing w:after="0" w:line="239" w:lineRule="auto"/>
        <w:tabs>
          <w:tab w:leader="none" w:pos="240" w:val="left"/>
        </w:tabs>
        <w:numPr>
          <w:ilvl w:val="0"/>
          <w:numId w:val="2"/>
        </w:numPr>
        <w:rPr>
          <w:rFonts w:ascii="Arial" w:cs="Arial" w:eastAsia="Arial" w:hAnsi="Arial"/>
          <w:sz w:val="20"/>
          <w:szCs w:val="20"/>
          <w:color w:val="0C3D25"/>
        </w:rPr>
      </w:pPr>
      <w:r>
        <w:rPr>
          <w:rFonts w:ascii="Arial" w:cs="Arial" w:eastAsia="Arial" w:hAnsi="Arial"/>
          <w:sz w:val="20"/>
          <w:szCs w:val="20"/>
          <w:color w:val="auto"/>
        </w:rPr>
        <w:t>Report to the Board, at least annually, all public company audit committee memberships by members of the Audit Committee;</w:t>
      </w:r>
    </w:p>
    <w:p>
      <w:pPr>
        <w:spacing w:after="0" w:line="60"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2"/>
        </w:numPr>
        <w:rPr>
          <w:rFonts w:ascii="Arial" w:cs="Arial" w:eastAsia="Arial" w:hAnsi="Arial"/>
          <w:sz w:val="20"/>
          <w:szCs w:val="20"/>
          <w:color w:val="0C3D25"/>
        </w:rPr>
      </w:pPr>
      <w:r>
        <w:rPr>
          <w:rFonts w:ascii="Arial" w:cs="Arial" w:eastAsia="Arial" w:hAnsi="Arial"/>
          <w:sz w:val="20"/>
          <w:szCs w:val="20"/>
          <w:color w:val="auto"/>
        </w:rPr>
        <w:t>Perform an annual review of its performance relative to its charter and report the results of its evaluation to the full Board; and</w:t>
      </w:r>
    </w:p>
    <w:p>
      <w:pPr>
        <w:spacing w:after="0" w:line="60" w:lineRule="exact"/>
        <w:rPr>
          <w:rFonts w:ascii="Arial" w:cs="Arial" w:eastAsia="Arial" w:hAnsi="Arial"/>
          <w:sz w:val="20"/>
          <w:szCs w:val="20"/>
          <w:color w:val="0C3D25"/>
        </w:rPr>
      </w:pPr>
    </w:p>
    <w:p>
      <w:pPr>
        <w:ind w:left="240" w:hanging="202"/>
        <w:spacing w:after="0"/>
        <w:tabs>
          <w:tab w:leader="none" w:pos="240" w:val="left"/>
        </w:tabs>
        <w:numPr>
          <w:ilvl w:val="0"/>
          <w:numId w:val="2"/>
        </w:numPr>
        <w:rPr>
          <w:rFonts w:ascii="Arial" w:cs="Arial" w:eastAsia="Arial" w:hAnsi="Arial"/>
          <w:sz w:val="20"/>
          <w:szCs w:val="20"/>
          <w:color w:val="0C3D25"/>
        </w:rPr>
      </w:pPr>
      <w:r>
        <w:rPr>
          <w:rFonts w:ascii="Arial" w:cs="Arial" w:eastAsia="Arial" w:hAnsi="Arial"/>
          <w:sz w:val="20"/>
          <w:szCs w:val="20"/>
          <w:color w:val="auto"/>
        </w:rPr>
        <w:t>Provide an orientation program for new Audit Committee members.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Financial Statements</w:t>
      </w:r>
    </w:p>
    <w:p>
      <w:pPr>
        <w:spacing w:after="0" w:line="61" w:lineRule="exact"/>
        <w:rPr>
          <w:sz w:val="20"/>
          <w:szCs w:val="20"/>
          <w:color w:val="auto"/>
        </w:rPr>
      </w:pPr>
    </w:p>
    <w:p>
      <w:pPr>
        <w:ind w:left="240" w:hanging="202"/>
        <w:spacing w:after="0"/>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Review financial statements and Forms 10-K and 10-Q with management and the independent auditor;</w:t>
      </w:r>
    </w:p>
    <w:p>
      <w:pPr>
        <w:spacing w:after="0" w:line="59"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Review all earnings press releases and discuss with management the type of earnings guidance that we provide to analysts and rating agencies;</w:t>
      </w:r>
    </w:p>
    <w:p>
      <w:pPr>
        <w:spacing w:after="0" w:line="60" w:lineRule="exact"/>
        <w:rPr>
          <w:rFonts w:ascii="Arial" w:cs="Arial" w:eastAsia="Arial" w:hAnsi="Arial"/>
          <w:sz w:val="20"/>
          <w:szCs w:val="20"/>
          <w:color w:val="0C3D25"/>
        </w:rPr>
      </w:pPr>
    </w:p>
    <w:p>
      <w:pPr>
        <w:jc w:val="both"/>
        <w:ind w:left="240" w:hanging="202"/>
        <w:spacing w:after="0" w:line="239" w:lineRule="auto"/>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20"/>
          <w:szCs w:val="20"/>
          <w:i w:val="1"/>
          <w:iCs w:val="1"/>
          <w:color w:val="auto"/>
        </w:rPr>
        <w:t>Communications with Audit Committees;</w:t>
      </w:r>
    </w:p>
    <w:p>
      <w:pPr>
        <w:spacing w:after="0" w:line="61"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Review our financial reporting, accounting and auditing practices with management, the independent auditor and our internal auditors;</w:t>
      </w:r>
    </w:p>
    <w:p>
      <w:pPr>
        <w:spacing w:after="0" w:line="60"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Review management’s and the independent auditor’s assessment of the adequacy and effectiveness of internal controls over financial reporting; and</w:t>
      </w:r>
    </w:p>
    <w:p>
      <w:pPr>
        <w:spacing w:after="0" w:line="60" w:lineRule="exact"/>
        <w:rPr>
          <w:rFonts w:ascii="Arial" w:cs="Arial" w:eastAsia="Arial" w:hAnsi="Arial"/>
          <w:sz w:val="20"/>
          <w:szCs w:val="20"/>
          <w:color w:val="0C3D25"/>
        </w:rPr>
      </w:pPr>
    </w:p>
    <w:p>
      <w:pPr>
        <w:ind w:left="240" w:hanging="202"/>
        <w:spacing w:after="0"/>
        <w:tabs>
          <w:tab w:leader="none" w:pos="240" w:val="left"/>
        </w:tabs>
        <w:numPr>
          <w:ilvl w:val="0"/>
          <w:numId w:val="3"/>
        </w:numPr>
        <w:rPr>
          <w:rFonts w:ascii="Arial" w:cs="Arial" w:eastAsia="Arial" w:hAnsi="Arial"/>
          <w:sz w:val="20"/>
          <w:szCs w:val="20"/>
          <w:color w:val="0C3D25"/>
        </w:rPr>
      </w:pPr>
      <w:r>
        <w:rPr>
          <w:rFonts w:ascii="Arial" w:cs="Arial" w:eastAsia="Arial" w:hAnsi="Arial"/>
          <w:sz w:val="20"/>
          <w:szCs w:val="20"/>
          <w:color w:val="auto"/>
        </w:rPr>
        <w:t>Review executive officer certifications related to our reports and filings.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Independent Auditor</w:t>
      </w:r>
    </w:p>
    <w:p>
      <w:pPr>
        <w:spacing w:after="0" w:line="61" w:lineRule="exact"/>
        <w:rPr>
          <w:sz w:val="20"/>
          <w:szCs w:val="20"/>
          <w:color w:val="auto"/>
        </w:rPr>
      </w:pPr>
    </w:p>
    <w:p>
      <w:pPr>
        <w:ind w:left="240" w:hanging="202"/>
        <w:spacing w:after="0"/>
        <w:tabs>
          <w:tab w:leader="none" w:pos="240" w:val="left"/>
        </w:tabs>
        <w:numPr>
          <w:ilvl w:val="0"/>
          <w:numId w:val="4"/>
        </w:numPr>
        <w:rPr>
          <w:rFonts w:ascii="Arial" w:cs="Arial" w:eastAsia="Arial" w:hAnsi="Arial"/>
          <w:sz w:val="20"/>
          <w:szCs w:val="20"/>
          <w:color w:val="0C3D25"/>
        </w:rPr>
      </w:pPr>
      <w:r>
        <w:rPr>
          <w:rFonts w:ascii="Arial" w:cs="Arial" w:eastAsia="Arial" w:hAnsi="Arial"/>
          <w:sz w:val="20"/>
          <w:szCs w:val="20"/>
          <w:color w:val="auto"/>
        </w:rPr>
        <w:t>Engage an independent auditor, determine the auditor’s compensation and replace the auditor if necessary;</w:t>
      </w:r>
    </w:p>
    <w:p>
      <w:pPr>
        <w:spacing w:after="0" w:line="59"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4"/>
        </w:numPr>
        <w:rPr>
          <w:rFonts w:ascii="Arial" w:cs="Arial" w:eastAsia="Arial" w:hAnsi="Arial"/>
          <w:sz w:val="20"/>
          <w:szCs w:val="20"/>
          <w:color w:val="0C3D25"/>
        </w:rPr>
      </w:pPr>
      <w:r>
        <w:rPr>
          <w:rFonts w:ascii="Arial" w:cs="Arial" w:eastAsia="Arial" w:hAnsi="Arial"/>
          <w:sz w:val="20"/>
          <w:szCs w:val="20"/>
          <w:color w:val="auto"/>
        </w:rPr>
        <w:t>Review the independence of the independent auditor and establish our policies for hiring current or former employees of the independent auditor;</w:t>
      </w:r>
    </w:p>
    <w:p>
      <w:pPr>
        <w:spacing w:after="0" w:line="60"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4"/>
        </w:numPr>
        <w:rPr>
          <w:rFonts w:ascii="Arial" w:cs="Arial" w:eastAsia="Arial" w:hAnsi="Arial"/>
          <w:sz w:val="20"/>
          <w:szCs w:val="20"/>
          <w:color w:val="0C3D25"/>
        </w:rPr>
      </w:pPr>
      <w:r>
        <w:rPr>
          <w:rFonts w:ascii="Arial" w:cs="Arial" w:eastAsia="Arial" w:hAnsi="Arial"/>
          <w:sz w:val="20"/>
          <w:szCs w:val="20"/>
          <w:color w:val="auto"/>
        </w:rPr>
        <w:t>Evaluate the lead partner of our independent audit team and review a report, at least annually, describing the independent auditor’s internal control procedures; and</w:t>
      </w:r>
    </w:p>
    <w:p>
      <w:pPr>
        <w:spacing w:after="0" w:line="60" w:lineRule="exact"/>
        <w:rPr>
          <w:rFonts w:ascii="Arial" w:cs="Arial" w:eastAsia="Arial" w:hAnsi="Arial"/>
          <w:sz w:val="20"/>
          <w:szCs w:val="20"/>
          <w:color w:val="0C3D25"/>
        </w:rPr>
      </w:pPr>
    </w:p>
    <w:p>
      <w:pPr>
        <w:ind w:left="240" w:hanging="202"/>
        <w:spacing w:after="0"/>
        <w:tabs>
          <w:tab w:leader="none" w:pos="240" w:val="left"/>
        </w:tabs>
        <w:numPr>
          <w:ilvl w:val="0"/>
          <w:numId w:val="4"/>
        </w:numPr>
        <w:rPr>
          <w:rFonts w:ascii="Arial" w:cs="Arial" w:eastAsia="Arial" w:hAnsi="Arial"/>
          <w:sz w:val="20"/>
          <w:szCs w:val="20"/>
          <w:color w:val="0C3D25"/>
        </w:rPr>
      </w:pPr>
      <w:r>
        <w:rPr>
          <w:rFonts w:ascii="Arial" w:cs="Arial" w:eastAsia="Arial" w:hAnsi="Arial"/>
          <w:sz w:val="20"/>
          <w:szCs w:val="20"/>
          <w:color w:val="auto"/>
        </w:rPr>
        <w:t>Pre-approve all services, including non-audit engagements, provided by the independent auditor.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Internal Audit</w:t>
      </w:r>
    </w:p>
    <w:p>
      <w:pPr>
        <w:spacing w:after="0" w:line="61" w:lineRule="exact"/>
        <w:rPr>
          <w:sz w:val="20"/>
          <w:szCs w:val="20"/>
          <w:color w:val="auto"/>
        </w:rPr>
      </w:pPr>
    </w:p>
    <w:p>
      <w:pPr>
        <w:ind w:left="240" w:hanging="202"/>
        <w:spacing w:after="0"/>
        <w:tabs>
          <w:tab w:leader="none" w:pos="240" w:val="left"/>
        </w:tabs>
        <w:numPr>
          <w:ilvl w:val="0"/>
          <w:numId w:val="5"/>
        </w:numPr>
        <w:rPr>
          <w:rFonts w:ascii="Arial" w:cs="Arial" w:eastAsia="Arial" w:hAnsi="Arial"/>
          <w:sz w:val="20"/>
          <w:szCs w:val="20"/>
          <w:color w:val="0C3D25"/>
        </w:rPr>
      </w:pPr>
      <w:r>
        <w:rPr>
          <w:rFonts w:ascii="Arial" w:cs="Arial" w:eastAsia="Arial" w:hAnsi="Arial"/>
          <w:sz w:val="20"/>
          <w:szCs w:val="20"/>
          <w:color w:val="auto"/>
        </w:rPr>
        <w:t>Review the plans, staffing, reports and activities of the internal auditors; and</w:t>
      </w:r>
    </w:p>
    <w:p>
      <w:pPr>
        <w:spacing w:after="0" w:line="59"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5"/>
        </w:numPr>
        <w:rPr>
          <w:rFonts w:ascii="Arial" w:cs="Arial" w:eastAsia="Arial" w:hAnsi="Arial"/>
          <w:sz w:val="20"/>
          <w:szCs w:val="20"/>
          <w:color w:val="0C3D25"/>
        </w:rPr>
      </w:pPr>
      <w:r>
        <w:rPr>
          <w:rFonts w:ascii="Arial" w:cs="Arial" w:eastAsia="Arial" w:hAnsi="Arial"/>
          <w:sz w:val="20"/>
          <w:szCs w:val="20"/>
          <w:color w:val="auto"/>
        </w:rPr>
        <w:t>Review and establish procedures for receiving, retaining and handling complaints, including anonymous complaints by our employees, regarding accounting, internal controls and auditing matters.</w:t>
      </w:r>
    </w:p>
    <w:p>
      <w:pPr>
        <w:sectPr>
          <w:pgSz w:w="11880" w:h="15480" w:orient="portrait"/>
          <w:cols w:equalWidth="0" w:num="1">
            <w:col w:w="10020"/>
          </w:cols>
          <w:pgMar w:left="900" w:top="513" w:right="9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20"/>
          </w:cols>
          <w:pgMar w:left="900" w:top="513" w:right="960" w:bottom="315"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159385</wp:posOffset>
                </wp:positionV>
                <wp:extent cx="6386195" cy="80251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8025130"/>
                        </a:xfrm>
                        <a:prstGeom prst="rect">
                          <a:avLst/>
                        </a:prstGeom>
                        <a:solidFill>
                          <a:srgbClr val="E6E8DE"/>
                        </a:solidFill>
                      </wps:spPr>
                      <wps:bodyPr/>
                    </wps:wsp>
                  </a:graphicData>
                </a:graphic>
              </wp:anchor>
            </w:drawing>
          </mc:Choice>
          <mc:Fallback>
            <w:pict>
              <v:rect id="Shape 56" o:spid="_x0000_s1081" style="position:absolute;margin-left:-1.9499pt;margin-top:12.55pt;width:502.85pt;height:63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-24765</wp:posOffset>
                </wp:positionH>
                <wp:positionV relativeFrom="paragraph">
                  <wp:posOffset>165100</wp:posOffset>
                </wp:positionV>
                <wp:extent cx="638556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13pt" to="500.85pt,13pt" o:allowincell="f" strokecolor="#0C3D25" strokeweight="0.998pt"/>
            </w:pict>
          </mc:Fallback>
        </mc:AlternateContent>
      </w:r>
    </w:p>
    <w:p>
      <w:pPr>
        <w:spacing w:after="0" w:line="343"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AUDIT COMMITTEE REPORT</w:t>
      </w:r>
    </w:p>
    <w:p>
      <w:pPr>
        <w:spacing w:after="0" w:line="97" w:lineRule="exact"/>
        <w:rPr>
          <w:sz w:val="20"/>
          <w:szCs w:val="20"/>
          <w:color w:val="auto"/>
        </w:rPr>
      </w:pPr>
    </w:p>
    <w:p>
      <w:pPr>
        <w:jc w:val="both"/>
        <w:ind w:left="2" w:right="40"/>
        <w:spacing w:after="0" w:line="235" w:lineRule="auto"/>
        <w:rPr>
          <w:sz w:val="20"/>
          <w:szCs w:val="20"/>
          <w:color w:val="auto"/>
        </w:rPr>
      </w:pPr>
      <w:r>
        <w:rPr>
          <w:rFonts w:ascii="Arial" w:cs="Arial" w:eastAsia="Arial" w:hAnsi="Arial"/>
          <w:sz w:val="20"/>
          <w:szCs w:val="20"/>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20" w:lineRule="exact"/>
        <w:rPr>
          <w:sz w:val="20"/>
          <w:szCs w:val="20"/>
          <w:color w:val="auto"/>
        </w:rPr>
      </w:pPr>
    </w:p>
    <w:p>
      <w:pPr>
        <w:jc w:val="both"/>
        <w:ind w:left="2" w:right="40"/>
        <w:spacing w:after="0" w:line="236" w:lineRule="auto"/>
        <w:rPr>
          <w:sz w:val="20"/>
          <w:szCs w:val="20"/>
          <w:color w:val="auto"/>
        </w:rPr>
      </w:pPr>
      <w:r>
        <w:rPr>
          <w:rFonts w:ascii="Arial" w:cs="Arial" w:eastAsia="Arial" w:hAnsi="Arial"/>
          <w:sz w:val="20"/>
          <w:szCs w:val="20"/>
          <w:color w:val="auto"/>
        </w:rPr>
        <w:t>The Audit Committee has reviewed and discussed the Company’s audited financial statements as of and for the year ended December 31, 2025 with management and the independent registered public accounting firm, and has taken the following steps in making its recommendation that the Company’s financial statements be included in its Annual Report on Form 10-K.</w:t>
      </w:r>
    </w:p>
    <w:p>
      <w:pPr>
        <w:spacing w:after="0" w:line="41" w:lineRule="exact"/>
        <w:rPr>
          <w:sz w:val="20"/>
          <w:szCs w:val="20"/>
          <w:color w:val="auto"/>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The Audit Committee discussed with Ernst &amp; Young LLP, the Company’s independent registered public accounting firm for fiscal year 2025,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40" w:lineRule="exact"/>
        <w:rPr>
          <w:rFonts w:ascii="Arial" w:cs="Arial" w:eastAsia="Arial" w:hAnsi="Arial"/>
          <w:sz w:val="20"/>
          <w:szCs w:val="20"/>
          <w:color w:val="0C3D25"/>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0" w:lineRule="exact"/>
        <w:rPr>
          <w:rFonts w:ascii="Arial" w:cs="Arial" w:eastAsia="Arial" w:hAnsi="Arial"/>
          <w:sz w:val="20"/>
          <w:szCs w:val="20"/>
          <w:color w:val="0C3D25"/>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2025, as well as Ernst &amp; Young LLP’s report regarding the effectiveness of internal control over financial reporting.</w:t>
      </w:r>
    </w:p>
    <w:p>
      <w:pPr>
        <w:spacing w:after="0" w:line="41" w:lineRule="exact"/>
        <w:rPr>
          <w:rFonts w:ascii="Arial" w:cs="Arial" w:eastAsia="Arial" w:hAnsi="Arial"/>
          <w:sz w:val="20"/>
          <w:szCs w:val="20"/>
          <w:color w:val="0C3D25"/>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The Audit Committee reviewed and discussed, with the Company’s management and Ernst &amp; Young LLP, the Company’s audited consolidated balance sheet as of December 31, 2025, and consolidated statements of operations, comprehensive income, cash flows and changes in equity for the fiscal year ended December 31, 2025, including the quality, not just the acceptability, of the accounting principles, the reasonableness of significant judgments and the clarity of the disclosure.</w:t>
      </w:r>
    </w:p>
    <w:p>
      <w:pPr>
        <w:spacing w:after="0" w:line="40" w:lineRule="exact"/>
        <w:rPr>
          <w:rFonts w:ascii="Arial" w:cs="Arial" w:eastAsia="Arial" w:hAnsi="Arial"/>
          <w:sz w:val="20"/>
          <w:szCs w:val="20"/>
          <w:color w:val="0C3D25"/>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The Audit Committee discussed with the Company’s internal auditors and independent registered public accounting firm the overall scope and plans of their respective audits. The Audit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0" w:lineRule="exact"/>
        <w:rPr>
          <w:rFonts w:ascii="Arial" w:cs="Arial" w:eastAsia="Arial" w:hAnsi="Arial"/>
          <w:sz w:val="20"/>
          <w:szCs w:val="20"/>
          <w:color w:val="0C3D25"/>
        </w:rPr>
      </w:pPr>
    </w:p>
    <w:p>
      <w:pPr>
        <w:jc w:val="both"/>
        <w:ind w:left="202" w:right="40" w:hanging="202"/>
        <w:spacing w:after="0" w:line="251" w:lineRule="auto"/>
        <w:tabs>
          <w:tab w:leader="none" w:pos="202" w:val="left"/>
        </w:tabs>
        <w:numPr>
          <w:ilvl w:val="0"/>
          <w:numId w:val="6"/>
        </w:numPr>
        <w:rPr>
          <w:rFonts w:ascii="Arial" w:cs="Arial" w:eastAsia="Arial" w:hAnsi="Arial"/>
          <w:sz w:val="19"/>
          <w:szCs w:val="19"/>
          <w:color w:val="0C3D25"/>
        </w:rPr>
      </w:pPr>
      <w:r>
        <w:rPr>
          <w:rFonts w:ascii="Arial" w:cs="Arial" w:eastAsia="Arial" w:hAnsi="Arial"/>
          <w:sz w:val="19"/>
          <w:szCs w:val="19"/>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31" w:lineRule="exact"/>
        <w:rPr>
          <w:rFonts w:ascii="Arial" w:cs="Arial" w:eastAsia="Arial" w:hAnsi="Arial"/>
          <w:sz w:val="19"/>
          <w:szCs w:val="19"/>
          <w:color w:val="0C3D25"/>
        </w:rPr>
      </w:pPr>
    </w:p>
    <w:p>
      <w:pPr>
        <w:jc w:val="both"/>
        <w:ind w:left="202" w:right="40" w:hanging="202"/>
        <w:spacing w:after="0" w:line="236" w:lineRule="auto"/>
        <w:tabs>
          <w:tab w:leader="none" w:pos="202" w:val="left"/>
        </w:tabs>
        <w:numPr>
          <w:ilvl w:val="0"/>
          <w:numId w:val="6"/>
        </w:numPr>
        <w:rPr>
          <w:rFonts w:ascii="Arial" w:cs="Arial" w:eastAsia="Arial" w:hAnsi="Arial"/>
          <w:sz w:val="20"/>
          <w:szCs w:val="20"/>
          <w:color w:val="0C3D25"/>
        </w:rPr>
      </w:pPr>
      <w:r>
        <w:rPr>
          <w:rFonts w:ascii="Arial" w:cs="Arial" w:eastAsia="Arial" w:hAnsi="Arial"/>
          <w:sz w:val="20"/>
          <w:szCs w:val="20"/>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2025. The Audit Committee has also approved the selection of Ernst &amp; Young LLP as the Company’s independent registered public accounting firm for fiscal year 2026.</w:t>
      </w:r>
    </w:p>
    <w:p>
      <w:pPr>
        <w:spacing w:after="0" w:line="39"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The Audit Committee of the Board of Directors</w:t>
      </w:r>
    </w:p>
    <w:p>
      <w:pPr>
        <w:spacing w:after="0" w:line="41"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William B. Plummer, </w:t>
      </w:r>
      <w:r>
        <w:rPr>
          <w:rFonts w:ascii="Arial" w:cs="Arial" w:eastAsia="Arial" w:hAnsi="Arial"/>
          <w:sz w:val="20"/>
          <w:szCs w:val="20"/>
          <w:i w:val="1"/>
          <w:iCs w:val="1"/>
          <w:color w:val="auto"/>
        </w:rPr>
        <w:t>Chair</w:t>
      </w:r>
    </w:p>
    <w:p>
      <w:pPr>
        <w:ind w:left="2"/>
        <w:spacing w:after="0" w:line="235" w:lineRule="auto"/>
        <w:rPr>
          <w:sz w:val="20"/>
          <w:szCs w:val="20"/>
          <w:color w:val="auto"/>
        </w:rPr>
      </w:pPr>
      <w:r>
        <w:rPr>
          <w:rFonts w:ascii="Arial" w:cs="Arial" w:eastAsia="Arial" w:hAnsi="Arial"/>
          <w:sz w:val="20"/>
          <w:szCs w:val="20"/>
          <w:color w:val="auto"/>
        </w:rPr>
        <w:t>Bruce E. Chinn</w:t>
      </w:r>
    </w:p>
    <w:p>
      <w:pPr>
        <w:ind w:left="2"/>
        <w:spacing w:after="0" w:line="235" w:lineRule="auto"/>
        <w:rPr>
          <w:sz w:val="20"/>
          <w:szCs w:val="20"/>
          <w:color w:val="auto"/>
        </w:rPr>
      </w:pPr>
      <w:r>
        <w:rPr>
          <w:rFonts w:ascii="Arial" w:cs="Arial" w:eastAsia="Arial" w:hAnsi="Arial"/>
          <w:sz w:val="20"/>
          <w:szCs w:val="20"/>
          <w:color w:val="auto"/>
        </w:rPr>
        <w:t>Andrés R. Gluski</w:t>
      </w:r>
    </w:p>
    <w:p>
      <w:pPr>
        <w:ind w:left="2"/>
        <w:spacing w:after="0" w:line="235" w:lineRule="auto"/>
        <w:rPr>
          <w:sz w:val="20"/>
          <w:szCs w:val="20"/>
          <w:color w:val="auto"/>
        </w:rPr>
      </w:pPr>
      <w:r>
        <w:rPr>
          <w:rFonts w:ascii="Arial" w:cs="Arial" w:eastAsia="Arial" w:hAnsi="Arial"/>
          <w:sz w:val="20"/>
          <w:szCs w:val="20"/>
          <w:color w:val="auto"/>
        </w:rPr>
        <w:t>Victoria M. Holt</w:t>
      </w:r>
    </w:p>
    <w:p>
      <w:pPr>
        <w:ind w:left="2"/>
        <w:spacing w:after="0" w:line="236" w:lineRule="auto"/>
        <w:rPr>
          <w:sz w:val="20"/>
          <w:szCs w:val="20"/>
          <w:color w:val="auto"/>
        </w:rPr>
      </w:pPr>
      <w:r>
        <w:rPr>
          <w:rFonts w:ascii="Arial" w:cs="Arial" w:eastAsia="Arial" w:hAnsi="Arial"/>
          <w:sz w:val="20"/>
          <w:szCs w:val="20"/>
          <w:color w:val="auto"/>
        </w:rPr>
        <w:t>Kathleen M. Mazzarella</w:t>
      </w:r>
    </w:p>
    <w:p>
      <w:pPr>
        <w:ind w:left="2"/>
        <w:spacing w:after="0" w:line="235" w:lineRule="auto"/>
        <w:rPr>
          <w:sz w:val="20"/>
          <w:szCs w:val="20"/>
          <w:color w:val="auto"/>
        </w:rPr>
      </w:pPr>
      <w:r>
        <w:rPr>
          <w:rFonts w:ascii="Arial" w:cs="Arial" w:eastAsia="Arial" w:hAnsi="Arial"/>
          <w:sz w:val="20"/>
          <w:szCs w:val="20"/>
          <w:color w:val="auto"/>
        </w:rPr>
        <w:t>Sean E. Menke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50800</wp:posOffset>
                </wp:positionV>
                <wp:extent cx="638556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4pt" to="500.85pt,4pt" o:allowincell="f" strokecolor="#0C3D25" strokeweight="0.998pt"/>
            </w:pict>
          </mc:Fallback>
        </mc:AlternateContent>
      </w:r>
    </w:p>
    <w:p>
      <w:pPr>
        <w:sectPr>
          <w:pgSz w:w="11880" w:h="15480" w:orient="portrait"/>
          <w:cols w:equalWidth="0" w:num="1">
            <w:col w:w="10022"/>
          </w:cols>
          <w:pgMar w:left="93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562"/>
        <w:spacing w:after="0"/>
        <w:tabs>
          <w:tab w:leader="none" w:pos="960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-207010</wp:posOffset>
            </wp:positionV>
            <wp:extent cx="538480" cy="161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22"/>
          </w:cols>
          <w:pgMar w:left="938" w:top="513" w:right="920" w:bottom="315"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731837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318375"/>
                        </a:xfrm>
                        <a:prstGeom prst="rect">
                          <a:avLst/>
                        </a:prstGeom>
                        <a:solidFill>
                          <a:srgbClr val="E6E8DE"/>
                        </a:solidFill>
                      </wps:spPr>
                      <wps:bodyPr/>
                    </wps:wsp>
                  </a:graphicData>
                </a:graphic>
              </wp:anchor>
            </w:drawing>
          </mc:Choice>
          <mc:Fallback>
            <w:pict>
              <v:rect id="Shape 61" o:spid="_x0000_s1086" style="position:absolute;margin-left:-0.0499pt;margin-top:12.55pt;width:502.85pt;height:57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165100</wp:posOffset>
                </wp:positionV>
                <wp:extent cx="638556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502.75pt,13pt" o:allowincell="f" strokecolor="#0C3D25"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THE MANAGEMENT DEVELOPMENT AND COMPENSATION COMMITTEE</w:t>
      </w:r>
    </w:p>
    <w:p>
      <w:pPr>
        <w:spacing w:after="0" w:line="141" w:lineRule="exact"/>
        <w:rPr>
          <w:sz w:val="20"/>
          <w:szCs w:val="20"/>
          <w:color w:val="auto"/>
        </w:rPr>
      </w:pPr>
    </w:p>
    <w:p>
      <w:pPr>
        <w:ind w:left="100"/>
        <w:spacing w:after="0"/>
        <w:tabs>
          <w:tab w:leader="none" w:pos="6360"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2025: 5</w:t>
      </w:r>
    </w:p>
    <w:p>
      <w:pPr>
        <w:spacing w:after="0" w:line="29"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20"/>
          <w:szCs w:val="20"/>
          <w:b w:val="1"/>
          <w:bCs w:val="1"/>
          <w:color w:val="auto"/>
        </w:rPr>
        <w:t xml:space="preserve">Andrés R. Gluski,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8"/>
          <w:szCs w:val="18"/>
          <w:b w:val="1"/>
          <w:bCs w:val="1"/>
          <w:color w:val="auto"/>
        </w:rPr>
        <w:t>William B. Plummer</w:t>
      </w:r>
    </w:p>
    <w:p>
      <w:pPr>
        <w:spacing w:after="0" w:line="1"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20"/>
          <w:szCs w:val="20"/>
          <w:b w:val="1"/>
          <w:bCs w:val="1"/>
          <w:color w:val="auto"/>
        </w:rPr>
        <w:t>Thomas L. Bené</w:t>
      </w:r>
      <w:r>
        <w:rPr>
          <w:sz w:val="20"/>
          <w:szCs w:val="20"/>
          <w:color w:val="auto"/>
        </w:rPr>
        <w:tab/>
      </w:r>
      <w:r>
        <w:rPr>
          <w:rFonts w:ascii="Arial" w:cs="Arial" w:eastAsia="Arial" w:hAnsi="Arial"/>
          <w:sz w:val="18"/>
          <w:szCs w:val="18"/>
          <w:b w:val="1"/>
          <w:bCs w:val="1"/>
          <w:color w:val="auto"/>
        </w:rPr>
        <w:t>Maryrose T. Sylvester</w:t>
      </w:r>
    </w:p>
    <w:p>
      <w:pPr>
        <w:ind w:left="120"/>
        <w:spacing w:after="0"/>
        <w:rPr>
          <w:sz w:val="20"/>
          <w:szCs w:val="20"/>
          <w:color w:val="auto"/>
        </w:rPr>
      </w:pPr>
      <w:r>
        <w:rPr>
          <w:rFonts w:ascii="Arial" w:cs="Arial" w:eastAsia="Arial" w:hAnsi="Arial"/>
          <w:sz w:val="20"/>
          <w:szCs w:val="20"/>
          <w:b w:val="1"/>
          <w:bCs w:val="1"/>
          <w:color w:val="auto"/>
        </w:rPr>
        <w:t>Kathleen M. Mazzarella</w:t>
      </w:r>
    </w:p>
    <w:p>
      <w:pPr>
        <w:spacing w:after="0" w:line="69"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auto"/>
        </w:rPr>
        <w:t>Mr. Gluski has served as the Chair of our MD&amp;C Committee since May 2021. Each member of our MD&amp;C Committee is independent in accordance with the rules and regulations of the New York Stock Exchange.</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Key Functions</w:t>
      </w:r>
    </w:p>
    <w:p>
      <w:pPr>
        <w:spacing w:after="0" w:line="121" w:lineRule="exact"/>
        <w:rPr>
          <w:sz w:val="20"/>
          <w:szCs w:val="20"/>
          <w:color w:val="auto"/>
        </w:rPr>
      </w:pPr>
    </w:p>
    <w:p>
      <w:pPr>
        <w:jc w:val="both"/>
        <w:ind w:left="40"/>
        <w:spacing w:after="0" w:line="256" w:lineRule="auto"/>
        <w:rPr>
          <w:sz w:val="20"/>
          <w:szCs w:val="20"/>
          <w:color w:val="auto"/>
        </w:rPr>
      </w:pPr>
      <w:r>
        <w:rPr>
          <w:rFonts w:ascii="Arial" w:cs="Arial" w:eastAsia="Arial" w:hAnsi="Arial"/>
          <w:sz w:val="19"/>
          <w:szCs w:val="19"/>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“Sustainability &amp; Governance — Corporate Governance” section of investors.wm.com. In fulfilling its duties, the MD&amp;C Committee has the following responsibilities:</w:t>
      </w:r>
    </w:p>
    <w:p>
      <w:pPr>
        <w:spacing w:after="0" w:line="105" w:lineRule="exact"/>
        <w:rPr>
          <w:sz w:val="20"/>
          <w:szCs w:val="20"/>
          <w:color w:val="auto"/>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Review and establish policies governing the compensation and benefits of our executive officers;</w:t>
      </w:r>
    </w:p>
    <w:p>
      <w:pPr>
        <w:spacing w:after="0" w:line="119" w:lineRule="exact"/>
        <w:rPr>
          <w:rFonts w:ascii="Arial" w:cs="Arial" w:eastAsia="Arial" w:hAnsi="Arial"/>
          <w:sz w:val="20"/>
          <w:szCs w:val="20"/>
          <w:color w:val="0C3D25"/>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Approve the compensation of our executive officers and set the incentive plan goals for those individuals;</w:t>
      </w:r>
    </w:p>
    <w:p>
      <w:pPr>
        <w:spacing w:after="0" w:line="119" w:lineRule="exact"/>
        <w:rPr>
          <w:rFonts w:ascii="Arial" w:cs="Arial" w:eastAsia="Arial" w:hAnsi="Arial"/>
          <w:sz w:val="20"/>
          <w:szCs w:val="20"/>
          <w:color w:val="0C3D25"/>
        </w:rPr>
      </w:pPr>
    </w:p>
    <w:p>
      <w:pPr>
        <w:ind w:left="240" w:hanging="202"/>
        <w:spacing w:after="0"/>
        <w:tabs>
          <w:tab w:leader="none" w:pos="240" w:val="left"/>
        </w:tabs>
        <w:numPr>
          <w:ilvl w:val="0"/>
          <w:numId w:val="7"/>
        </w:numPr>
        <w:rPr>
          <w:rFonts w:ascii="Arial" w:cs="Arial" w:eastAsia="Arial" w:hAnsi="Arial"/>
          <w:sz w:val="19"/>
          <w:szCs w:val="19"/>
          <w:color w:val="0C3D25"/>
        </w:rPr>
      </w:pPr>
      <w:r>
        <w:rPr>
          <w:rFonts w:ascii="Arial" w:cs="Arial" w:eastAsia="Arial" w:hAnsi="Arial"/>
          <w:sz w:val="19"/>
          <w:szCs w:val="19"/>
          <w:color w:val="auto"/>
        </w:rPr>
        <w:t>Conduct an annual evaluation of our Chief Executive Officer by all independent directors and set his compensation;</w:t>
      </w:r>
    </w:p>
    <w:p>
      <w:pPr>
        <w:spacing w:after="0" w:line="130" w:lineRule="exact"/>
        <w:rPr>
          <w:rFonts w:ascii="Arial" w:cs="Arial" w:eastAsia="Arial" w:hAnsi="Arial"/>
          <w:sz w:val="19"/>
          <w:szCs w:val="19"/>
          <w:color w:val="0C3D25"/>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Oversee the administration of our equity-based incentive plans;</w:t>
      </w:r>
    </w:p>
    <w:p>
      <w:pPr>
        <w:spacing w:after="0" w:line="119"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Review the results of the stockholder advisory vote on executive compensation and consider any implications of such voting results on the Company’s compensation programs;</w:t>
      </w:r>
    </w:p>
    <w:p>
      <w:pPr>
        <w:spacing w:after="0" w:line="120" w:lineRule="exact"/>
        <w:rPr>
          <w:rFonts w:ascii="Arial" w:cs="Arial" w:eastAsia="Arial" w:hAnsi="Arial"/>
          <w:sz w:val="20"/>
          <w:szCs w:val="20"/>
          <w:color w:val="0C3D25"/>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Recommend to the full Board new Company compensation and benefit plans or changes to our existing plans;</w:t>
      </w:r>
    </w:p>
    <w:p>
      <w:pPr>
        <w:spacing w:after="0" w:line="119" w:lineRule="exact"/>
        <w:rPr>
          <w:rFonts w:ascii="Arial" w:cs="Arial" w:eastAsia="Arial" w:hAnsi="Arial"/>
          <w:sz w:val="20"/>
          <w:szCs w:val="20"/>
          <w:color w:val="0C3D25"/>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Evaluate and recommend to the Board the compensation paid to our non-employee directors;</w:t>
      </w:r>
    </w:p>
    <w:p>
      <w:pPr>
        <w:spacing w:after="0" w:line="119" w:lineRule="exact"/>
        <w:rPr>
          <w:rFonts w:ascii="Arial" w:cs="Arial" w:eastAsia="Arial" w:hAnsi="Arial"/>
          <w:sz w:val="20"/>
          <w:szCs w:val="20"/>
          <w:color w:val="0C3D25"/>
        </w:rPr>
      </w:pPr>
    </w:p>
    <w:p>
      <w:pPr>
        <w:ind w:left="240" w:hanging="202"/>
        <w:spacing w:after="0"/>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Review the independence of the MD&amp;C Committee’s compensation consultant annually; and</w:t>
      </w:r>
    </w:p>
    <w:p>
      <w:pPr>
        <w:spacing w:after="0" w:line="119" w:lineRule="exact"/>
        <w:rPr>
          <w:rFonts w:ascii="Arial" w:cs="Arial" w:eastAsia="Arial" w:hAnsi="Arial"/>
          <w:sz w:val="20"/>
          <w:szCs w:val="20"/>
          <w:color w:val="0C3D25"/>
        </w:rPr>
      </w:pPr>
    </w:p>
    <w:p>
      <w:pPr>
        <w:ind w:left="240" w:hanging="202"/>
        <w:spacing w:after="0" w:line="239" w:lineRule="auto"/>
        <w:tabs>
          <w:tab w:leader="none" w:pos="240" w:val="left"/>
        </w:tabs>
        <w:numPr>
          <w:ilvl w:val="0"/>
          <w:numId w:val="7"/>
        </w:numPr>
        <w:rPr>
          <w:rFonts w:ascii="Arial" w:cs="Arial" w:eastAsia="Arial" w:hAnsi="Arial"/>
          <w:sz w:val="20"/>
          <w:szCs w:val="20"/>
          <w:color w:val="0C3D25"/>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21"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COMPENSATION COMMITTEE REPORT</w:t>
      </w:r>
    </w:p>
    <w:p>
      <w:pPr>
        <w:spacing w:after="0" w:line="143" w:lineRule="exact"/>
        <w:rPr>
          <w:sz w:val="20"/>
          <w:szCs w:val="20"/>
          <w:color w:val="auto"/>
        </w:rPr>
      </w:pPr>
    </w:p>
    <w:p>
      <w:pPr>
        <w:jc w:val="both"/>
        <w:ind w:left="40"/>
        <w:spacing w:after="0" w:line="258" w:lineRule="auto"/>
        <w:rPr>
          <w:sz w:val="20"/>
          <w:szCs w:val="20"/>
          <w:color w:val="auto"/>
        </w:rPr>
      </w:pPr>
      <w:r>
        <w:rPr>
          <w:rFonts w:ascii="Arial" w:cs="Arial" w:eastAsia="Arial" w:hAnsi="Arial"/>
          <w:sz w:val="19"/>
          <w:szCs w:val="19"/>
          <w:color w:val="auto"/>
        </w:rPr>
        <w:t xml:space="preserve">The MD&amp;C Committee has reviewed and discussed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included in this Proxy Statement with management. Based on their review and discussions, the MD&amp;C Committee recommended to the Board of Directors that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be included in the Company’s Proxy Statement.</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The Management Development and Compensation Committee of the Board of Directors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Andrés R. Gluski, </w:t>
      </w:r>
      <w:r>
        <w:rPr>
          <w:rFonts w:ascii="Arial" w:cs="Arial" w:eastAsia="Arial" w:hAnsi="Arial"/>
          <w:sz w:val="20"/>
          <w:szCs w:val="20"/>
          <w:i w:val="1"/>
          <w:iCs w:val="1"/>
          <w:color w:val="auto"/>
        </w:rPr>
        <w:t>Chair</w:t>
      </w:r>
    </w:p>
    <w:p>
      <w:pPr>
        <w:ind w:left="40"/>
        <w:spacing w:after="0"/>
        <w:rPr>
          <w:sz w:val="20"/>
          <w:szCs w:val="20"/>
          <w:color w:val="auto"/>
        </w:rPr>
      </w:pPr>
      <w:r>
        <w:rPr>
          <w:rFonts w:ascii="Arial" w:cs="Arial" w:eastAsia="Arial" w:hAnsi="Arial"/>
          <w:sz w:val="20"/>
          <w:szCs w:val="20"/>
          <w:color w:val="auto"/>
        </w:rPr>
        <w:t>Thomas L. Bené</w:t>
      </w:r>
    </w:p>
    <w:p>
      <w:pPr>
        <w:ind w:left="40"/>
        <w:spacing w:after="0"/>
        <w:rPr>
          <w:sz w:val="20"/>
          <w:szCs w:val="20"/>
          <w:color w:val="auto"/>
        </w:rPr>
      </w:pPr>
      <w:r>
        <w:rPr>
          <w:rFonts w:ascii="Arial" w:cs="Arial" w:eastAsia="Arial" w:hAnsi="Arial"/>
          <w:sz w:val="20"/>
          <w:szCs w:val="20"/>
          <w:color w:val="auto"/>
        </w:rPr>
        <w:t>Kathleen M. Mazzarella</w:t>
      </w:r>
    </w:p>
    <w:p>
      <w:pPr>
        <w:ind w:left="40"/>
        <w:spacing w:after="0"/>
        <w:rPr>
          <w:sz w:val="20"/>
          <w:szCs w:val="20"/>
          <w:color w:val="auto"/>
        </w:rPr>
      </w:pPr>
      <w:r>
        <w:rPr>
          <w:rFonts w:ascii="Arial" w:cs="Arial" w:eastAsia="Arial" w:hAnsi="Arial"/>
          <w:sz w:val="20"/>
          <w:szCs w:val="20"/>
          <w:color w:val="auto"/>
        </w:rPr>
        <w:t>William B. Plummer</w:t>
      </w:r>
    </w:p>
    <w:p>
      <w:pPr>
        <w:ind w:left="40"/>
        <w:spacing w:after="0"/>
        <w:rPr>
          <w:sz w:val="20"/>
          <w:szCs w:val="20"/>
          <w:color w:val="auto"/>
        </w:rPr>
      </w:pPr>
      <w:r>
        <w:rPr>
          <w:rFonts w:ascii="Arial" w:cs="Arial" w:eastAsia="Arial" w:hAnsi="Arial"/>
          <w:sz w:val="20"/>
          <w:szCs w:val="20"/>
          <w:color w:val="auto"/>
        </w:rPr>
        <w:t>Maryrose T. Sylvester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51435</wp:posOffset>
                </wp:positionV>
                <wp:extent cx="63855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05pt" to="502.75pt,4.05pt" o:allowincell="f" strokecolor="#0C3D25" strokeweight="0.998pt"/>
            </w:pict>
          </mc:Fallback>
        </mc:AlternateContent>
      </w:r>
    </w:p>
    <w:p>
      <w:pPr>
        <w:sectPr>
          <w:pgSz w:w="11880" w:h="15480" w:orient="portrait"/>
          <w:cols w:equalWidth="0" w:num="1">
            <w:col w:w="10020"/>
          </w:cols>
          <w:pgMar w:left="900" w:top="513" w:right="9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20"/>
          </w:cols>
          <w:pgMar w:left="900" w:top="513" w:right="960" w:bottom="315"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159385</wp:posOffset>
                </wp:positionV>
                <wp:extent cx="6386195" cy="802132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8021320"/>
                        </a:xfrm>
                        <a:prstGeom prst="rect">
                          <a:avLst/>
                        </a:prstGeom>
                        <a:solidFill>
                          <a:srgbClr val="E6E8DE"/>
                        </a:solidFill>
                      </wps:spPr>
                      <wps:bodyPr/>
                    </wps:wsp>
                  </a:graphicData>
                </a:graphic>
              </wp:anchor>
            </w:drawing>
          </mc:Choice>
          <mc:Fallback>
            <w:pict>
              <v:rect id="Shape 67" o:spid="_x0000_s1092" style="position:absolute;margin-left:-1.9499pt;margin-top:12.55pt;width:502.85pt;height:63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-24765</wp:posOffset>
                </wp:positionH>
                <wp:positionV relativeFrom="paragraph">
                  <wp:posOffset>165100</wp:posOffset>
                </wp:positionV>
                <wp:extent cx="638556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13pt" to="500.85pt,13pt" o:allowincell="f" strokecolor="#0C3D25"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2"/>
        <w:spacing w:after="0"/>
        <w:rPr>
          <w:sz w:val="20"/>
          <w:szCs w:val="20"/>
          <w:color w:val="auto"/>
        </w:rPr>
      </w:pPr>
      <w:r>
        <w:rPr>
          <w:rFonts w:ascii="Arial" w:cs="Arial" w:eastAsia="Arial" w:hAnsi="Arial"/>
          <w:sz w:val="27"/>
          <w:szCs w:val="27"/>
          <w:b w:val="1"/>
          <w:bCs w:val="1"/>
          <w:color w:val="auto"/>
        </w:rPr>
        <w:t>COMPENSATION COMMITTEE INTERLOCKS AND INSIDER PARTICIPATION</w:t>
      </w:r>
    </w:p>
    <w:p>
      <w:pPr>
        <w:spacing w:after="0" w:line="155" w:lineRule="exact"/>
        <w:rPr>
          <w:sz w:val="20"/>
          <w:szCs w:val="20"/>
          <w:color w:val="auto"/>
        </w:rPr>
      </w:pPr>
    </w:p>
    <w:p>
      <w:pPr>
        <w:jc w:val="both"/>
        <w:ind w:left="2" w:right="40"/>
        <w:spacing w:after="0" w:line="239" w:lineRule="auto"/>
        <w:rPr>
          <w:sz w:val="20"/>
          <w:szCs w:val="20"/>
          <w:color w:val="auto"/>
        </w:rPr>
      </w:pPr>
      <w:r>
        <w:rPr>
          <w:rFonts w:ascii="Arial" w:cs="Arial" w:eastAsia="Arial" w:hAnsi="Arial"/>
          <w:sz w:val="20"/>
          <w:szCs w:val="20"/>
          <w:color w:val="auto"/>
        </w:rPr>
        <w:t>During 2025, Ms. Mazzarella, Ms. Sylvester and Messrs. Bené, Gluski and Plummer served on the MD&amp;C Committee. No member of the MD&amp;C Committee was an officer or employee of the Company during 2025; no member of the MD&amp;C Committee is a former officer of the Company; and during 2025, none of our executive officers served as a member of a board of directors or compensation committee of any entity that has one or more executive officers who serve on our Board of Directors or MD&amp;C Committee</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THE NOMINATING AND GOVERNANCE COMMITTEE</w:t>
      </w:r>
    </w:p>
    <w:p>
      <w:pPr>
        <w:spacing w:after="0" w:line="171" w:lineRule="exact"/>
        <w:rPr>
          <w:sz w:val="20"/>
          <w:szCs w:val="20"/>
          <w:color w:val="auto"/>
        </w:rPr>
      </w:pPr>
    </w:p>
    <w:p>
      <w:pPr>
        <w:ind w:left="82"/>
        <w:spacing w:after="0"/>
        <w:tabs>
          <w:tab w:leader="none" w:pos="6262"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2025: 5</w:t>
      </w:r>
    </w:p>
    <w:p>
      <w:pPr>
        <w:spacing w:after="0" w:line="69" w:lineRule="exact"/>
        <w:rPr>
          <w:sz w:val="20"/>
          <w:szCs w:val="20"/>
          <w:color w:val="auto"/>
        </w:rPr>
      </w:pPr>
    </w:p>
    <w:p>
      <w:pPr>
        <w:ind w:left="82"/>
        <w:spacing w:after="0"/>
        <w:tabs>
          <w:tab w:leader="none" w:pos="3722" w:val="left"/>
        </w:tabs>
        <w:rPr>
          <w:sz w:val="20"/>
          <w:szCs w:val="20"/>
          <w:color w:val="auto"/>
        </w:rPr>
      </w:pPr>
      <w:r>
        <w:rPr>
          <w:rFonts w:ascii="Arial" w:cs="Arial" w:eastAsia="Arial" w:hAnsi="Arial"/>
          <w:sz w:val="20"/>
          <w:szCs w:val="20"/>
          <w:b w:val="1"/>
          <w:bCs w:val="1"/>
          <w:color w:val="auto"/>
        </w:rPr>
        <w:t xml:space="preserve">Victoria M. Holt,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8"/>
          <w:szCs w:val="18"/>
          <w:b w:val="1"/>
          <w:bCs w:val="1"/>
          <w:color w:val="auto"/>
        </w:rPr>
        <w:t>Sean E. Menke</w:t>
      </w:r>
    </w:p>
    <w:p>
      <w:pPr>
        <w:spacing w:after="0" w:line="1" w:lineRule="exact"/>
        <w:rPr>
          <w:sz w:val="20"/>
          <w:szCs w:val="20"/>
          <w:color w:val="auto"/>
        </w:rPr>
      </w:pPr>
    </w:p>
    <w:p>
      <w:pPr>
        <w:ind w:left="82"/>
        <w:spacing w:after="0"/>
        <w:tabs>
          <w:tab w:leader="none" w:pos="3722" w:val="left"/>
        </w:tabs>
        <w:rPr>
          <w:sz w:val="20"/>
          <w:szCs w:val="20"/>
          <w:color w:val="auto"/>
        </w:rPr>
      </w:pPr>
      <w:r>
        <w:rPr>
          <w:rFonts w:ascii="Arial" w:cs="Arial" w:eastAsia="Arial" w:hAnsi="Arial"/>
          <w:sz w:val="20"/>
          <w:szCs w:val="20"/>
          <w:b w:val="1"/>
          <w:bCs w:val="1"/>
          <w:color w:val="auto"/>
        </w:rPr>
        <w:t>Kathleen M. Mazzarella</w:t>
      </w:r>
      <w:r>
        <w:rPr>
          <w:sz w:val="20"/>
          <w:szCs w:val="20"/>
          <w:color w:val="auto"/>
        </w:rPr>
        <w:tab/>
      </w:r>
      <w:r>
        <w:rPr>
          <w:rFonts w:ascii="Arial" w:cs="Arial" w:eastAsia="Arial" w:hAnsi="Arial"/>
          <w:sz w:val="18"/>
          <w:szCs w:val="18"/>
          <w:b w:val="1"/>
          <w:bCs w:val="1"/>
          <w:color w:val="auto"/>
        </w:rPr>
        <w:t>Maryrose T. Sylvester</w:t>
      </w:r>
    </w:p>
    <w:p>
      <w:pPr>
        <w:spacing w:after="0" w:line="70" w:lineRule="exact"/>
        <w:rPr>
          <w:sz w:val="20"/>
          <w:szCs w:val="20"/>
          <w:color w:val="auto"/>
        </w:rPr>
      </w:pPr>
    </w:p>
    <w:p>
      <w:pPr>
        <w:jc w:val="both"/>
        <w:ind w:left="2" w:right="40"/>
        <w:spacing w:after="0" w:line="239" w:lineRule="auto"/>
        <w:rPr>
          <w:sz w:val="20"/>
          <w:szCs w:val="20"/>
          <w:color w:val="auto"/>
        </w:rPr>
      </w:pPr>
      <w:r>
        <w:rPr>
          <w:rFonts w:ascii="Arial" w:cs="Arial" w:eastAsia="Arial" w:hAnsi="Arial"/>
          <w:sz w:val="20"/>
          <w:szCs w:val="20"/>
          <w:color w:val="auto"/>
        </w:rPr>
        <w:t>Ms. Holt was named Chair of our Nominating and Governance Committee in May 2023. Each member of our Nominating and Governance Committee is independent in accordance with the rules and regulations of the New York Stock Exchange.</w:t>
      </w:r>
    </w:p>
    <w:p>
      <w:pPr>
        <w:spacing w:after="0" w:line="69"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Key Functions</w:t>
      </w:r>
    </w:p>
    <w:p>
      <w:pPr>
        <w:spacing w:after="0" w:line="81" w:lineRule="exact"/>
        <w:rPr>
          <w:sz w:val="20"/>
          <w:szCs w:val="20"/>
          <w:color w:val="auto"/>
        </w:rPr>
      </w:pPr>
    </w:p>
    <w:p>
      <w:pPr>
        <w:jc w:val="both"/>
        <w:ind w:left="2" w:right="40"/>
        <w:spacing w:after="0" w:line="256" w:lineRule="auto"/>
        <w:rPr>
          <w:sz w:val="20"/>
          <w:szCs w:val="20"/>
          <w:color w:val="auto"/>
        </w:rPr>
      </w:pPr>
      <w:r>
        <w:rPr>
          <w:rFonts w:ascii="Arial" w:cs="Arial" w:eastAsia="Arial" w:hAnsi="Arial"/>
          <w:sz w:val="19"/>
          <w:szCs w:val="19"/>
          <w:color w:val="auto"/>
        </w:rPr>
        <w:t>The Nominating and Governance Committee has a written charter that has been approved by the Board of Directors and can be found by accessing the “Sustainability &amp; Governance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86" w:lineRule="exact"/>
        <w:rPr>
          <w:sz w:val="20"/>
          <w:szCs w:val="20"/>
          <w:color w:val="auto"/>
        </w:rPr>
      </w:pPr>
    </w:p>
    <w:p>
      <w:pPr>
        <w:ind w:left="202" w:right="40" w:hanging="202"/>
        <w:spacing w:after="0" w:line="239" w:lineRule="auto"/>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Review and recommend the composition of our Board, and the nature and duties of each of our committees, in accordance with our Corporate Governance Guidelines;</w:t>
      </w:r>
    </w:p>
    <w:p>
      <w:pPr>
        <w:spacing w:after="0" w:line="100" w:lineRule="exact"/>
        <w:rPr>
          <w:rFonts w:ascii="Arial" w:cs="Arial" w:eastAsia="Arial" w:hAnsi="Arial"/>
          <w:sz w:val="20"/>
          <w:szCs w:val="20"/>
          <w:color w:val="0C3D25"/>
        </w:rPr>
      </w:pPr>
    </w:p>
    <w:p>
      <w:pPr>
        <w:ind w:left="202" w:hanging="202"/>
        <w:spacing w:after="0"/>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Evaluate the charters of each of the committees and recommend directors to serve as committee chairs;</w:t>
      </w:r>
    </w:p>
    <w:p>
      <w:pPr>
        <w:spacing w:after="0" w:line="99" w:lineRule="exact"/>
        <w:rPr>
          <w:rFonts w:ascii="Arial" w:cs="Arial" w:eastAsia="Arial" w:hAnsi="Arial"/>
          <w:sz w:val="20"/>
          <w:szCs w:val="20"/>
          <w:color w:val="0C3D25"/>
        </w:rPr>
      </w:pPr>
    </w:p>
    <w:p>
      <w:pPr>
        <w:ind w:left="202" w:right="40" w:hanging="202"/>
        <w:spacing w:after="0" w:line="239" w:lineRule="auto"/>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Review individual director’s performance in consultation with the Chair of the Board and review the overall effectiveness of the Board;</w:t>
      </w:r>
    </w:p>
    <w:p>
      <w:pPr>
        <w:spacing w:after="0" w:line="100" w:lineRule="exact"/>
        <w:rPr>
          <w:rFonts w:ascii="Arial" w:cs="Arial" w:eastAsia="Arial" w:hAnsi="Arial"/>
          <w:sz w:val="20"/>
          <w:szCs w:val="20"/>
          <w:color w:val="0C3D25"/>
        </w:rPr>
      </w:pPr>
    </w:p>
    <w:p>
      <w:pPr>
        <w:ind w:left="202" w:right="40" w:hanging="202"/>
        <w:spacing w:after="0" w:line="239" w:lineRule="auto"/>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Recommend retirement policies for the Board, the terms for directors and the proper ratio of employee directors to non-employee directors;</w:t>
      </w:r>
    </w:p>
    <w:p>
      <w:pPr>
        <w:spacing w:after="0" w:line="100" w:lineRule="exact"/>
        <w:rPr>
          <w:rFonts w:ascii="Arial" w:cs="Arial" w:eastAsia="Arial" w:hAnsi="Arial"/>
          <w:sz w:val="20"/>
          <w:szCs w:val="20"/>
          <w:color w:val="0C3D25"/>
        </w:rPr>
      </w:pPr>
    </w:p>
    <w:p>
      <w:pPr>
        <w:ind w:left="202" w:right="40" w:hanging="202"/>
        <w:spacing w:after="0" w:line="239" w:lineRule="auto"/>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00" w:lineRule="exact"/>
        <w:rPr>
          <w:rFonts w:ascii="Arial" w:cs="Arial" w:eastAsia="Arial" w:hAnsi="Arial"/>
          <w:sz w:val="20"/>
          <w:szCs w:val="20"/>
          <w:color w:val="0C3D25"/>
        </w:rPr>
      </w:pPr>
    </w:p>
    <w:p>
      <w:pPr>
        <w:ind w:left="202" w:right="40" w:hanging="202"/>
        <w:spacing w:after="0" w:line="239" w:lineRule="auto"/>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Review stockholder proposals received for inclusion in the Company’s proxy statement and recommend action to be taken with regard to the proposals to the Board; and</w:t>
      </w:r>
    </w:p>
    <w:p>
      <w:pPr>
        <w:spacing w:after="0" w:line="100" w:lineRule="exact"/>
        <w:rPr>
          <w:rFonts w:ascii="Arial" w:cs="Arial" w:eastAsia="Arial" w:hAnsi="Arial"/>
          <w:sz w:val="20"/>
          <w:szCs w:val="20"/>
          <w:color w:val="0C3D25"/>
        </w:rPr>
      </w:pPr>
    </w:p>
    <w:p>
      <w:pPr>
        <w:ind w:left="202" w:hanging="202"/>
        <w:spacing w:after="0"/>
        <w:tabs>
          <w:tab w:leader="none" w:pos="202" w:val="left"/>
        </w:tabs>
        <w:numPr>
          <w:ilvl w:val="0"/>
          <w:numId w:val="8"/>
        </w:numPr>
        <w:rPr>
          <w:rFonts w:ascii="Arial" w:cs="Arial" w:eastAsia="Arial" w:hAnsi="Arial"/>
          <w:sz w:val="20"/>
          <w:szCs w:val="20"/>
          <w:color w:val="0C3D25"/>
        </w:rPr>
      </w:pPr>
      <w:r>
        <w:rPr>
          <w:rFonts w:ascii="Arial" w:cs="Arial" w:eastAsia="Arial" w:hAnsi="Arial"/>
          <w:sz w:val="20"/>
          <w:szCs w:val="20"/>
          <w:color w:val="auto"/>
        </w:rPr>
        <w:t>Identify and recommend to the Board candidates to fill director vacancies.</w:t>
      </w:r>
    </w:p>
    <w:p>
      <w:pPr>
        <w:spacing w:after="0" w:line="80" w:lineRule="exact"/>
        <w:rPr>
          <w:sz w:val="20"/>
          <w:szCs w:val="20"/>
          <w:color w:val="auto"/>
        </w:rPr>
      </w:pPr>
    </w:p>
    <w:p>
      <w:pPr>
        <w:jc w:val="both"/>
        <w:ind w:left="2" w:right="40"/>
        <w:spacing w:after="0" w:line="239" w:lineRule="auto"/>
        <w:rPr>
          <w:sz w:val="20"/>
          <w:szCs w:val="20"/>
          <w:color w:val="auto"/>
        </w:rPr>
      </w:pPr>
      <w:r>
        <w:rPr>
          <w:rFonts w:ascii="Arial" w:cs="Arial" w:eastAsia="Arial" w:hAnsi="Arial"/>
          <w:sz w:val="20"/>
          <w:szCs w:val="20"/>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82" w:lineRule="exact"/>
        <w:rPr>
          <w:sz w:val="20"/>
          <w:szCs w:val="20"/>
          <w:color w:val="auto"/>
        </w:rPr>
      </w:pPr>
    </w:p>
    <w:p>
      <w:pPr>
        <w:jc w:val="both"/>
        <w:ind w:left="2" w:right="40"/>
        <w:spacing w:after="0" w:line="253" w:lineRule="auto"/>
        <w:rPr>
          <w:sz w:val="20"/>
          <w:szCs w:val="20"/>
          <w:color w:val="auto"/>
        </w:rPr>
      </w:pPr>
      <w:r>
        <w:rPr>
          <w:rFonts w:ascii="Arial" w:cs="Arial" w:eastAsia="Arial" w:hAnsi="Arial"/>
          <w:sz w:val="19"/>
          <w:szCs w:val="19"/>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45720</wp:posOffset>
                </wp:positionV>
                <wp:extent cx="638556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3.6pt" to="500.85pt,3.6pt" o:allowincell="f" strokecolor="#0C3D25" strokeweight="0.998pt"/>
            </w:pict>
          </mc:Fallback>
        </mc:AlternateContent>
      </w:r>
    </w:p>
    <w:p>
      <w:pPr>
        <w:sectPr>
          <w:pgSz w:w="11880" w:h="15480" w:orient="portrait"/>
          <w:cols w:equalWidth="0" w:num="1">
            <w:col w:w="10022"/>
          </w:cols>
          <w:pgMar w:left="93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62"/>
        <w:spacing w:after="0"/>
        <w:tabs>
          <w:tab w:leader="none" w:pos="950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-207010</wp:posOffset>
            </wp:positionV>
            <wp:extent cx="538480" cy="16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22"/>
          </w:cols>
          <w:pgMar w:left="938" w:top="513" w:right="920" w:bottom="315"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311086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3110865"/>
                        </a:xfrm>
                        <a:prstGeom prst="rect">
                          <a:avLst/>
                        </a:prstGeom>
                        <a:solidFill>
                          <a:srgbClr val="E6E8DE"/>
                        </a:solidFill>
                      </wps:spPr>
                      <wps:bodyPr/>
                    </wps:wsp>
                  </a:graphicData>
                </a:graphic>
              </wp:anchor>
            </w:drawing>
          </mc:Choice>
          <mc:Fallback>
            <w:pict>
              <v:rect id="Shape 72" o:spid="_x0000_s1097" style="position:absolute;margin-left:-0.0499pt;margin-top:12.55pt;width:502.85pt;height:24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165100</wp:posOffset>
                </wp:positionV>
                <wp:extent cx="638556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502.75pt,13pt" o:allowincell="f" strokecolor="#0C3D25" strokeweight="0.998pt"/>
            </w:pict>
          </mc:Fallback>
        </mc:AlternateContent>
      </w:r>
    </w:p>
    <w:p>
      <w:pPr>
        <w:spacing w:after="0" w:line="329"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9"/>
          <w:szCs w:val="19"/>
          <w:color w:val="auto"/>
        </w:rPr>
        <w:t>When nominating or re-nominating individuals to serve as directors of the Company, the Nominating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110"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9"/>
          <w:szCs w:val="19"/>
          <w:color w:val="auto"/>
        </w:rPr>
        <w:t>The Nominating and Governance Committee will consider all potential nominees on their merits, regardless of source,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at Waste Management, Inc., 800 Capitol Street, Suite 3000, Houston, Texas 77002, between November 1, 2026, and December 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47625</wp:posOffset>
                </wp:positionV>
                <wp:extent cx="638556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75pt" to="502.75pt,3.75pt" o:allowincell="f" strokecolor="#0C3D25" strokeweight="0.998pt"/>
            </w:pict>
          </mc:Fallback>
        </mc:AlternateConten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Related Party Transactions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 (d) indemnification payments and advancement of expenses, and payments under directors’ and officers’ indemnification insurance policies; (e) any transaction between the Company and any entity in which a related party has a relationship solely as a director; a less than 10%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 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8" w:name="page19"/>
    <w:bookmarkEnd w:id="18"/>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9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determining whether to approve a related party transaction, the Nominating and Governance Committee will consider, among other things, the following factors:</w:t>
      </w:r>
    </w:p>
    <w:p>
      <w:pPr>
        <w:spacing w:after="0" w:line="122" w:lineRule="exact"/>
        <w:rPr>
          <w:sz w:val="20"/>
          <w:szCs w:val="20"/>
          <w:color w:val="auto"/>
        </w:rPr>
      </w:pPr>
    </w:p>
    <w:p>
      <w:pPr>
        <w:ind w:left="600" w:hanging="203"/>
        <w:spacing w:after="0" w:line="251" w:lineRule="auto"/>
        <w:tabs>
          <w:tab w:leader="none" w:pos="600" w:val="left"/>
        </w:tabs>
        <w:numPr>
          <w:ilvl w:val="0"/>
          <w:numId w:val="9"/>
        </w:numPr>
        <w:rPr>
          <w:rFonts w:ascii="Arial" w:cs="Arial" w:eastAsia="Arial" w:hAnsi="Arial"/>
          <w:sz w:val="20"/>
          <w:szCs w:val="20"/>
          <w:color w:val="0C3D25"/>
        </w:rPr>
      </w:pPr>
      <w:r>
        <w:rPr>
          <w:rFonts w:ascii="Arial" w:cs="Arial" w:eastAsia="Arial" w:hAnsi="Arial"/>
          <w:sz w:val="20"/>
          <w:szCs w:val="20"/>
          <w:color w:val="auto"/>
        </w:rPr>
        <w:t>whether the terms of the related party transaction are fair to the Company and such terms would be reasonable in an arms-length transaction;</w:t>
      </w:r>
    </w:p>
    <w:p>
      <w:pPr>
        <w:spacing w:after="0" w:line="121" w:lineRule="exact"/>
        <w:rPr>
          <w:rFonts w:ascii="Arial" w:cs="Arial" w:eastAsia="Arial" w:hAnsi="Arial"/>
          <w:sz w:val="20"/>
          <w:szCs w:val="20"/>
          <w:color w:val="0C3D25"/>
        </w:rPr>
      </w:pPr>
    </w:p>
    <w:p>
      <w:pPr>
        <w:ind w:left="600" w:hanging="203"/>
        <w:spacing w:after="0"/>
        <w:tabs>
          <w:tab w:leader="none" w:pos="600" w:val="left"/>
        </w:tabs>
        <w:numPr>
          <w:ilvl w:val="0"/>
          <w:numId w:val="9"/>
        </w:numPr>
        <w:rPr>
          <w:rFonts w:ascii="Arial" w:cs="Arial" w:eastAsia="Arial" w:hAnsi="Arial"/>
          <w:sz w:val="20"/>
          <w:szCs w:val="20"/>
          <w:color w:val="0C3D25"/>
        </w:rPr>
      </w:pPr>
      <w:r>
        <w:rPr>
          <w:rFonts w:ascii="Arial" w:cs="Arial" w:eastAsia="Arial" w:hAnsi="Arial"/>
          <w:sz w:val="20"/>
          <w:szCs w:val="20"/>
          <w:color w:val="auto"/>
        </w:rPr>
        <w:t>whether there are business reasons for the Company to enter into the related party transaction;</w:t>
      </w:r>
    </w:p>
    <w:p>
      <w:pPr>
        <w:spacing w:after="0" w:line="131" w:lineRule="exact"/>
        <w:rPr>
          <w:rFonts w:ascii="Arial" w:cs="Arial" w:eastAsia="Arial" w:hAnsi="Arial"/>
          <w:sz w:val="20"/>
          <w:szCs w:val="20"/>
          <w:color w:val="0C3D25"/>
        </w:rPr>
      </w:pPr>
    </w:p>
    <w:p>
      <w:pPr>
        <w:ind w:left="600" w:hanging="203"/>
        <w:spacing w:after="0"/>
        <w:tabs>
          <w:tab w:leader="none" w:pos="600" w:val="left"/>
        </w:tabs>
        <w:numPr>
          <w:ilvl w:val="0"/>
          <w:numId w:val="9"/>
        </w:numPr>
        <w:rPr>
          <w:rFonts w:ascii="Arial" w:cs="Arial" w:eastAsia="Arial" w:hAnsi="Arial"/>
          <w:sz w:val="20"/>
          <w:szCs w:val="20"/>
          <w:color w:val="0C3D25"/>
        </w:rPr>
      </w:pPr>
      <w:r>
        <w:rPr>
          <w:rFonts w:ascii="Arial" w:cs="Arial" w:eastAsia="Arial" w:hAnsi="Arial"/>
          <w:sz w:val="20"/>
          <w:szCs w:val="20"/>
          <w:color w:val="auto"/>
        </w:rPr>
        <w:t>whether the related party transaction would impair the independence of any non-employee director;</w:t>
      </w:r>
    </w:p>
    <w:p>
      <w:pPr>
        <w:spacing w:after="0" w:line="131" w:lineRule="exact"/>
        <w:rPr>
          <w:rFonts w:ascii="Arial" w:cs="Arial" w:eastAsia="Arial" w:hAnsi="Arial"/>
          <w:sz w:val="20"/>
          <w:szCs w:val="20"/>
          <w:color w:val="0C3D25"/>
        </w:rPr>
      </w:pPr>
    </w:p>
    <w:p>
      <w:pPr>
        <w:ind w:left="600" w:hanging="203"/>
        <w:spacing w:after="0" w:line="251" w:lineRule="auto"/>
        <w:tabs>
          <w:tab w:leader="none" w:pos="600" w:val="left"/>
        </w:tabs>
        <w:numPr>
          <w:ilvl w:val="0"/>
          <w:numId w:val="9"/>
        </w:numPr>
        <w:rPr>
          <w:rFonts w:ascii="Arial" w:cs="Arial" w:eastAsia="Arial" w:hAnsi="Arial"/>
          <w:sz w:val="20"/>
          <w:szCs w:val="20"/>
          <w:color w:val="0C3D25"/>
        </w:rPr>
      </w:pPr>
      <w:r>
        <w:rPr>
          <w:rFonts w:ascii="Arial" w:cs="Arial" w:eastAsia="Arial" w:hAnsi="Arial"/>
          <w:sz w:val="20"/>
          <w:szCs w:val="20"/>
          <w:color w:val="auto"/>
        </w:rPr>
        <w:t>whether the related party transaction would present an improper conflict of interest for any director or executive officer of the Company; and</w:t>
      </w:r>
    </w:p>
    <w:p>
      <w:pPr>
        <w:spacing w:after="0" w:line="121" w:lineRule="exact"/>
        <w:rPr>
          <w:rFonts w:ascii="Arial" w:cs="Arial" w:eastAsia="Arial" w:hAnsi="Arial"/>
          <w:sz w:val="20"/>
          <w:szCs w:val="20"/>
          <w:color w:val="0C3D25"/>
        </w:rPr>
      </w:pPr>
    </w:p>
    <w:p>
      <w:pPr>
        <w:ind w:left="600" w:hanging="203"/>
        <w:spacing w:after="0"/>
        <w:tabs>
          <w:tab w:leader="none" w:pos="600" w:val="left"/>
        </w:tabs>
        <w:numPr>
          <w:ilvl w:val="0"/>
          <w:numId w:val="9"/>
        </w:numPr>
        <w:rPr>
          <w:rFonts w:ascii="Arial" w:cs="Arial" w:eastAsia="Arial" w:hAnsi="Arial"/>
          <w:sz w:val="20"/>
          <w:szCs w:val="20"/>
          <w:color w:val="0C3D25"/>
        </w:rPr>
      </w:pPr>
      <w:r>
        <w:rPr>
          <w:rFonts w:ascii="Arial" w:cs="Arial" w:eastAsia="Arial" w:hAnsi="Arial"/>
          <w:sz w:val="20"/>
          <w:szCs w:val="20"/>
          <w:color w:val="auto"/>
        </w:rPr>
        <w:t>whether the related party transaction is material to the Company or the individual.</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2025, the Company identified one continuing transaction that the Nominating and Governance Committee had previously considered and approved. The Nominating and Governance Committee re-reviewed the employment relationship set forth below and again concluded that it is not inconsistent with the interests of the Company and its stockholders. Other than as reported below, we are not aware of any other transactions in 2025 that are required to be disclosed.</w:t>
      </w:r>
    </w:p>
    <w:p>
      <w:pPr>
        <w:spacing w:after="0" w:line="109" w:lineRule="exact"/>
        <w:rPr>
          <w:sz w:val="20"/>
          <w:szCs w:val="20"/>
          <w:color w:val="auto"/>
        </w:rPr>
      </w:pPr>
    </w:p>
    <w:p>
      <w:pPr>
        <w:jc w:val="both"/>
        <w:ind w:left="400"/>
        <w:spacing w:after="0" w:line="267" w:lineRule="auto"/>
        <w:rPr>
          <w:sz w:val="20"/>
          <w:szCs w:val="20"/>
          <w:color w:val="auto"/>
        </w:rPr>
      </w:pPr>
      <w:r>
        <w:rPr>
          <w:rFonts w:ascii="Arial" w:cs="Arial" w:eastAsia="Arial" w:hAnsi="Arial"/>
          <w:sz w:val="19"/>
          <w:szCs w:val="19"/>
          <w:color w:val="auto"/>
        </w:rPr>
        <w:t>John Morris is our President and Chief Operating Officer. The brother-in-law of Mr. Morris continues to be employed by a subsidiary of Waste Management, Inc. as a Senior Manager of Talent Management &amp; Learning Optimization. In 2025, Mr. Morris’s brother-in-law received total cash compensation in excess of $120,000, but less than $230,000.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Mr. Morris is not directly or indirectly responsible for managing or overseeing the work of his brother-in-law.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Board of Directors Governing Documents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Stockholders may obtain copies of our Corporate Governance Guidelines, the charters of the Audit Committee, the MD&amp;C Committee, and the Nominating and Governance Committee, and our Code of Conduct free of charge by contacting the Corporate Secretary at Waste Management, Inc., 800 Capitol Street, Suite 3000, Houston, Texas 77002 or by accessing the “Sustainability &amp; Governance — Corporate Governance” section of investors.wm.com.</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Non-Employee Director Compensation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non-employee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2025 Non-Employee Director Compensation Changes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2025, the MD&amp;C Committee conducted its annual review of non-employee director compensation with the assistance of the independent third-party consultant. Following that review, the MD&amp;C Committee recommended, and the Board of Directors approved, the following increases in non-employee director compensation, and such increases took effect with the next installments that were paid or granted in July 2025: (a) annual grant of Common Stock increased from $180,000 to $190,000 and (b) annual cash retainer increased from $120,000 to $125,000. Additionally, the MD&amp;C Committee recommended, and the Board of Directors approved, a change to the frequency of equity grants made to non-employee directors, from equal installments made semi-annually, to a single, annual grant made shortly after the Company’s</w:t>
      </w:r>
    </w:p>
    <w:p>
      <w:pPr>
        <w:spacing w:after="0" w:line="39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annual meeting of stockholders for the forthcoming year of service. All non-employee director compensation is paid in advance and is not subject to proration in the event of retirement or resignation.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Non-employee directors receive grants of shares of Common Stock under the Company’s current stock incentive plan. Any director serving as Non-Executive Chair of the Board receives an additional grant of Common Stock valued at approximately $100,000 per year. The shares are fully vested at the time of grant; however, non-employee directors are required to hold all net shares throughout their tenure on the Board and are subject to ownership guidelines, as discussed below.</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Grants of shares were historically made in equal installments semi-annually; accordingly, in January 2025, each non-employee director received a grant of Common Stock valued at approximately $90,000, and Ms. Mazzarella received an additional grant of Common Stock valued at approximately $50,000, as compensation for service from January 15 to July 15, 2025. As discussed in the paragraph above, the Board approved a change to the frequency of equity grants made to non-employee directors, and non-employee director equity grants will therefore be made as a single, annual grant for the forthcoming year of service going forward. In order to align timing of the equity grants with the newly approved timetable, each non-employee director received a grant of Common Stock valued at approximately $95,000 plus an additional $63,333 (for a total of $158,333) in July 2025 as compensation for service from July 15, 2025 to May 15, 2026. Ms. Mazzarella also received an additional grant of Common Stock valued at approximately $83,333 in July 2025 as compensation for service as Non-Executive Chair of the Board from July 15, 2025 to May 15, 2026. The number of shares issued is based on the market value of our Common Stock on the grant date. On or about May 15, 2026, following the Annual Meeting, each non-employee director serving at the time will receive an annual grant of Common Stock valued at approximately $190,000, and any director serving as Non-Executive Chair of the Board will receive an additional annual grant of Common Stock valued at approximately $100,000.</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Non-employee directors received an annual cash retainer of $125,000 for Board service in 2025. Cash compensation payments have historically been made in equal installments semi-annually, on or about January 15 and July 15. Unlike the equity compensation payments discussed above, cash compensation payments will continue to be made in equal installments semi-annually. Committee chairs received the additional annual retainer payments set forth below. Directors do not receive meeting fees in addition to the retainers. The annual cash retainer is paid in advance in two equal installments in January and July of each year.</w:t>
      </w:r>
    </w:p>
    <w:p>
      <w:pPr>
        <w:spacing w:after="0" w:line="133" w:lineRule="exact"/>
        <w:rPr>
          <w:sz w:val="20"/>
          <w:szCs w:val="20"/>
          <w:color w:val="auto"/>
        </w:rPr>
      </w:pPr>
    </w:p>
    <w:p>
      <w:pPr>
        <w:ind w:left="3100" w:right="3040" w:hanging="2294"/>
        <w:spacing w:after="0" w:line="259" w:lineRule="auto"/>
        <w:tabs>
          <w:tab w:leader="none" w:pos="3080" w:val="left"/>
        </w:tabs>
        <w:rPr>
          <w:sz w:val="20"/>
          <w:szCs w:val="20"/>
          <w:color w:val="auto"/>
        </w:rPr>
      </w:pPr>
      <w:r>
        <w:rPr>
          <w:rFonts w:ascii="Arial" w:cs="Arial" w:eastAsia="Arial" w:hAnsi="Arial"/>
          <w:sz w:val="20"/>
          <w:szCs w:val="20"/>
          <w:b w:val="1"/>
          <w:bCs w:val="1"/>
          <w:color w:val="auto"/>
        </w:rPr>
        <w:t>Annual Chair Retainers:</w:t>
      </w:r>
      <w:r>
        <w:rPr>
          <w:sz w:val="20"/>
          <w:szCs w:val="20"/>
          <w:color w:val="auto"/>
        </w:rPr>
        <w:tab/>
      </w:r>
      <w:r>
        <w:rPr>
          <w:rFonts w:ascii="Arial" w:cs="Arial" w:eastAsia="Arial" w:hAnsi="Arial"/>
          <w:sz w:val="20"/>
          <w:szCs w:val="20"/>
          <w:color w:val="auto"/>
        </w:rPr>
        <w:t>$100,000 for Non-Executive Chair of the Board $25,000 for Audit Committee Chair</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$20,000 for MD&amp;C Committee Chair</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$20,000 for Nominating and Governance Committee Chair</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Ownership Guidelines for Non-Employee Directors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2025, this amount was $625,000.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17, 2026, all non-employee directors have reached the ownership guideline with the exception of our newest director, Mr. Bené, who is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0" w:name="page21"/>
    <w:bookmarkEnd w:id="20"/>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2025 Director Compensation Table</w:t>
      </w:r>
    </w:p>
    <w:p>
      <w:pPr>
        <w:spacing w:after="0" w:line="1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table below shows the aggregate cash paid, and stock awards issued, to the non-employee directors in 2025 in accordance with the descriptions set forth above:</w:t>
      </w: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700" w:type="dxa"/>
            <w:vAlign w:val="bottom"/>
          </w:tcPr>
          <w:p>
            <w:pPr>
              <w:jc w:val="right"/>
              <w:ind w:right="146"/>
              <w:spacing w:after="0"/>
              <w:rPr>
                <w:sz w:val="20"/>
                <w:szCs w:val="20"/>
                <w:color w:val="auto"/>
              </w:rPr>
            </w:pPr>
            <w:r>
              <w:rPr>
                <w:rFonts w:ascii="Arial" w:cs="Arial" w:eastAsia="Arial" w:hAnsi="Arial"/>
                <w:sz w:val="16"/>
                <w:szCs w:val="16"/>
                <w:b w:val="1"/>
                <w:bCs w:val="1"/>
                <w:color w:val="0C3D25"/>
              </w:rPr>
              <w:t>Fees Earned</w:t>
            </w:r>
          </w:p>
        </w:tc>
        <w:tc>
          <w:tcPr>
            <w:tcW w:w="1160" w:type="dxa"/>
            <w:vAlign w:val="bottom"/>
          </w:tcPr>
          <w:p>
            <w:pPr>
              <w:jc w:val="right"/>
              <w:ind w:right="149"/>
              <w:spacing w:after="0"/>
              <w:rPr>
                <w:sz w:val="20"/>
                <w:szCs w:val="20"/>
                <w:color w:val="auto"/>
              </w:rPr>
            </w:pPr>
            <w:r>
              <w:rPr>
                <w:rFonts w:ascii="Arial" w:cs="Arial" w:eastAsia="Arial" w:hAnsi="Arial"/>
                <w:sz w:val="16"/>
                <w:szCs w:val="16"/>
                <w:b w:val="1"/>
                <w:bCs w:val="1"/>
                <w:color w:val="0C3D25"/>
              </w:rPr>
              <w:t>Stock</w:t>
            </w:r>
          </w:p>
        </w:tc>
        <w:tc>
          <w:tcPr>
            <w:tcW w:w="980" w:type="dxa"/>
            <w:vAlign w:val="bottom"/>
          </w:tcPr>
          <w:p>
            <w:pPr>
              <w:spacing w:after="0"/>
              <w:rPr>
                <w:sz w:val="16"/>
                <w:szCs w:val="16"/>
                <w:color w:val="auto"/>
              </w:rPr>
            </w:pPr>
          </w:p>
        </w:tc>
      </w:tr>
      <w:tr>
        <w:trPr>
          <w:trHeight w:val="150"/>
        </w:trPr>
        <w:tc>
          <w:tcPr>
            <w:tcW w:w="3620" w:type="dxa"/>
            <w:vAlign w:val="bottom"/>
          </w:tcPr>
          <w:p>
            <w:pPr>
              <w:spacing w:after="0"/>
              <w:rPr>
                <w:sz w:val="13"/>
                <w:szCs w:val="13"/>
                <w:color w:val="auto"/>
              </w:rPr>
            </w:pPr>
          </w:p>
        </w:tc>
        <w:tc>
          <w:tcPr>
            <w:tcW w:w="2700" w:type="dxa"/>
            <w:vAlign w:val="bottom"/>
          </w:tcPr>
          <w:p>
            <w:pPr>
              <w:jc w:val="right"/>
              <w:ind w:right="146"/>
              <w:spacing w:after="0" w:line="150" w:lineRule="exact"/>
              <w:rPr>
                <w:sz w:val="20"/>
                <w:szCs w:val="20"/>
                <w:color w:val="auto"/>
              </w:rPr>
            </w:pPr>
            <w:r>
              <w:rPr>
                <w:rFonts w:ascii="Arial" w:cs="Arial" w:eastAsia="Arial" w:hAnsi="Arial"/>
                <w:sz w:val="16"/>
                <w:szCs w:val="16"/>
                <w:b w:val="1"/>
                <w:bCs w:val="1"/>
                <w:color w:val="0C3D25"/>
              </w:rPr>
              <w:t>or Paid in</w:t>
            </w:r>
          </w:p>
        </w:tc>
        <w:tc>
          <w:tcPr>
            <w:tcW w:w="1160" w:type="dxa"/>
            <w:vAlign w:val="bottom"/>
          </w:tcPr>
          <w:p>
            <w:pPr>
              <w:jc w:val="right"/>
              <w:ind w:right="149"/>
              <w:spacing w:after="0" w:line="150" w:lineRule="exact"/>
              <w:rPr>
                <w:sz w:val="20"/>
                <w:szCs w:val="20"/>
                <w:color w:val="auto"/>
              </w:rPr>
            </w:pPr>
            <w:r>
              <w:rPr>
                <w:rFonts w:ascii="Arial" w:cs="Arial" w:eastAsia="Arial" w:hAnsi="Arial"/>
                <w:sz w:val="16"/>
                <w:szCs w:val="16"/>
                <w:b w:val="1"/>
                <w:bCs w:val="1"/>
                <w:color w:val="0C3D25"/>
              </w:rPr>
              <w:t>Awards</w:t>
            </w:r>
          </w:p>
        </w:tc>
        <w:tc>
          <w:tcPr>
            <w:tcW w:w="980" w:type="dxa"/>
            <w:vAlign w:val="bottom"/>
          </w:tcPr>
          <w:p>
            <w:pPr>
              <w:spacing w:after="0"/>
              <w:rPr>
                <w:sz w:val="13"/>
                <w:szCs w:val="13"/>
                <w:color w:val="auto"/>
              </w:rPr>
            </w:pPr>
          </w:p>
        </w:tc>
      </w:tr>
      <w:tr>
        <w:trPr>
          <w:trHeight w:val="216"/>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16"/>
                <w:szCs w:val="16"/>
                <w:b w:val="1"/>
                <w:bCs w:val="1"/>
                <w:color w:val="0C3D25"/>
              </w:rPr>
              <w:t>Cash ($)</w:t>
            </w:r>
          </w:p>
        </w:tc>
        <w:tc>
          <w:tcPr>
            <w:tcW w:w="1160" w:type="dxa"/>
            <w:vAlign w:val="bottom"/>
            <w:tcBorders>
              <w:bottom w:val="single" w:sz="8" w:color="0C3D25"/>
            </w:tcBorders>
          </w:tcPr>
          <w:p>
            <w:pPr>
              <w:jc w:val="right"/>
              <w:ind w:right="149"/>
              <w:spacing w:after="0" w:line="216" w:lineRule="exact"/>
              <w:rPr>
                <w:sz w:val="20"/>
                <w:szCs w:val="20"/>
                <w:color w:val="auto"/>
              </w:rPr>
            </w:pPr>
            <w:r>
              <w:rPr>
                <w:rFonts w:ascii="Arial" w:cs="Arial" w:eastAsia="Arial" w:hAnsi="Arial"/>
                <w:sz w:val="24"/>
                <w:szCs w:val="24"/>
                <w:b w:val="1"/>
                <w:bCs w:val="1"/>
                <w:color w:val="0C3D25"/>
                <w:vertAlign w:val="subscript"/>
              </w:rPr>
              <w:t>($)</w:t>
            </w:r>
            <w:r>
              <w:rPr>
                <w:rFonts w:ascii="Arial" w:cs="Arial" w:eastAsia="Arial" w:hAnsi="Arial"/>
                <w:sz w:val="9"/>
                <w:szCs w:val="9"/>
                <w:b w:val="1"/>
                <w:bCs w:val="1"/>
                <w:color w:val="0C3D25"/>
              </w:rPr>
              <w:t>(1)</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Total ($)</w:t>
            </w:r>
          </w:p>
        </w:tc>
      </w:tr>
      <w:tr>
        <w:trPr>
          <w:trHeight w:val="247"/>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Thomas L. Bené</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122,500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370,768</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Bruce E. Chinn</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122,500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370,768</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Andrés R. Gluski</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142,500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390,768</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Victoria M. Holt</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142,500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390,768</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Kathleen M. Mazzarella</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222,500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381,814</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604,314</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Sean E. Menke</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122,500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370,768</w:t>
            </w:r>
          </w:p>
        </w:tc>
      </w:tr>
      <w:tr>
        <w:trPr>
          <w:trHeight w:val="239"/>
        </w:trPr>
        <w:tc>
          <w:tcPr>
            <w:tcW w:w="3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William B. Plummer</w:t>
            </w:r>
          </w:p>
        </w:tc>
        <w:tc>
          <w:tcPr>
            <w:tcW w:w="2700" w:type="dxa"/>
            <w:vAlign w:val="bottom"/>
            <w:tcBorders>
              <w:bottom w:val="single" w:sz="8" w:color="0C3D25"/>
            </w:tcBorders>
          </w:tcPr>
          <w:p>
            <w:pPr>
              <w:jc w:val="right"/>
              <w:ind w:right="146"/>
              <w:spacing w:after="0"/>
              <w:rPr>
                <w:sz w:val="20"/>
                <w:szCs w:val="20"/>
                <w:color w:val="auto"/>
              </w:rPr>
            </w:pPr>
            <w:r>
              <w:rPr>
                <w:rFonts w:ascii="Arial" w:cs="Arial" w:eastAsia="Arial" w:hAnsi="Arial"/>
                <w:sz w:val="20"/>
                <w:szCs w:val="20"/>
                <w:color w:val="auto"/>
              </w:rPr>
              <w:t>147,500</w:t>
            </w:r>
          </w:p>
        </w:tc>
        <w:tc>
          <w:tcPr>
            <w:tcW w:w="1160" w:type="dxa"/>
            <w:vAlign w:val="bottom"/>
            <w:tcBorders>
              <w:bottom w:val="single" w:sz="8" w:color="0C3D25"/>
            </w:tcBorders>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395,768</w:t>
            </w:r>
          </w:p>
        </w:tc>
      </w:tr>
      <w:tr>
        <w:trPr>
          <w:trHeight w:val="236"/>
        </w:trPr>
        <w:tc>
          <w:tcPr>
            <w:tcW w:w="3620" w:type="dxa"/>
            <w:vAlign w:val="bottom"/>
          </w:tcPr>
          <w:p>
            <w:pPr>
              <w:ind w:left="60"/>
              <w:spacing w:after="0"/>
              <w:rPr>
                <w:sz w:val="20"/>
                <w:szCs w:val="20"/>
                <w:color w:val="auto"/>
              </w:rPr>
            </w:pPr>
            <w:r>
              <w:rPr>
                <w:rFonts w:ascii="Arial" w:cs="Arial" w:eastAsia="Arial" w:hAnsi="Arial"/>
                <w:sz w:val="20"/>
                <w:szCs w:val="20"/>
                <w:color w:val="auto"/>
              </w:rPr>
              <w:t>Maryrose T. Sylvester</w:t>
            </w:r>
          </w:p>
        </w:tc>
        <w:tc>
          <w:tcPr>
            <w:tcW w:w="2700" w:type="dxa"/>
            <w:vAlign w:val="bottom"/>
          </w:tcPr>
          <w:p>
            <w:pPr>
              <w:jc w:val="right"/>
              <w:ind w:right="146"/>
              <w:spacing w:after="0"/>
              <w:rPr>
                <w:sz w:val="20"/>
                <w:szCs w:val="20"/>
                <w:color w:val="auto"/>
              </w:rPr>
            </w:pPr>
            <w:r>
              <w:rPr>
                <w:rFonts w:ascii="Arial" w:cs="Arial" w:eastAsia="Arial" w:hAnsi="Arial"/>
                <w:sz w:val="20"/>
                <w:szCs w:val="20"/>
                <w:color w:val="auto"/>
              </w:rPr>
              <w:t>122,500</w:t>
            </w:r>
          </w:p>
        </w:tc>
        <w:tc>
          <w:tcPr>
            <w:tcW w:w="1160" w:type="dxa"/>
            <w:vAlign w:val="bottom"/>
          </w:tcPr>
          <w:p>
            <w:pPr>
              <w:jc w:val="right"/>
              <w:ind w:right="149"/>
              <w:spacing w:after="0"/>
              <w:rPr>
                <w:sz w:val="20"/>
                <w:szCs w:val="20"/>
                <w:color w:val="auto"/>
              </w:rPr>
            </w:pPr>
            <w:r>
              <w:rPr>
                <w:rFonts w:ascii="Arial" w:cs="Arial" w:eastAsia="Arial" w:hAnsi="Arial"/>
                <w:sz w:val="20"/>
                <w:szCs w:val="20"/>
                <w:color w:val="auto"/>
              </w:rPr>
              <w:t>248,268</w:t>
            </w:r>
          </w:p>
        </w:tc>
        <w:tc>
          <w:tcPr>
            <w:tcW w:w="980" w:type="dxa"/>
            <w:vAlign w:val="bottom"/>
          </w:tcPr>
          <w:p>
            <w:pPr>
              <w:jc w:val="right"/>
              <w:spacing w:after="0"/>
              <w:rPr>
                <w:sz w:val="20"/>
                <w:szCs w:val="20"/>
                <w:color w:val="auto"/>
              </w:rPr>
            </w:pPr>
            <w:r>
              <w:rPr>
                <w:rFonts w:ascii="Arial" w:cs="Arial" w:eastAsia="Arial" w:hAnsi="Arial"/>
                <w:sz w:val="20"/>
                <w:szCs w:val="20"/>
                <w:color w:val="auto"/>
              </w:rPr>
              <w:t>370,768</w:t>
            </w:r>
          </w:p>
        </w:tc>
      </w:tr>
      <w:tr>
        <w:trPr>
          <w:trHeight w:val="32"/>
        </w:trPr>
        <w:tc>
          <w:tcPr>
            <w:tcW w:w="3620" w:type="dxa"/>
            <w:vAlign w:val="bottom"/>
            <w:tcBorders>
              <w:bottom w:val="single" w:sz="8" w:color="0C3D25"/>
            </w:tcBorders>
          </w:tcPr>
          <w:p>
            <w:pPr>
              <w:spacing w:after="0"/>
              <w:rPr>
                <w:sz w:val="2"/>
                <w:szCs w:val="2"/>
                <w:color w:val="auto"/>
              </w:rPr>
            </w:pPr>
          </w:p>
        </w:tc>
        <w:tc>
          <w:tcPr>
            <w:tcW w:w="2700" w:type="dxa"/>
            <w:vAlign w:val="bottom"/>
            <w:tcBorders>
              <w:bottom w:val="single" w:sz="8" w:color="0C3D25"/>
            </w:tcBorders>
          </w:tcPr>
          <w:p>
            <w:pPr>
              <w:spacing w:after="0"/>
              <w:rPr>
                <w:sz w:val="2"/>
                <w:szCs w:val="2"/>
                <w:color w:val="auto"/>
              </w:rPr>
            </w:pPr>
          </w:p>
        </w:tc>
        <w:tc>
          <w:tcPr>
            <w:tcW w:w="1160" w:type="dxa"/>
            <w:vAlign w:val="bottom"/>
            <w:tcBorders>
              <w:bottom w:val="single" w:sz="8" w:color="0C3D25"/>
            </w:tcBorders>
          </w:tcPr>
          <w:p>
            <w:pPr>
              <w:spacing w:after="0"/>
              <w:rPr>
                <w:sz w:val="2"/>
                <w:szCs w:val="2"/>
                <w:color w:val="auto"/>
              </w:rPr>
            </w:pPr>
          </w:p>
        </w:tc>
        <w:tc>
          <w:tcPr>
            <w:tcW w:w="98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jc w:val="both"/>
        <w:ind w:left="1200" w:hanging="404"/>
        <w:spacing w:after="0" w:line="249"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awards granted in 2025,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24" w:lineRule="exact"/>
        <w:rPr>
          <w:rFonts w:ascii="Arial" w:cs="Arial" w:eastAsia="Arial" w:hAnsi="Arial"/>
          <w:sz w:val="20"/>
          <w:szCs w:val="20"/>
          <w:color w:val="auto"/>
        </w:rPr>
      </w:pPr>
    </w:p>
    <w:p>
      <w:pPr>
        <w:jc w:val="both"/>
        <w:ind w:left="1200"/>
        <w:spacing w:after="0" w:line="249" w:lineRule="auto"/>
        <w:rPr>
          <w:rFonts w:ascii="Arial" w:cs="Arial" w:eastAsia="Arial" w:hAnsi="Arial"/>
          <w:sz w:val="20"/>
          <w:szCs w:val="20"/>
          <w:color w:val="auto"/>
        </w:rPr>
      </w:pPr>
      <w:r>
        <w:rPr>
          <w:rFonts w:ascii="Arial" w:cs="Arial" w:eastAsia="Arial" w:hAnsi="Arial"/>
          <w:sz w:val="20"/>
          <w:szCs w:val="20"/>
          <w:color w:val="auto"/>
        </w:rPr>
        <w:t>As described under “Equity Compensation” above, stock awards were granted to non-employee directors in 2025 as compensation for the time period from January 15, 2025 to May 15, 2026, in order to transition to a new timetable under which equity awards will be made in a single annual grant, rather than in semi-annual installments, going forward. As a result, the amounts in the column reflect equity compensation for a 16-month service period.</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1" w:name="page22"/>
    <w:bookmarkEnd w:id="21"/>
    <w:p>
      <w:pPr>
        <w:spacing w:after="0"/>
        <w:rPr>
          <w:sz w:val="20"/>
          <w:szCs w:val="20"/>
          <w:color w:val="auto"/>
        </w:rPr>
      </w:pPr>
      <w:r>
        <w:rPr>
          <w:rFonts w:ascii="Arial" w:cs="Arial" w:eastAsia="Arial" w:hAnsi="Arial"/>
          <w:sz w:val="40"/>
          <w:szCs w:val="40"/>
          <w:color w:val="0C3D25"/>
        </w:rPr>
        <w:t>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C3D25"/>
        </w:rPr>
        <w:t>(Item 1 on the Proxy Card — Director Nominees)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first item on the proxy card is the election of nine directors to serve until the 2027 Annual Meeting of Stockholders and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C3D25"/>
        </w:rPr>
        <w:t>BOARD COMPOSITION, SKILLS AND EXPERTISE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700"/>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jc w:val="center"/>
              <w:ind w:right="834"/>
              <w:spacing w:after="0"/>
              <w:rPr>
                <w:sz w:val="20"/>
                <w:szCs w:val="20"/>
                <w:color w:val="auto"/>
              </w:rPr>
            </w:pPr>
            <w:r>
              <w:rPr>
                <w:rFonts w:ascii="Arial" w:cs="Arial" w:eastAsia="Arial" w:hAnsi="Arial"/>
                <w:sz w:val="16"/>
                <w:szCs w:val="16"/>
                <w:b w:val="1"/>
                <w:bCs w:val="1"/>
                <w:color w:val="0C3D25"/>
                <w:w w:val="88"/>
              </w:rPr>
              <w:t>BOARD DIVERSITY</w:t>
            </w:r>
          </w:p>
        </w:tc>
        <w:tc>
          <w:tcPr>
            <w:tcW w:w="860" w:type="dxa"/>
            <w:vAlign w:val="bottom"/>
            <w:shd w:val="clear" w:color="auto" w:fill="EDEDED"/>
          </w:tcPr>
          <w:p>
            <w:pPr>
              <w:spacing w:after="0"/>
              <w:rPr>
                <w:sz w:val="24"/>
                <w:szCs w:val="24"/>
                <w:color w:val="auto"/>
              </w:rPr>
            </w:pPr>
          </w:p>
        </w:tc>
        <w:tc>
          <w:tcPr>
            <w:tcW w:w="2080" w:type="dxa"/>
            <w:vAlign w:val="bottom"/>
            <w:gridSpan w:val="2"/>
            <w:shd w:val="clear" w:color="auto" w:fill="EDEDED"/>
          </w:tcPr>
          <w:p>
            <w:pPr>
              <w:jc w:val="right"/>
              <w:ind w:right="808"/>
              <w:spacing w:after="0"/>
              <w:rPr>
                <w:sz w:val="20"/>
                <w:szCs w:val="20"/>
                <w:color w:val="auto"/>
              </w:rPr>
            </w:pPr>
            <w:r>
              <w:rPr>
                <w:rFonts w:ascii="Arial" w:cs="Arial" w:eastAsia="Arial" w:hAnsi="Arial"/>
                <w:sz w:val="16"/>
                <w:szCs w:val="16"/>
                <w:b w:val="1"/>
                <w:bCs w:val="1"/>
                <w:color w:val="0C3D25"/>
                <w:w w:val="91"/>
              </w:rPr>
              <w:t>INDEPENDENCE</w:t>
            </w: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C3D25"/>
              </w:rPr>
              <w:t>TENURE</w:t>
            </w:r>
          </w:p>
        </w:tc>
        <w:tc>
          <w:tcPr>
            <w:tcW w:w="0" w:type="dxa"/>
            <w:vAlign w:val="bottom"/>
          </w:tcPr>
          <w:p>
            <w:pPr>
              <w:spacing w:after="0"/>
              <w:rPr>
                <w:sz w:val="1"/>
                <w:szCs w:val="1"/>
                <w:color w:val="auto"/>
              </w:rPr>
            </w:pPr>
          </w:p>
        </w:tc>
      </w:tr>
      <w:tr>
        <w:trPr>
          <w:trHeight w:val="80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2940" w:type="dxa"/>
            <w:vAlign w:val="bottom"/>
            <w:gridSpan w:val="3"/>
            <w:vMerge w:val="restart"/>
            <w:shd w:val="clear" w:color="auto" w:fill="EDEDED"/>
          </w:tcPr>
          <w:p>
            <w:pPr>
              <w:jc w:val="right"/>
              <w:ind w:right="468"/>
              <w:spacing w:after="0"/>
              <w:rPr>
                <w:sz w:val="20"/>
                <w:szCs w:val="20"/>
                <w:color w:val="auto"/>
              </w:rPr>
            </w:pPr>
            <w:r>
              <w:rPr>
                <w:rFonts w:ascii="Arial" w:cs="Arial" w:eastAsia="Arial" w:hAnsi="Arial"/>
                <w:sz w:val="18"/>
                <w:szCs w:val="18"/>
                <w:b w:val="1"/>
                <w:bCs w:val="1"/>
                <w:color w:val="FFFFFF"/>
              </w:rPr>
              <w:t>1</w:t>
            </w: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002"/>
              <w:spacing w:after="0"/>
              <w:rPr>
                <w:sz w:val="20"/>
                <w:szCs w:val="20"/>
                <w:color w:val="auto"/>
              </w:rPr>
            </w:pPr>
            <w:r>
              <w:rPr>
                <w:rFonts w:ascii="Arial" w:cs="Arial" w:eastAsia="Arial" w:hAnsi="Arial"/>
                <w:sz w:val="18"/>
                <w:szCs w:val="18"/>
                <w:b w:val="1"/>
                <w:bCs w:val="1"/>
                <w:color w:val="FFFFFF"/>
              </w:rPr>
              <w:t>4</w:t>
            </w:r>
          </w:p>
        </w:tc>
        <w:tc>
          <w:tcPr>
            <w:tcW w:w="0" w:type="dxa"/>
            <w:vAlign w:val="bottom"/>
          </w:tcPr>
          <w:p>
            <w:pPr>
              <w:spacing w:after="0"/>
              <w:rPr>
                <w:sz w:val="1"/>
                <w:szCs w:val="1"/>
                <w:color w:val="auto"/>
              </w:rPr>
            </w:pPr>
          </w:p>
        </w:tc>
      </w:tr>
      <w:tr>
        <w:trPr>
          <w:trHeight w:val="81"/>
        </w:trPr>
        <w:tc>
          <w:tcPr>
            <w:tcW w:w="1060" w:type="dxa"/>
            <w:vAlign w:val="bottom"/>
            <w:vMerge w:val="restart"/>
            <w:shd w:val="clear" w:color="auto" w:fill="EDEDED"/>
          </w:tcPr>
          <w:p>
            <w:pPr>
              <w:jc w:val="right"/>
              <w:spacing w:after="0" w:line="167" w:lineRule="exact"/>
              <w:rPr>
                <w:sz w:val="20"/>
                <w:szCs w:val="20"/>
                <w:color w:val="auto"/>
              </w:rPr>
            </w:pPr>
            <w:r>
              <w:rPr>
                <w:rFonts w:ascii="Arial" w:cs="Arial" w:eastAsia="Arial" w:hAnsi="Arial"/>
                <w:sz w:val="18"/>
                <w:szCs w:val="18"/>
                <w:b w:val="1"/>
                <w:bCs w:val="1"/>
                <w:color w:val="FFFFFF"/>
              </w:rPr>
              <w:t>3</w:t>
            </w:r>
          </w:p>
        </w:tc>
        <w:tc>
          <w:tcPr>
            <w:tcW w:w="2500" w:type="dxa"/>
            <w:vAlign w:val="bottom"/>
            <w:gridSpan w:val="2"/>
            <w:vMerge w:val="restart"/>
            <w:shd w:val="clear" w:color="auto" w:fill="EDEDED"/>
          </w:tcPr>
          <w:p>
            <w:pPr>
              <w:jc w:val="right"/>
              <w:ind w:right="574"/>
              <w:spacing w:after="0" w:line="167" w:lineRule="exact"/>
              <w:rPr>
                <w:sz w:val="20"/>
                <w:szCs w:val="20"/>
                <w:color w:val="auto"/>
              </w:rPr>
            </w:pPr>
            <w:r>
              <w:rPr>
                <w:rFonts w:ascii="Arial" w:cs="Arial" w:eastAsia="Arial" w:hAnsi="Arial"/>
                <w:sz w:val="18"/>
                <w:szCs w:val="18"/>
                <w:b w:val="1"/>
                <w:bCs w:val="1"/>
                <w:color w:val="FFFFFF"/>
              </w:rPr>
              <w:t>3</w:t>
            </w:r>
          </w:p>
        </w:tc>
        <w:tc>
          <w:tcPr>
            <w:tcW w:w="2940" w:type="dxa"/>
            <w:vAlign w:val="bottom"/>
            <w:gridSpan w:val="3"/>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shd w:val="clear" w:color="auto" w:fill="EDEDED"/>
          </w:tcPr>
          <w:p>
            <w:pPr>
              <w:spacing w:after="0"/>
              <w:rPr>
                <w:sz w:val="7"/>
                <w:szCs w:val="7"/>
                <w:color w:val="auto"/>
              </w:rPr>
            </w:pPr>
          </w:p>
        </w:tc>
        <w:tc>
          <w:tcPr>
            <w:tcW w:w="2500" w:type="dxa"/>
            <w:vAlign w:val="bottom"/>
            <w:gridSpan w:val="2"/>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1960" w:type="dxa"/>
            <w:vAlign w:val="bottom"/>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ind w:left="400"/>
              <w:spacing w:after="0" w:line="327" w:lineRule="exact"/>
              <w:rPr>
                <w:sz w:val="20"/>
                <w:szCs w:val="20"/>
                <w:color w:val="auto"/>
              </w:rPr>
            </w:pPr>
            <w:r>
              <w:rPr>
                <w:rFonts w:ascii="Arial" w:cs="Arial" w:eastAsia="Arial" w:hAnsi="Arial"/>
                <w:sz w:val="29"/>
                <w:szCs w:val="29"/>
                <w:b w:val="1"/>
                <w:bCs w:val="1"/>
                <w:color w:val="0C3D25"/>
              </w:rPr>
              <w:t>6 of 9</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160"/>
              <w:spacing w:after="0"/>
              <w:rPr>
                <w:sz w:val="20"/>
                <w:szCs w:val="20"/>
                <w:color w:val="auto"/>
              </w:rPr>
            </w:pPr>
            <w:r>
              <w:rPr>
                <w:rFonts w:ascii="Arial" w:cs="Arial" w:eastAsia="Arial" w:hAnsi="Arial"/>
                <w:sz w:val="29"/>
                <w:szCs w:val="29"/>
                <w:b w:val="1"/>
                <w:bCs w:val="1"/>
                <w:color w:val="0C3D25"/>
              </w:rPr>
              <w:t>8 of 9</w:t>
            </w:r>
          </w:p>
        </w:tc>
        <w:tc>
          <w:tcPr>
            <w:tcW w:w="860" w:type="dxa"/>
            <w:vAlign w:val="bottom"/>
            <w:shd w:val="clear" w:color="auto" w:fill="EDEDED"/>
          </w:tcPr>
          <w:p>
            <w:pPr>
              <w:spacing w:after="0"/>
              <w:rPr>
                <w:sz w:val="24"/>
                <w:szCs w:val="24"/>
                <w:color w:val="auto"/>
              </w:rPr>
            </w:pPr>
          </w:p>
        </w:tc>
        <w:tc>
          <w:tcPr>
            <w:tcW w:w="2680" w:type="dxa"/>
            <w:vAlign w:val="bottom"/>
            <w:gridSpan w:val="3"/>
            <w:vMerge w:val="restart"/>
            <w:shd w:val="clear" w:color="auto" w:fill="EDEDED"/>
          </w:tcPr>
          <w:p>
            <w:pPr>
              <w:jc w:val="center"/>
              <w:ind w:right="962"/>
              <w:spacing w:after="0"/>
              <w:rPr>
                <w:sz w:val="20"/>
                <w:szCs w:val="20"/>
                <w:color w:val="auto"/>
              </w:rPr>
            </w:pPr>
            <w:r>
              <w:rPr>
                <w:rFonts w:ascii="Arial" w:cs="Arial" w:eastAsia="Arial" w:hAnsi="Arial"/>
                <w:sz w:val="29"/>
                <w:szCs w:val="29"/>
                <w:b w:val="1"/>
                <w:bCs w:val="1"/>
                <w:color w:val="0C3D25"/>
                <w:w w:val="94"/>
              </w:rPr>
              <w:t>7.4 Years</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34"/>
              <w:spacing w:after="0" w:line="174" w:lineRule="exact"/>
              <w:rPr>
                <w:sz w:val="20"/>
                <w:szCs w:val="20"/>
                <w:color w:val="auto"/>
              </w:rPr>
            </w:pPr>
            <w:r>
              <w:rPr>
                <w:rFonts w:ascii="Arial" w:cs="Arial" w:eastAsia="Arial" w:hAnsi="Arial"/>
                <w:sz w:val="16"/>
                <w:szCs w:val="16"/>
                <w:color w:val="auto"/>
                <w:w w:val="93"/>
              </w:rPr>
              <w:t>Directors are</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vMerge w:val="continue"/>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2680" w:type="dxa"/>
            <w:vAlign w:val="bottom"/>
            <w:gridSpan w:val="3"/>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1"/>
              </w:rPr>
              <w:t>diverse based on</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80"/>
              <w:spacing w:after="0" w:line="175" w:lineRule="exact"/>
              <w:rPr>
                <w:sz w:val="20"/>
                <w:szCs w:val="20"/>
                <w:color w:val="auto"/>
              </w:rPr>
            </w:pPr>
            <w:r>
              <w:rPr>
                <w:rFonts w:ascii="Arial" w:cs="Arial" w:eastAsia="Arial" w:hAnsi="Arial"/>
                <w:sz w:val="16"/>
                <w:szCs w:val="16"/>
                <w:color w:val="auto"/>
              </w:rPr>
              <w:t>Directors are</w:t>
            </w:r>
          </w:p>
        </w:tc>
        <w:tc>
          <w:tcPr>
            <w:tcW w:w="860" w:type="dxa"/>
            <w:vAlign w:val="bottom"/>
            <w:shd w:val="clear" w:color="auto" w:fill="EDEDED"/>
          </w:tcPr>
          <w:p>
            <w:pPr>
              <w:jc w:val="right"/>
              <w:ind w:right="112"/>
              <w:spacing w:after="0" w:line="176" w:lineRule="exact"/>
              <w:rPr>
                <w:sz w:val="20"/>
                <w:szCs w:val="20"/>
                <w:color w:val="auto"/>
              </w:rPr>
            </w:pPr>
            <w:r>
              <w:rPr>
                <w:rFonts w:ascii="Arial" w:cs="Arial" w:eastAsia="Arial" w:hAnsi="Arial"/>
                <w:sz w:val="18"/>
                <w:szCs w:val="18"/>
                <w:b w:val="1"/>
                <w:bCs w:val="1"/>
                <w:color w:val="FFFFFF"/>
              </w:rPr>
              <w:t>3</w:t>
            </w:r>
          </w:p>
        </w:tc>
        <w:tc>
          <w:tcPr>
            <w:tcW w:w="2680" w:type="dxa"/>
            <w:vAlign w:val="bottom"/>
            <w:gridSpan w:val="3"/>
            <w:shd w:val="clear" w:color="auto" w:fill="EDEDED"/>
          </w:tcPr>
          <w:p>
            <w:pPr>
              <w:jc w:val="center"/>
              <w:ind w:right="982"/>
              <w:spacing w:after="0" w:line="175" w:lineRule="exact"/>
              <w:rPr>
                <w:sz w:val="20"/>
                <w:szCs w:val="20"/>
                <w:color w:val="auto"/>
              </w:rPr>
            </w:pPr>
            <w:r>
              <w:rPr>
                <w:rFonts w:ascii="Arial" w:cs="Arial" w:eastAsia="Arial" w:hAnsi="Arial"/>
                <w:sz w:val="16"/>
                <w:szCs w:val="16"/>
                <w:color w:val="auto"/>
                <w:w w:val="93"/>
              </w:rPr>
              <w:t>Average director</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3"/>
              </w:rPr>
              <w:t>gender and</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100"/>
              <w:spacing w:after="0" w:line="175" w:lineRule="exact"/>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jc w:val="center"/>
              <w:ind w:right="1442"/>
              <w:spacing w:after="0" w:line="175" w:lineRule="exact"/>
              <w:rPr>
                <w:sz w:val="20"/>
                <w:szCs w:val="20"/>
                <w:color w:val="auto"/>
              </w:rPr>
            </w:pPr>
            <w:r>
              <w:rPr>
                <w:rFonts w:ascii="Arial" w:cs="Arial" w:eastAsia="Arial" w:hAnsi="Arial"/>
                <w:sz w:val="16"/>
                <w:szCs w:val="16"/>
                <w:color w:val="auto"/>
                <w:w w:val="96"/>
              </w:rPr>
              <w:t>tenure</w:t>
            </w:r>
          </w:p>
        </w:tc>
        <w:tc>
          <w:tcPr>
            <w:tcW w:w="0" w:type="dxa"/>
            <w:vAlign w:val="bottom"/>
          </w:tcPr>
          <w:p>
            <w:pPr>
              <w:spacing w:after="0"/>
              <w:rPr>
                <w:sz w:val="1"/>
                <w:szCs w:val="1"/>
                <w:color w:val="auto"/>
              </w:rPr>
            </w:pPr>
          </w:p>
        </w:tc>
      </w:tr>
      <w:tr>
        <w:trPr>
          <w:trHeight w:val="174"/>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7"/>
              </w:rPr>
              <w:t>race/ethnicity</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jc w:val="right"/>
              <w:ind w:right="12"/>
              <w:spacing w:after="0"/>
              <w:rPr>
                <w:sz w:val="20"/>
                <w:szCs w:val="20"/>
                <w:color w:val="auto"/>
              </w:rPr>
            </w:pPr>
            <w:r>
              <w:rPr>
                <w:rFonts w:ascii="Arial" w:cs="Arial" w:eastAsia="Arial" w:hAnsi="Arial"/>
                <w:sz w:val="18"/>
                <w:szCs w:val="18"/>
                <w:b w:val="1"/>
                <w:bCs w:val="1"/>
                <w:color w:val="FFFFFF"/>
              </w:rPr>
              <w:t>8</w:t>
            </w: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60" w:type="dxa"/>
            <w:vAlign w:val="bottom"/>
            <w:shd w:val="clear" w:color="auto" w:fill="EDEDED"/>
          </w:tcPr>
          <w:p>
            <w:pPr>
              <w:spacing w:after="0"/>
              <w:rPr>
                <w:sz w:val="24"/>
                <w:szCs w:val="24"/>
                <w:color w:val="auto"/>
              </w:rPr>
            </w:pPr>
          </w:p>
        </w:tc>
        <w:tc>
          <w:tcPr>
            <w:tcW w:w="2500" w:type="dxa"/>
            <w:vAlign w:val="bottom"/>
            <w:gridSpan w:val="2"/>
            <w:shd w:val="clear" w:color="auto" w:fill="EDEDED"/>
          </w:tcPr>
          <w:p>
            <w:pPr>
              <w:jc w:val="center"/>
              <w:ind w:right="674"/>
              <w:spacing w:after="0"/>
              <w:rPr>
                <w:sz w:val="20"/>
                <w:szCs w:val="20"/>
                <w:color w:val="auto"/>
              </w:rPr>
            </w:pPr>
            <w:r>
              <w:rPr>
                <w:rFonts w:ascii="Arial" w:cs="Arial" w:eastAsia="Arial" w:hAnsi="Arial"/>
                <w:sz w:val="18"/>
                <w:szCs w:val="18"/>
                <w:b w:val="1"/>
                <w:bCs w:val="1"/>
                <w:color w:val="FFFFFF"/>
                <w:w w:val="99"/>
              </w:rPr>
              <w:t>3</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502"/>
              <w:spacing w:after="0"/>
              <w:rPr>
                <w:sz w:val="20"/>
                <w:szCs w:val="20"/>
                <w:color w:val="auto"/>
              </w:rPr>
            </w:pPr>
            <w:r>
              <w:rPr>
                <w:rFonts w:ascii="Arial" w:cs="Arial" w:eastAsia="Arial" w:hAnsi="Arial"/>
                <w:sz w:val="18"/>
                <w:szCs w:val="18"/>
                <w:b w:val="1"/>
                <w:bCs w:val="1"/>
                <w:color w:val="FFFFFF"/>
              </w:rPr>
              <w:t>2</w:t>
            </w:r>
          </w:p>
        </w:tc>
        <w:tc>
          <w:tcPr>
            <w:tcW w:w="0" w:type="dxa"/>
            <w:vAlign w:val="bottom"/>
          </w:tcPr>
          <w:p>
            <w:pPr>
              <w:spacing w:after="0"/>
              <w:rPr>
                <w:sz w:val="1"/>
                <w:szCs w:val="1"/>
                <w:color w:val="auto"/>
              </w:rPr>
            </w:pPr>
          </w:p>
        </w:tc>
      </w:tr>
      <w:tr>
        <w:trPr>
          <w:trHeight w:val="353"/>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Racial/ethnically diverse</w:t>
            </w:r>
          </w:p>
        </w:tc>
        <w:tc>
          <w:tcPr>
            <w:tcW w:w="860" w:type="dxa"/>
            <w:vAlign w:val="bottom"/>
            <w:vMerge w:val="restart"/>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24"/>
                <w:szCs w:val="24"/>
                <w:color w:val="auto"/>
              </w:rPr>
            </w:pPr>
          </w:p>
        </w:tc>
        <w:tc>
          <w:tcPr>
            <w:tcW w:w="340" w:type="dxa"/>
            <w:vAlign w:val="bottom"/>
            <w:vMerge w:val="restart"/>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1-5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0C3D25"/>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0C3D25"/>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0C3D25"/>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Women</w:t>
            </w:r>
          </w:p>
        </w:tc>
        <w:tc>
          <w:tcPr>
            <w:tcW w:w="860" w:type="dxa"/>
            <w:vAlign w:val="bottom"/>
            <w:vMerge w:val="restart"/>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President and CEO</w:t>
            </w:r>
          </w:p>
        </w:tc>
        <w:tc>
          <w:tcPr>
            <w:tcW w:w="860" w:type="dxa"/>
            <w:vAlign w:val="bottom"/>
            <w:shd w:val="clear" w:color="auto" w:fill="EDEDED"/>
          </w:tcPr>
          <w:p>
            <w:pPr>
              <w:spacing w:after="0"/>
              <w:rPr>
                <w:sz w:val="9"/>
                <w:szCs w:val="9"/>
                <w:color w:val="auto"/>
              </w:rPr>
            </w:pPr>
          </w:p>
        </w:tc>
        <w:tc>
          <w:tcPr>
            <w:tcW w:w="340" w:type="dxa"/>
            <w:vAlign w:val="bottom"/>
            <w:vMerge w:val="restart"/>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6-9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9BA68E"/>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9BA68E"/>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340" w:type="dxa"/>
            <w:vAlign w:val="bottom"/>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10-13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238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96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140" w:type="dxa"/>
            <w:vAlign w:val="bottom"/>
            <w:shd w:val="clear" w:color="auto" w:fill="666666"/>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32"/>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-2638425</wp:posOffset>
            </wp:positionV>
            <wp:extent cx="5819140" cy="1898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a:extLst>
                        <a:ext uri="{28A0092B-C50C-407E-A947-70E740481C1C}"/>
                      </a:extLst>
                    </a:blip>
                    <a:srcRect/>
                    <a:stretch>
                      <a:fillRect/>
                    </a:stretch>
                  </pic:blipFill>
                  <pic:spPr bwMode="auto">
                    <a:xfrm>
                      <a:off x="0" y="0"/>
                      <a:ext cx="5819140" cy="189865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48"/>
        </w:trPr>
        <w:tc>
          <w:tcPr>
            <w:tcW w:w="1900" w:type="dxa"/>
            <w:vAlign w:val="bottom"/>
            <w:tcBorders>
              <w:top w:val="single" w:sz="8" w:color="0C3D25"/>
            </w:tcBorders>
          </w:tcPr>
          <w:p>
            <w:pPr>
              <w:spacing w:after="0"/>
              <w:rPr>
                <w:sz w:val="24"/>
                <w:szCs w:val="24"/>
                <w:color w:val="auto"/>
              </w:rPr>
            </w:pPr>
          </w:p>
        </w:tc>
        <w:tc>
          <w:tcPr>
            <w:tcW w:w="900" w:type="dxa"/>
            <w:vAlign w:val="bottom"/>
            <w:tcBorders>
              <w:top w:val="single" w:sz="8" w:color="0C3D25"/>
            </w:tcBorders>
            <w:textDirection w:val="btLr"/>
            <w:shd w:val="clear" w:color="auto" w:fill="F2F2F2"/>
          </w:tcPr>
          <w:p>
            <w:pPr>
              <w:ind w:left="331"/>
              <w:spacing w:after="0"/>
              <w:rPr>
                <w:sz w:val="20"/>
                <w:szCs w:val="20"/>
                <w:color w:val="auto"/>
              </w:rPr>
            </w:pPr>
            <w:r>
              <w:rPr>
                <w:rFonts w:ascii="Arial" w:cs="Arial" w:eastAsia="Arial" w:hAnsi="Arial"/>
                <w:sz w:val="22"/>
                <w:szCs w:val="22"/>
                <w:b w:val="1"/>
                <w:bCs w:val="1"/>
                <w:color w:val="0C3D25"/>
                <w:w w:val="89"/>
              </w:rPr>
              <w:t>Bené</w:t>
            </w:r>
          </w:p>
        </w:tc>
        <w:tc>
          <w:tcPr>
            <w:tcW w:w="900" w:type="dxa"/>
            <w:vAlign w:val="bottom"/>
            <w:tcBorders>
              <w:top w:val="single" w:sz="8" w:color="0C3D25"/>
            </w:tcBorders>
            <w:textDirection w:val="btLr"/>
          </w:tcPr>
          <w:p>
            <w:pPr>
              <w:ind w:left="329"/>
              <w:spacing w:after="0"/>
              <w:rPr>
                <w:sz w:val="20"/>
                <w:szCs w:val="20"/>
                <w:color w:val="auto"/>
              </w:rPr>
            </w:pPr>
            <w:r>
              <w:rPr>
                <w:rFonts w:ascii="Arial" w:cs="Arial" w:eastAsia="Arial" w:hAnsi="Arial"/>
                <w:sz w:val="22"/>
                <w:szCs w:val="22"/>
                <w:b w:val="1"/>
                <w:bCs w:val="1"/>
                <w:color w:val="0C3D25"/>
                <w:w w:val="86"/>
              </w:rPr>
              <w:t>Chinn</w:t>
            </w:r>
          </w:p>
        </w:tc>
        <w:tc>
          <w:tcPr>
            <w:tcW w:w="900" w:type="dxa"/>
            <w:vAlign w:val="bottom"/>
            <w:tcBorders>
              <w:top w:val="single" w:sz="8" w:color="0C3D25"/>
            </w:tcBorders>
            <w:textDirection w:val="btLr"/>
            <w:shd w:val="clear" w:color="auto" w:fill="F2F2F2"/>
          </w:tcPr>
          <w:p>
            <w:pPr>
              <w:ind w:left="327"/>
              <w:spacing w:after="0"/>
              <w:rPr>
                <w:sz w:val="20"/>
                <w:szCs w:val="20"/>
                <w:color w:val="auto"/>
              </w:rPr>
            </w:pPr>
            <w:r>
              <w:rPr>
                <w:rFonts w:ascii="Arial" w:cs="Arial" w:eastAsia="Arial" w:hAnsi="Arial"/>
                <w:sz w:val="22"/>
                <w:szCs w:val="22"/>
                <w:b w:val="1"/>
                <w:bCs w:val="1"/>
                <w:color w:val="0C3D25"/>
                <w:w w:val="88"/>
              </w:rPr>
              <w:t>Fish</w:t>
            </w:r>
          </w:p>
        </w:tc>
        <w:tc>
          <w:tcPr>
            <w:tcW w:w="900" w:type="dxa"/>
            <w:vAlign w:val="bottom"/>
            <w:tcBorders>
              <w:top w:val="single" w:sz="8" w:color="0C3D25"/>
            </w:tcBorders>
            <w:textDirection w:val="btLr"/>
          </w:tcPr>
          <w:p>
            <w:pPr>
              <w:ind w:left="325"/>
              <w:spacing w:after="0"/>
              <w:rPr>
                <w:sz w:val="20"/>
                <w:szCs w:val="20"/>
                <w:color w:val="auto"/>
              </w:rPr>
            </w:pPr>
            <w:r>
              <w:rPr>
                <w:rFonts w:ascii="Arial" w:cs="Arial" w:eastAsia="Arial" w:hAnsi="Arial"/>
                <w:sz w:val="22"/>
                <w:szCs w:val="22"/>
                <w:b w:val="1"/>
                <w:bCs w:val="1"/>
                <w:color w:val="0C3D25"/>
                <w:w w:val="89"/>
              </w:rPr>
              <w:t>Gluski</w:t>
            </w:r>
          </w:p>
        </w:tc>
        <w:tc>
          <w:tcPr>
            <w:tcW w:w="900" w:type="dxa"/>
            <w:vAlign w:val="bottom"/>
            <w:tcBorders>
              <w:top w:val="single" w:sz="8" w:color="0C3D25"/>
            </w:tcBorders>
            <w:textDirection w:val="btLr"/>
            <w:shd w:val="clear" w:color="auto" w:fill="F2F2F2"/>
          </w:tcPr>
          <w:p>
            <w:pPr>
              <w:ind w:left="323"/>
              <w:spacing w:after="0"/>
              <w:rPr>
                <w:sz w:val="20"/>
                <w:szCs w:val="20"/>
                <w:color w:val="auto"/>
              </w:rPr>
            </w:pPr>
            <w:r>
              <w:rPr>
                <w:rFonts w:ascii="Arial" w:cs="Arial" w:eastAsia="Arial" w:hAnsi="Arial"/>
                <w:sz w:val="22"/>
                <w:szCs w:val="22"/>
                <w:b w:val="1"/>
                <w:bCs w:val="1"/>
                <w:color w:val="0C3D25"/>
                <w:w w:val="93"/>
              </w:rPr>
              <w:t>Holt</w:t>
            </w:r>
          </w:p>
        </w:tc>
        <w:tc>
          <w:tcPr>
            <w:tcW w:w="900" w:type="dxa"/>
            <w:vAlign w:val="bottom"/>
            <w:tcBorders>
              <w:top w:val="single" w:sz="8" w:color="0C3D25"/>
            </w:tcBorders>
            <w:textDirection w:val="btLr"/>
          </w:tcPr>
          <w:p>
            <w:pPr>
              <w:ind w:left="321"/>
              <w:spacing w:after="0"/>
              <w:rPr>
                <w:sz w:val="20"/>
                <w:szCs w:val="20"/>
                <w:color w:val="auto"/>
              </w:rPr>
            </w:pPr>
            <w:r>
              <w:rPr>
                <w:rFonts w:ascii="Arial" w:cs="Arial" w:eastAsia="Arial" w:hAnsi="Arial"/>
                <w:sz w:val="22"/>
                <w:szCs w:val="22"/>
                <w:b w:val="1"/>
                <w:bCs w:val="1"/>
                <w:color w:val="0C3D25"/>
                <w:w w:val="96"/>
              </w:rPr>
              <w:t>Mazzarella</w:t>
            </w:r>
          </w:p>
        </w:tc>
        <w:tc>
          <w:tcPr>
            <w:tcW w:w="880" w:type="dxa"/>
            <w:vAlign w:val="bottom"/>
            <w:tcBorders>
              <w:top w:val="single" w:sz="8" w:color="0C3D25"/>
            </w:tcBorders>
            <w:textDirection w:val="btLr"/>
            <w:shd w:val="clear" w:color="auto" w:fill="F2F2F2"/>
          </w:tcPr>
          <w:p>
            <w:pPr>
              <w:ind w:left="319"/>
              <w:spacing w:after="0"/>
              <w:rPr>
                <w:sz w:val="20"/>
                <w:szCs w:val="20"/>
                <w:color w:val="auto"/>
              </w:rPr>
            </w:pPr>
            <w:r>
              <w:rPr>
                <w:rFonts w:ascii="Arial" w:cs="Arial" w:eastAsia="Arial" w:hAnsi="Arial"/>
                <w:sz w:val="22"/>
                <w:szCs w:val="22"/>
                <w:b w:val="1"/>
                <w:bCs w:val="1"/>
                <w:color w:val="0C3D25"/>
                <w:w w:val="93"/>
              </w:rPr>
              <w:t>Menke</w:t>
            </w:r>
          </w:p>
        </w:tc>
        <w:tc>
          <w:tcPr>
            <w:tcW w:w="900" w:type="dxa"/>
            <w:vAlign w:val="bottom"/>
            <w:tcBorders>
              <w:top w:val="single" w:sz="8" w:color="0C3D25"/>
            </w:tcBorders>
            <w:textDirection w:val="btLr"/>
          </w:tcPr>
          <w:p>
            <w:pPr>
              <w:ind w:left="337"/>
              <w:spacing w:after="0"/>
              <w:rPr>
                <w:sz w:val="20"/>
                <w:szCs w:val="20"/>
                <w:color w:val="auto"/>
              </w:rPr>
            </w:pPr>
            <w:r>
              <w:rPr>
                <w:rFonts w:ascii="Arial" w:cs="Arial" w:eastAsia="Arial" w:hAnsi="Arial"/>
                <w:sz w:val="22"/>
                <w:szCs w:val="22"/>
                <w:b w:val="1"/>
                <w:bCs w:val="1"/>
                <w:color w:val="0C3D25"/>
                <w:w w:val="95"/>
              </w:rPr>
              <w:t>Plummer</w:t>
            </w:r>
          </w:p>
        </w:tc>
        <w:tc>
          <w:tcPr>
            <w:tcW w:w="980" w:type="dxa"/>
            <w:vAlign w:val="bottom"/>
            <w:tcBorders>
              <w:top w:val="single" w:sz="8" w:color="0C3D25"/>
            </w:tcBorders>
            <w:textDirection w:val="btLr"/>
            <w:shd w:val="clear" w:color="auto" w:fill="F2F2F2"/>
          </w:tcPr>
          <w:p>
            <w:pPr>
              <w:ind w:left="335"/>
              <w:spacing w:after="0"/>
              <w:rPr>
                <w:sz w:val="20"/>
                <w:szCs w:val="20"/>
                <w:color w:val="auto"/>
              </w:rPr>
            </w:pPr>
            <w:r>
              <w:rPr>
                <w:rFonts w:ascii="Arial" w:cs="Arial" w:eastAsia="Arial" w:hAnsi="Arial"/>
                <w:sz w:val="22"/>
                <w:szCs w:val="22"/>
                <w:b w:val="1"/>
                <w:bCs w:val="1"/>
                <w:color w:val="0C3D25"/>
                <w:w w:val="93"/>
              </w:rPr>
              <w:t>Sylvester</w:t>
            </w:r>
          </w:p>
        </w:tc>
      </w:tr>
      <w:tr>
        <w:trPr>
          <w:trHeight w:val="168"/>
        </w:trPr>
        <w:tc>
          <w:tcPr>
            <w:tcW w:w="1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shd w:val="clear" w:color="auto" w:fill="F2F2F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386830" cy="384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5">
                      <a:extLst>
                        <a:ext uri="{28A0092B-C50C-407E-A947-70E740481C1C}"/>
                      </a:extLst>
                    </a:blip>
                    <a:srcRect/>
                    <a:stretch>
                      <a:fillRect/>
                    </a:stretch>
                  </pic:blipFill>
                  <pic:spPr bwMode="auto">
                    <a:xfrm>
                      <a:off x="0" y="0"/>
                      <a:ext cx="6386830" cy="3840480"/>
                    </a:xfrm>
                    <a:prstGeom prst="rect">
                      <a:avLst/>
                    </a:prstGeom>
                    <a:noFill/>
                  </pic:spPr>
                </pic:pic>
              </a:graphicData>
            </a:graphic>
          </wp:anchor>
        </w:drawing>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SKILLS AND EXPERIENCE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Leadership</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Company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Planning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Excellence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Expertise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Capital Allocation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Sustainability/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Renewable Energy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Digital / Information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DEMOGRAPHICS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900" w:type="dxa"/>
            <w:vAlign w:val="bottom"/>
            <w:tcBorders>
              <w:top w:val="single" w:sz="8" w:color="0C3D25"/>
            </w:tcBorders>
          </w:tcPr>
          <w:p>
            <w:pPr>
              <w:ind w:left="120"/>
              <w:spacing w:after="0"/>
              <w:rPr>
                <w:sz w:val="20"/>
                <w:szCs w:val="20"/>
                <w:color w:val="auto"/>
              </w:rPr>
            </w:pPr>
            <w:r>
              <w:rPr>
                <w:rFonts w:ascii="Arial" w:cs="Arial" w:eastAsia="Arial" w:hAnsi="Arial"/>
                <w:sz w:val="18"/>
                <w:szCs w:val="18"/>
                <w:b w:val="1"/>
                <w:bCs w:val="1"/>
                <w:color w:val="auto"/>
              </w:rPr>
              <w:t>Gender</w:t>
            </w:r>
          </w:p>
        </w:tc>
        <w:tc>
          <w:tcPr>
            <w:tcW w:w="900" w:type="dxa"/>
            <w:vAlign w:val="bottom"/>
            <w:tcBorders>
              <w:top w:val="single" w:sz="8" w:color="0C3D25"/>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C3D25"/>
            </w:tcBorders>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C3D25"/>
            </w:tcBorders>
            <w:shd w:val="clear" w:color="auto" w:fill="F2F2F2"/>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C3D25"/>
            </w:tcBorders>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C3D25"/>
            </w:tcBorders>
            <w:shd w:val="clear" w:color="auto" w:fill="F2F2F2"/>
          </w:tcPr>
          <w:p>
            <w:pPr>
              <w:jc w:val="center"/>
              <w:spacing w:after="0"/>
              <w:rPr>
                <w:sz w:val="20"/>
                <w:szCs w:val="20"/>
                <w:color w:val="auto"/>
              </w:rPr>
            </w:pPr>
            <w:r>
              <w:rPr>
                <w:rFonts w:ascii="Arial" w:cs="Arial" w:eastAsia="Arial" w:hAnsi="Arial"/>
                <w:sz w:val="18"/>
                <w:szCs w:val="18"/>
                <w:color w:val="auto"/>
                <w:w w:val="96"/>
              </w:rPr>
              <w:t>Female</w:t>
            </w:r>
          </w:p>
        </w:tc>
        <w:tc>
          <w:tcPr>
            <w:tcW w:w="900" w:type="dxa"/>
            <w:vAlign w:val="bottom"/>
            <w:tcBorders>
              <w:top w:val="single" w:sz="8" w:color="0C3D25"/>
            </w:tcBorders>
          </w:tcPr>
          <w:p>
            <w:pPr>
              <w:jc w:val="center"/>
              <w:spacing w:after="0"/>
              <w:rPr>
                <w:sz w:val="20"/>
                <w:szCs w:val="20"/>
                <w:color w:val="auto"/>
              </w:rPr>
            </w:pPr>
            <w:r>
              <w:rPr>
                <w:rFonts w:ascii="Arial" w:cs="Arial" w:eastAsia="Arial" w:hAnsi="Arial"/>
                <w:sz w:val="18"/>
                <w:szCs w:val="18"/>
                <w:color w:val="auto"/>
                <w:w w:val="93"/>
              </w:rPr>
              <w:t>Female</w:t>
            </w:r>
          </w:p>
        </w:tc>
        <w:tc>
          <w:tcPr>
            <w:tcW w:w="880" w:type="dxa"/>
            <w:vAlign w:val="bottom"/>
            <w:tcBorders>
              <w:top w:val="single" w:sz="8" w:color="0C3D25"/>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C3D25"/>
            </w:tcBorders>
          </w:tcPr>
          <w:p>
            <w:pPr>
              <w:jc w:val="center"/>
              <w:spacing w:after="0"/>
              <w:rPr>
                <w:sz w:val="20"/>
                <w:szCs w:val="20"/>
                <w:color w:val="auto"/>
              </w:rPr>
            </w:pPr>
            <w:r>
              <w:rPr>
                <w:rFonts w:ascii="Arial" w:cs="Arial" w:eastAsia="Arial" w:hAnsi="Arial"/>
                <w:sz w:val="18"/>
                <w:szCs w:val="18"/>
                <w:color w:val="auto"/>
                <w:w w:val="92"/>
              </w:rPr>
              <w:t>Male</w:t>
            </w:r>
          </w:p>
        </w:tc>
        <w:tc>
          <w:tcPr>
            <w:tcW w:w="980" w:type="dxa"/>
            <w:vAlign w:val="bottom"/>
            <w:tcBorders>
              <w:top w:val="single" w:sz="8" w:color="0C3D25"/>
            </w:tcBorders>
            <w:shd w:val="clear" w:color="auto" w:fill="F2F2F2"/>
          </w:tcPr>
          <w:p>
            <w:pPr>
              <w:jc w:val="center"/>
              <w:spacing w:after="0"/>
              <w:rPr>
                <w:sz w:val="20"/>
                <w:szCs w:val="20"/>
                <w:color w:val="auto"/>
              </w:rPr>
            </w:pPr>
            <w:r>
              <w:rPr>
                <w:rFonts w:ascii="Arial" w:cs="Arial" w:eastAsia="Arial" w:hAnsi="Arial"/>
                <w:sz w:val="18"/>
                <w:szCs w:val="18"/>
                <w:color w:val="auto"/>
                <w:w w:val="93"/>
              </w:rPr>
              <w:t>Female</w:t>
            </w:r>
          </w:p>
        </w:tc>
      </w:tr>
      <w:tr>
        <w:trPr>
          <w:trHeight w:val="71"/>
        </w:trPr>
        <w:tc>
          <w:tcPr>
            <w:tcW w:w="1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88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80" w:type="dxa"/>
            <w:vAlign w:val="bottom"/>
            <w:tcBorders>
              <w:bottom w:val="single" w:sz="8" w:color="0C3D25"/>
            </w:tcBorders>
            <w:shd w:val="clear" w:color="auto" w:fill="F2F2F2"/>
          </w:tcPr>
          <w:p>
            <w:pPr>
              <w:spacing w:after="0"/>
              <w:rPr>
                <w:sz w:val="6"/>
                <w:szCs w:val="6"/>
                <w:color w:val="auto"/>
              </w:rPr>
            </w:pPr>
          </w:p>
        </w:tc>
      </w:tr>
      <w:tr>
        <w:trPr>
          <w:trHeight w:val="274"/>
        </w:trPr>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Race/Ethnicity</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rPr>
              <w:t>Black/</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Hispanic</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White/</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Black/</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r>
      <w:tr>
        <w:trPr>
          <w:trHeight w:val="215"/>
        </w:trPr>
        <w:tc>
          <w:tcPr>
            <w:tcW w:w="1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African</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Caucasian</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4"/>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African</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r>
      <w:tr>
        <w:trPr>
          <w:trHeight w:val="215"/>
        </w:trPr>
        <w:tc>
          <w:tcPr>
            <w:tcW w:w="1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American</w:t>
            </w: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American</w:t>
            </w:r>
          </w:p>
        </w:tc>
        <w:tc>
          <w:tcPr>
            <w:tcW w:w="980" w:type="dxa"/>
            <w:vAlign w:val="bottom"/>
            <w:shd w:val="clear" w:color="auto" w:fill="F2F2F2"/>
          </w:tcPr>
          <w:p>
            <w:pPr>
              <w:spacing w:after="0"/>
              <w:rPr>
                <w:sz w:val="18"/>
                <w:szCs w:val="18"/>
                <w:color w:val="auto"/>
              </w:rPr>
            </w:pPr>
          </w:p>
        </w:tc>
      </w:tr>
      <w:tr>
        <w:trPr>
          <w:trHeight w:val="76"/>
        </w:trPr>
        <w:tc>
          <w:tcPr>
            <w:tcW w:w="1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0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880" w:type="dxa"/>
            <w:vAlign w:val="bottom"/>
            <w:tcBorders>
              <w:bottom w:val="single" w:sz="8" w:color="0C3D25"/>
            </w:tcBorders>
            <w:shd w:val="clear" w:color="auto" w:fill="F2F2F2"/>
          </w:tcPr>
          <w:p>
            <w:pPr>
              <w:spacing w:after="0"/>
              <w:rPr>
                <w:sz w:val="6"/>
                <w:szCs w:val="6"/>
                <w:color w:val="auto"/>
              </w:rPr>
            </w:pPr>
          </w:p>
        </w:tc>
        <w:tc>
          <w:tcPr>
            <w:tcW w:w="900" w:type="dxa"/>
            <w:vAlign w:val="bottom"/>
            <w:tcBorders>
              <w:bottom w:val="single" w:sz="8" w:color="0C3D25"/>
            </w:tcBorders>
          </w:tcPr>
          <w:p>
            <w:pPr>
              <w:spacing w:after="0"/>
              <w:rPr>
                <w:sz w:val="6"/>
                <w:szCs w:val="6"/>
                <w:color w:val="auto"/>
              </w:rPr>
            </w:pPr>
          </w:p>
        </w:tc>
        <w:tc>
          <w:tcPr>
            <w:tcW w:w="980" w:type="dxa"/>
            <w:vAlign w:val="bottom"/>
            <w:tcBorders>
              <w:bottom w:val="single" w:sz="8" w:color="0C3D25"/>
            </w:tcBorders>
            <w:shd w:val="clear" w:color="auto" w:fill="F2F2F2"/>
          </w:tcPr>
          <w:p>
            <w:pPr>
              <w:spacing w:after="0"/>
              <w:rPr>
                <w:sz w:val="6"/>
                <w:szCs w:val="6"/>
                <w:color w:val="auto"/>
              </w:rPr>
            </w:pPr>
          </w:p>
        </w:tc>
      </w:tr>
    </w:tbl>
    <w:p>
      <w:pPr>
        <w:spacing w:after="0" w:line="197" w:lineRule="exact"/>
        <w:rPr>
          <w:sz w:val="20"/>
          <w:szCs w:val="20"/>
          <w:color w:val="auto"/>
        </w:rPr>
      </w:pPr>
    </w:p>
    <w:p>
      <w:pPr>
        <w:sectPr>
          <w:pgSz w:w="11880" w:h="15480" w:orient="portrait"/>
          <w:cols w:equalWidth="0" w:num="1">
            <w:col w:w="10060"/>
          </w:cols>
          <w:pgMar w:left="900" w:top="513" w:right="920" w:bottom="315" w:gutter="0" w:footer="0" w:header="0"/>
        </w:sectPr>
      </w:pPr>
    </w:p>
    <w:p>
      <w:pPr>
        <w:spacing w:after="0" w:line="20" w:lineRule="exact"/>
        <w:rPr>
          <w:sz w:val="20"/>
          <w:szCs w:val="20"/>
          <w:color w:val="auto"/>
        </w:rPr>
      </w:pPr>
    </w:p>
    <w:p>
      <w:pPr>
        <w:jc w:val="both"/>
        <w:ind w:left="400"/>
        <w:spacing w:after="0" w:line="281"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-1228090</wp:posOffset>
            </wp:positionV>
            <wp:extent cx="130810" cy="125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6">
                      <a:extLst>
                        <a:ext uri="{28A0092B-C50C-407E-A947-70E740481C1C}"/>
                      </a:extLst>
                    </a:blip>
                    <a:srcRect/>
                    <a:stretch>
                      <a:fillRect/>
                    </a:stretch>
                  </pic:blipFill>
                  <pic:spPr bwMode="auto">
                    <a:xfrm>
                      <a:off x="0" y="0"/>
                      <a:ext cx="130810" cy="1257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-1223645</wp:posOffset>
            </wp:positionV>
            <wp:extent cx="108585" cy="108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7">
                      <a:extLst>
                        <a:ext uri="{28A0092B-C50C-407E-A947-70E740481C1C}"/>
                      </a:extLst>
                    </a:blip>
                    <a:srcRect/>
                    <a:stretch>
                      <a:fillRect/>
                    </a:stretch>
                  </pic:blipFill>
                  <pic:spPr bwMode="auto">
                    <a:xfrm>
                      <a:off x="0" y="0"/>
                      <a:ext cx="108585"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20"/>
          <w:szCs w:val="20"/>
          <w:color w:val="auto"/>
        </w:rPr>
        <w:t>Each director nominee’s identification of additional categories of skill and expertise in which they have substantial experience and in-depth knowledge</w:t>
      </w:r>
    </w:p>
    <w:p>
      <w:pPr>
        <w:spacing w:after="0" w:line="1411" w:lineRule="exact"/>
        <w:rPr>
          <w:sz w:val="20"/>
          <w:szCs w:val="20"/>
          <w:color w:val="auto"/>
        </w:rPr>
      </w:pPr>
    </w:p>
    <w:p>
      <w:pPr>
        <w:sectPr>
          <w:pgSz w:w="11880" w:h="15480" w:orient="portrait"/>
          <w:cols w:equalWidth="0" w:num="2">
            <w:col w:w="4920" w:space="620"/>
            <w:col w:w="452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3" w:name="page24"/>
    <w:bookmarkEnd w:id="2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2230755</wp:posOffset>
                </wp:positionV>
                <wp:extent cx="638556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5.65pt" to="502.75pt,175.6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4615180</wp:posOffset>
                </wp:positionV>
                <wp:extent cx="638556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63.4pt" to="502.75pt,363.4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2133600</wp:posOffset>
                </wp:positionH>
                <wp:positionV relativeFrom="paragraph">
                  <wp:posOffset>158750</wp:posOffset>
                </wp:positionV>
                <wp:extent cx="0" cy="764667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4667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pt,12.5pt" to="168pt,614.6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4250055</wp:posOffset>
                </wp:positionH>
                <wp:positionV relativeFrom="paragraph">
                  <wp:posOffset>158750</wp:posOffset>
                </wp:positionV>
                <wp:extent cx="0" cy="764667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4667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65pt,12.5pt" to="334.65pt,614.6pt" o:allowincell="f" strokecolor="#FFFFFF" strokeweight="2.993pt"/>
            </w:pict>
          </mc:Fallback>
        </mc:AlternateConten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800" w:type="dxa"/>
            <w:vAlign w:val="bottom"/>
            <w:shd w:val="clear" w:color="auto" w:fill="0C3D25"/>
          </w:tcPr>
          <w:p>
            <w:pPr>
              <w:spacing w:after="0"/>
              <w:rPr>
                <w:sz w:val="24"/>
                <w:szCs w:val="24"/>
                <w:color w:val="auto"/>
              </w:rPr>
            </w:pPr>
          </w:p>
        </w:tc>
        <w:tc>
          <w:tcPr>
            <w:tcW w:w="256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0C3D25"/>
              </w:rPr>
              <w:t>Executive</w:t>
            </w:r>
          </w:p>
        </w:tc>
        <w:tc>
          <w:tcPr>
            <w:tcW w:w="780" w:type="dxa"/>
            <w:vAlign w:val="bottom"/>
            <w:shd w:val="clear" w:color="auto" w:fill="0C3D25"/>
          </w:tcPr>
          <w:p>
            <w:pPr>
              <w:spacing w:after="0"/>
              <w:rPr>
                <w:sz w:val="24"/>
                <w:szCs w:val="24"/>
                <w:color w:val="auto"/>
              </w:rPr>
            </w:pPr>
          </w:p>
        </w:tc>
        <w:tc>
          <w:tcPr>
            <w:tcW w:w="256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C3D25"/>
              </w:rPr>
              <w:t>Public Company Board</w:t>
            </w:r>
          </w:p>
        </w:tc>
        <w:tc>
          <w:tcPr>
            <w:tcW w:w="780" w:type="dxa"/>
            <w:vAlign w:val="bottom"/>
            <w:shd w:val="clear" w:color="auto" w:fill="0C3D25"/>
          </w:tcPr>
          <w:p>
            <w:pPr>
              <w:spacing w:after="0"/>
              <w:rPr>
                <w:sz w:val="24"/>
                <w:szCs w:val="24"/>
                <w:color w:val="auto"/>
              </w:rPr>
            </w:pPr>
          </w:p>
        </w:tc>
        <w:tc>
          <w:tcPr>
            <w:tcW w:w="138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C3D25"/>
              </w:rPr>
              <w:t>Strategic</w:t>
            </w:r>
          </w:p>
        </w:tc>
        <w:tc>
          <w:tcPr>
            <w:tcW w:w="120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C3D25"/>
          </w:tcPr>
          <w:p>
            <w:pPr>
              <w:spacing w:after="0"/>
              <w:rPr>
                <w:sz w:val="19"/>
                <w:szCs w:val="19"/>
                <w:color w:val="auto"/>
              </w:rPr>
            </w:pPr>
          </w:p>
        </w:tc>
        <w:tc>
          <w:tcPr>
            <w:tcW w:w="256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0C3D25"/>
              </w:rPr>
              <w:t>Leadership</w:t>
            </w:r>
          </w:p>
        </w:tc>
        <w:tc>
          <w:tcPr>
            <w:tcW w:w="780" w:type="dxa"/>
            <w:vAlign w:val="bottom"/>
            <w:shd w:val="clear" w:color="auto" w:fill="0C3D25"/>
          </w:tcPr>
          <w:p>
            <w:pPr>
              <w:spacing w:after="0"/>
              <w:rPr>
                <w:sz w:val="19"/>
                <w:szCs w:val="19"/>
                <w:color w:val="auto"/>
              </w:rPr>
            </w:pPr>
          </w:p>
        </w:tc>
        <w:tc>
          <w:tcPr>
            <w:tcW w:w="256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C3D25"/>
              </w:rPr>
              <w:t>and Governance</w:t>
            </w:r>
          </w:p>
        </w:tc>
        <w:tc>
          <w:tcPr>
            <w:tcW w:w="780" w:type="dxa"/>
            <w:vAlign w:val="bottom"/>
            <w:shd w:val="clear" w:color="auto" w:fill="0C3D25"/>
          </w:tcPr>
          <w:p>
            <w:pPr>
              <w:spacing w:after="0"/>
              <w:rPr>
                <w:sz w:val="19"/>
                <w:szCs w:val="19"/>
                <w:color w:val="auto"/>
              </w:rPr>
            </w:pPr>
          </w:p>
        </w:tc>
        <w:tc>
          <w:tcPr>
            <w:tcW w:w="138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C3D25"/>
              </w:rPr>
              <w:t>Planning</w:t>
            </w:r>
          </w:p>
        </w:tc>
        <w:tc>
          <w:tcPr>
            <w:tcW w:w="1200" w:type="dxa"/>
            <w:vAlign w:val="bottom"/>
            <w:shd w:val="clear" w:color="auto" w:fill="E6E6E6"/>
          </w:tcPr>
          <w:p>
            <w:pPr>
              <w:spacing w:after="0"/>
              <w:rPr>
                <w:sz w:val="19"/>
                <w:szCs w:val="19"/>
                <w:color w:val="auto"/>
              </w:rPr>
            </w:pPr>
          </w:p>
        </w:tc>
      </w:tr>
      <w:tr>
        <w:trPr>
          <w:trHeight w:val="136"/>
        </w:trPr>
        <w:tc>
          <w:tcPr>
            <w:tcW w:w="800" w:type="dxa"/>
            <w:vAlign w:val="bottom"/>
            <w:shd w:val="clear" w:color="auto" w:fill="0C3D25"/>
          </w:tcPr>
          <w:p>
            <w:pPr>
              <w:spacing w:after="0"/>
              <w:rPr>
                <w:sz w:val="11"/>
                <w:szCs w:val="11"/>
                <w:color w:val="auto"/>
              </w:rPr>
            </w:pPr>
          </w:p>
        </w:tc>
        <w:tc>
          <w:tcPr>
            <w:tcW w:w="2560" w:type="dxa"/>
            <w:vAlign w:val="bottom"/>
            <w:shd w:val="clear" w:color="auto" w:fill="E6E6E6"/>
          </w:tcPr>
          <w:p>
            <w:pPr>
              <w:spacing w:after="0"/>
              <w:rPr>
                <w:sz w:val="11"/>
                <w:szCs w:val="11"/>
                <w:color w:val="auto"/>
              </w:rPr>
            </w:pPr>
          </w:p>
        </w:tc>
        <w:tc>
          <w:tcPr>
            <w:tcW w:w="780" w:type="dxa"/>
            <w:vAlign w:val="bottom"/>
            <w:shd w:val="clear" w:color="auto" w:fill="0C3D25"/>
          </w:tcPr>
          <w:p>
            <w:pPr>
              <w:spacing w:after="0"/>
              <w:rPr>
                <w:sz w:val="11"/>
                <w:szCs w:val="11"/>
                <w:color w:val="auto"/>
              </w:rPr>
            </w:pPr>
          </w:p>
        </w:tc>
        <w:tc>
          <w:tcPr>
            <w:tcW w:w="2560" w:type="dxa"/>
            <w:vAlign w:val="bottom"/>
            <w:shd w:val="clear" w:color="auto" w:fill="E6E8DE"/>
          </w:tcPr>
          <w:p>
            <w:pPr>
              <w:spacing w:after="0"/>
              <w:rPr>
                <w:sz w:val="11"/>
                <w:szCs w:val="11"/>
                <w:color w:val="auto"/>
              </w:rPr>
            </w:pPr>
          </w:p>
        </w:tc>
        <w:tc>
          <w:tcPr>
            <w:tcW w:w="780" w:type="dxa"/>
            <w:vAlign w:val="bottom"/>
            <w:shd w:val="clear" w:color="auto" w:fill="0C3D25"/>
          </w:tcPr>
          <w:p>
            <w:pPr>
              <w:spacing w:after="0"/>
              <w:rPr>
                <w:sz w:val="11"/>
                <w:szCs w:val="11"/>
                <w:color w:val="auto"/>
              </w:rPr>
            </w:pPr>
          </w:p>
        </w:tc>
        <w:tc>
          <w:tcPr>
            <w:tcW w:w="2580" w:type="dxa"/>
            <w:vAlign w:val="bottom"/>
            <w:gridSpan w:val="4"/>
            <w:shd w:val="clear" w:color="auto" w:fill="E6E6E6"/>
          </w:tcPr>
          <w:p>
            <w:pPr>
              <w:spacing w:after="0"/>
              <w:rPr>
                <w:sz w:val="11"/>
                <w:szCs w:val="11"/>
                <w:color w:val="auto"/>
              </w:rPr>
            </w:pPr>
          </w:p>
        </w:tc>
      </w:tr>
      <w:tr>
        <w:trPr>
          <w:trHeight w:val="309"/>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Directors  who  hold  or  have  held</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Directors with a history of service on other</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Directors with experience developing and</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significant executive leadership positions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public company boards help our Board</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driving the strategic direction and growth</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with large organizations provide unique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function   effectively   by   drawing   on</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of large organizations provide valuable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insights. These individuals have valuable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knowledge of governance best practices.</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guidance  to  the  Company’s  senior</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experience developing talent and solving</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These  individuals  bring  a  practical</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leadership team. These individuals have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problems in large, complex organizations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understanding   of   organizations   and</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w w:val="98"/>
              </w:rPr>
              <w:t>expertise</w:t>
            </w:r>
          </w:p>
        </w:tc>
        <w:tc>
          <w:tcPr>
            <w:tcW w:w="460" w:type="dxa"/>
            <w:vAlign w:val="bottom"/>
            <w:shd w:val="clear" w:color="auto" w:fill="F2F2F2"/>
          </w:tcPr>
          <w:p>
            <w:pPr>
              <w:ind w:left="340"/>
              <w:spacing w:after="0"/>
              <w:rPr>
                <w:sz w:val="20"/>
                <w:szCs w:val="20"/>
                <w:color w:val="auto"/>
              </w:rPr>
            </w:pPr>
            <w:r>
              <w:rPr>
                <w:rFonts w:ascii="Arial" w:cs="Arial" w:eastAsia="Arial" w:hAnsi="Arial"/>
                <w:sz w:val="16"/>
                <w:szCs w:val="16"/>
                <w:color w:val="auto"/>
                <w:w w:val="79"/>
              </w:rPr>
              <w:t>in</w:t>
            </w:r>
          </w:p>
        </w:tc>
        <w:tc>
          <w:tcPr>
            <w:tcW w:w="80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areas</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including</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and can capably and confidently advise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processes   and   the   importance   of</w:t>
            </w:r>
          </w:p>
        </w:tc>
        <w:tc>
          <w:tcPr>
            <w:tcW w:w="136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transformation,</w:t>
            </w:r>
          </w:p>
        </w:tc>
        <w:tc>
          <w:tcPr>
            <w:tcW w:w="800" w:type="dxa"/>
            <w:vAlign w:val="bottom"/>
            <w:shd w:val="clear" w:color="auto" w:fill="F2F2F2"/>
          </w:tcPr>
          <w:p>
            <w:pPr>
              <w:ind w:left="60"/>
              <w:spacing w:after="0"/>
              <w:rPr>
                <w:sz w:val="20"/>
                <w:szCs w:val="20"/>
                <w:color w:val="auto"/>
              </w:rPr>
            </w:pPr>
            <w:r>
              <w:rPr>
                <w:rFonts w:ascii="Arial" w:cs="Arial" w:eastAsia="Arial" w:hAnsi="Arial"/>
                <w:sz w:val="16"/>
                <w:szCs w:val="16"/>
                <w:color w:val="auto"/>
                <w:w w:val="98"/>
              </w:rPr>
              <w:t>innovation</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and change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the Company’s senior leadership team on</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management accountability, transparency,</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management. These individuals often also</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 wide range of issues. These individuals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and the protection of stockholder interests.</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have sophisticated experience in growth</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often possess extraordinary leadership</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These individuals help our Board structure</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through</w:t>
            </w:r>
          </w:p>
        </w:tc>
        <w:tc>
          <w:tcPr>
            <w:tcW w:w="460" w:type="dxa"/>
            <w:vAlign w:val="bottom"/>
            <w:shd w:val="clear" w:color="auto" w:fill="F2F2F2"/>
          </w:tcPr>
          <w:p>
            <w:pPr>
              <w:spacing w:after="0"/>
              <w:rPr>
                <w:sz w:val="20"/>
                <w:szCs w:val="20"/>
                <w:color w:val="auto"/>
              </w:rPr>
            </w:pPr>
            <w:r>
              <w:rPr>
                <w:rFonts w:ascii="Arial" w:cs="Arial" w:eastAsia="Arial" w:hAnsi="Arial"/>
                <w:sz w:val="16"/>
                <w:szCs w:val="16"/>
                <w:color w:val="auto"/>
              </w:rPr>
              <w:t>large</w:t>
            </w:r>
          </w:p>
        </w:tc>
        <w:tc>
          <w:tcPr>
            <w:tcW w:w="800" w:type="dxa"/>
            <w:vAlign w:val="bottom"/>
            <w:shd w:val="clear" w:color="auto" w:fill="F2F2F2"/>
          </w:tcPr>
          <w:p>
            <w:pPr>
              <w:ind w:left="20"/>
              <w:spacing w:after="0"/>
              <w:rPr>
                <w:sz w:val="20"/>
                <w:szCs w:val="20"/>
                <w:color w:val="auto"/>
              </w:rPr>
            </w:pPr>
            <w:r>
              <w:rPr>
                <w:rFonts w:ascii="Arial" w:cs="Arial" w:eastAsia="Arial" w:hAnsi="Arial"/>
                <w:sz w:val="16"/>
                <w:szCs w:val="16"/>
                <w:color w:val="auto"/>
              </w:rPr>
              <w:t>corporate</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w w:val="99"/>
              </w:rPr>
              <w:t>transactions,</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qualities and have the ability to identify</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and execute its independent oversight of</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including mergers &amp; acquisitions.</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and develop these qualities in others.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management.</w:t>
            </w: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r>
      <w:tr>
        <w:trPr>
          <w:trHeight w:val="151"/>
        </w:trPr>
        <w:tc>
          <w:tcPr>
            <w:tcW w:w="800" w:type="dxa"/>
            <w:vAlign w:val="bottom"/>
            <w:shd w:val="clear" w:color="auto" w:fill="F2F2F2"/>
          </w:tcPr>
          <w:p>
            <w:pPr>
              <w:spacing w:after="0"/>
              <w:rPr>
                <w:sz w:val="13"/>
                <w:szCs w:val="13"/>
                <w:color w:val="auto"/>
              </w:rPr>
            </w:pPr>
          </w:p>
        </w:tc>
        <w:tc>
          <w:tcPr>
            <w:tcW w:w="2560" w:type="dxa"/>
            <w:vAlign w:val="bottom"/>
            <w:shd w:val="clear" w:color="auto" w:fill="F2F2F2"/>
          </w:tcPr>
          <w:p>
            <w:pPr>
              <w:spacing w:after="0"/>
              <w:rPr>
                <w:sz w:val="13"/>
                <w:szCs w:val="13"/>
                <w:color w:val="auto"/>
              </w:rPr>
            </w:pPr>
          </w:p>
        </w:tc>
        <w:tc>
          <w:tcPr>
            <w:tcW w:w="780" w:type="dxa"/>
            <w:vAlign w:val="bottom"/>
            <w:shd w:val="clear" w:color="auto" w:fill="F2F3EE"/>
          </w:tcPr>
          <w:p>
            <w:pPr>
              <w:spacing w:after="0"/>
              <w:rPr>
                <w:sz w:val="13"/>
                <w:szCs w:val="13"/>
                <w:color w:val="auto"/>
              </w:rPr>
            </w:pPr>
          </w:p>
        </w:tc>
        <w:tc>
          <w:tcPr>
            <w:tcW w:w="2560" w:type="dxa"/>
            <w:vAlign w:val="bottom"/>
            <w:shd w:val="clear" w:color="auto" w:fill="F2F3EE"/>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20" w:type="dxa"/>
            <w:vAlign w:val="bottom"/>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800" w:type="dxa"/>
            <w:vAlign w:val="bottom"/>
            <w:shd w:val="clear" w:color="auto" w:fill="F2F2F2"/>
          </w:tcPr>
          <w:p>
            <w:pPr>
              <w:spacing w:after="0"/>
              <w:rPr>
                <w:sz w:val="13"/>
                <w:szCs w:val="13"/>
                <w:color w:val="auto"/>
              </w:rPr>
            </w:pPr>
          </w:p>
        </w:tc>
        <w:tc>
          <w:tcPr>
            <w:tcW w:w="1200" w:type="dxa"/>
            <w:vAlign w:val="bottom"/>
            <w:shd w:val="clear" w:color="auto" w:fill="F2F2F2"/>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-1952625</wp:posOffset>
            </wp:positionV>
            <wp:extent cx="244475" cy="2171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9">
                      <a:extLst>
                        <a:ext uri="{28A0092B-C50C-407E-A947-70E740481C1C}"/>
                      </a:extLst>
                    </a:blip>
                    <a:srcRect/>
                    <a:stretch>
                      <a:fillRect/>
                    </a:stretch>
                  </pic:blipFill>
                  <pic:spPr bwMode="auto">
                    <a:xfrm>
                      <a:off x="0" y="0"/>
                      <a:ext cx="244475" cy="217170"/>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-1957070</wp:posOffset>
            </wp:positionV>
            <wp:extent cx="246380" cy="215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0">
                      <a:extLst>
                        <a:ext uri="{28A0092B-C50C-407E-A947-70E740481C1C}"/>
                      </a:extLst>
                    </a:blip>
                    <a:srcRect/>
                    <a:stretch>
                      <a:fillRect/>
                    </a:stretch>
                  </pic:blipFill>
                  <pic:spPr bwMode="auto">
                    <a:xfrm>
                      <a:off x="0" y="0"/>
                      <a:ext cx="246380" cy="21526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-1978660</wp:posOffset>
            </wp:positionV>
            <wp:extent cx="295275" cy="262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1">
                      <a:extLst>
                        <a:ext uri="{28A0092B-C50C-407E-A947-70E740481C1C}"/>
                      </a:extLst>
                    </a:blip>
                    <a:srcRect/>
                    <a:stretch>
                      <a:fillRect/>
                    </a:stretch>
                  </pic:blipFill>
                  <pic:spPr bwMode="auto">
                    <a:xfrm>
                      <a:off x="0" y="0"/>
                      <a:ext cx="295275" cy="262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3"/>
        </w:trPr>
        <w:tc>
          <w:tcPr>
            <w:tcW w:w="800" w:type="dxa"/>
            <w:vAlign w:val="bottom"/>
            <w:shd w:val="clear" w:color="auto" w:fill="0C3D25"/>
          </w:tcPr>
          <w:p>
            <w:pPr>
              <w:spacing w:after="0"/>
              <w:rPr>
                <w:sz w:val="24"/>
                <w:szCs w:val="24"/>
                <w:color w:val="auto"/>
              </w:rPr>
            </w:pPr>
          </w:p>
        </w:tc>
        <w:tc>
          <w:tcPr>
            <w:tcW w:w="1880" w:type="dxa"/>
            <w:vAlign w:val="bottom"/>
            <w:gridSpan w:val="2"/>
            <w:shd w:val="clear" w:color="auto" w:fill="E6E8DE"/>
          </w:tcPr>
          <w:p>
            <w:pPr>
              <w:ind w:left="100"/>
              <w:spacing w:after="0"/>
              <w:rPr>
                <w:sz w:val="20"/>
                <w:szCs w:val="20"/>
                <w:color w:val="auto"/>
              </w:rPr>
            </w:pPr>
            <w:r>
              <w:rPr>
                <w:rFonts w:ascii="Arial" w:cs="Arial" w:eastAsia="Arial" w:hAnsi="Arial"/>
                <w:sz w:val="18"/>
                <w:szCs w:val="18"/>
                <w:b w:val="1"/>
                <w:bCs w:val="1"/>
                <w:color w:val="0C3D25"/>
              </w:rPr>
              <w:t>Operational</w:t>
            </w:r>
          </w:p>
        </w:tc>
        <w:tc>
          <w:tcPr>
            <w:tcW w:w="680" w:type="dxa"/>
            <w:vAlign w:val="bottom"/>
            <w:shd w:val="clear" w:color="auto" w:fill="E6E8DE"/>
          </w:tcPr>
          <w:p>
            <w:pPr>
              <w:spacing w:after="0"/>
              <w:rPr>
                <w:sz w:val="24"/>
                <w:szCs w:val="24"/>
                <w:color w:val="auto"/>
              </w:rPr>
            </w:pPr>
          </w:p>
        </w:tc>
        <w:tc>
          <w:tcPr>
            <w:tcW w:w="780" w:type="dxa"/>
            <w:vAlign w:val="bottom"/>
            <w:shd w:val="clear" w:color="auto" w:fill="0C3D25"/>
          </w:tcPr>
          <w:p>
            <w:pPr>
              <w:spacing w:after="0"/>
              <w:rPr>
                <w:sz w:val="24"/>
                <w:szCs w:val="24"/>
                <w:color w:val="auto"/>
              </w:rPr>
            </w:pPr>
          </w:p>
        </w:tc>
        <w:tc>
          <w:tcPr>
            <w:tcW w:w="2560" w:type="dxa"/>
            <w:vAlign w:val="bottom"/>
            <w:gridSpan w:val="6"/>
            <w:shd w:val="clear" w:color="auto" w:fill="E6E6E6"/>
          </w:tcPr>
          <w:p>
            <w:pPr>
              <w:ind w:left="80"/>
              <w:spacing w:after="0"/>
              <w:rPr>
                <w:sz w:val="20"/>
                <w:szCs w:val="20"/>
                <w:color w:val="auto"/>
              </w:rPr>
            </w:pPr>
            <w:r>
              <w:rPr>
                <w:rFonts w:ascii="Arial" w:cs="Arial" w:eastAsia="Arial" w:hAnsi="Arial"/>
                <w:sz w:val="18"/>
                <w:szCs w:val="18"/>
                <w:b w:val="1"/>
                <w:bCs w:val="1"/>
                <w:color w:val="0C3D25"/>
              </w:rPr>
              <w:t>Financial Expertise and</w:t>
            </w:r>
          </w:p>
        </w:tc>
        <w:tc>
          <w:tcPr>
            <w:tcW w:w="780" w:type="dxa"/>
            <w:vAlign w:val="bottom"/>
            <w:shd w:val="clear" w:color="auto" w:fill="0C3D25"/>
          </w:tcPr>
          <w:p>
            <w:pPr>
              <w:spacing w:after="0"/>
              <w:rPr>
                <w:sz w:val="24"/>
                <w:szCs w:val="24"/>
                <w:color w:val="auto"/>
              </w:rPr>
            </w:pPr>
          </w:p>
        </w:tc>
        <w:tc>
          <w:tcPr>
            <w:tcW w:w="258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C3D25"/>
              </w:rPr>
              <w:t>Human Capital</w:t>
            </w:r>
          </w:p>
        </w:tc>
      </w:tr>
      <w:tr>
        <w:trPr>
          <w:trHeight w:val="219"/>
        </w:trPr>
        <w:tc>
          <w:tcPr>
            <w:tcW w:w="800" w:type="dxa"/>
            <w:vAlign w:val="bottom"/>
            <w:shd w:val="clear" w:color="auto" w:fill="0C3D25"/>
          </w:tcPr>
          <w:p>
            <w:pPr>
              <w:spacing w:after="0"/>
              <w:rPr>
                <w:sz w:val="19"/>
                <w:szCs w:val="19"/>
                <w:color w:val="auto"/>
              </w:rPr>
            </w:pPr>
          </w:p>
        </w:tc>
        <w:tc>
          <w:tcPr>
            <w:tcW w:w="1880" w:type="dxa"/>
            <w:vAlign w:val="bottom"/>
            <w:gridSpan w:val="2"/>
            <w:shd w:val="clear" w:color="auto" w:fill="E6E8DE"/>
          </w:tcPr>
          <w:p>
            <w:pPr>
              <w:ind w:left="100"/>
              <w:spacing w:after="0"/>
              <w:rPr>
                <w:sz w:val="20"/>
                <w:szCs w:val="20"/>
                <w:color w:val="auto"/>
              </w:rPr>
            </w:pPr>
            <w:r>
              <w:rPr>
                <w:rFonts w:ascii="Arial" w:cs="Arial" w:eastAsia="Arial" w:hAnsi="Arial"/>
                <w:sz w:val="18"/>
                <w:szCs w:val="18"/>
                <w:b w:val="1"/>
                <w:bCs w:val="1"/>
                <w:color w:val="0C3D25"/>
              </w:rPr>
              <w:t>Excellence</w:t>
            </w:r>
          </w:p>
        </w:tc>
        <w:tc>
          <w:tcPr>
            <w:tcW w:w="680" w:type="dxa"/>
            <w:vAlign w:val="bottom"/>
            <w:shd w:val="clear" w:color="auto" w:fill="E6E8DE"/>
          </w:tcPr>
          <w:p>
            <w:pPr>
              <w:spacing w:after="0"/>
              <w:rPr>
                <w:sz w:val="19"/>
                <w:szCs w:val="19"/>
                <w:color w:val="auto"/>
              </w:rPr>
            </w:pPr>
          </w:p>
        </w:tc>
        <w:tc>
          <w:tcPr>
            <w:tcW w:w="780" w:type="dxa"/>
            <w:vAlign w:val="bottom"/>
            <w:shd w:val="clear" w:color="auto" w:fill="0C3D25"/>
          </w:tcPr>
          <w:p>
            <w:pPr>
              <w:spacing w:after="0"/>
              <w:rPr>
                <w:sz w:val="19"/>
                <w:szCs w:val="19"/>
                <w:color w:val="auto"/>
              </w:rPr>
            </w:pPr>
          </w:p>
        </w:tc>
        <w:tc>
          <w:tcPr>
            <w:tcW w:w="156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C3D25"/>
                <w:w w:val="96"/>
              </w:rPr>
              <w:t>Capital Allocation</w:t>
            </w: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780" w:type="dxa"/>
            <w:vAlign w:val="bottom"/>
            <w:shd w:val="clear" w:color="auto" w:fill="0C3D25"/>
          </w:tcPr>
          <w:p>
            <w:pPr>
              <w:spacing w:after="0"/>
              <w:rPr>
                <w:sz w:val="19"/>
                <w:szCs w:val="19"/>
                <w:color w:val="auto"/>
              </w:rPr>
            </w:pPr>
          </w:p>
        </w:tc>
        <w:tc>
          <w:tcPr>
            <w:tcW w:w="258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C3D25"/>
              </w:rPr>
              <w:t>Management</w:t>
            </w:r>
          </w:p>
        </w:tc>
      </w:tr>
      <w:tr>
        <w:trPr>
          <w:trHeight w:val="176"/>
        </w:trPr>
        <w:tc>
          <w:tcPr>
            <w:tcW w:w="800" w:type="dxa"/>
            <w:vAlign w:val="bottom"/>
            <w:shd w:val="clear" w:color="auto" w:fill="0C3D25"/>
          </w:tcPr>
          <w:p>
            <w:pPr>
              <w:spacing w:after="0"/>
              <w:rPr>
                <w:sz w:val="15"/>
                <w:szCs w:val="15"/>
                <w:color w:val="auto"/>
              </w:rPr>
            </w:pPr>
          </w:p>
        </w:tc>
        <w:tc>
          <w:tcPr>
            <w:tcW w:w="2560" w:type="dxa"/>
            <w:vAlign w:val="bottom"/>
            <w:gridSpan w:val="3"/>
            <w:shd w:val="clear" w:color="auto" w:fill="E6E8DE"/>
          </w:tcPr>
          <w:p>
            <w:pPr>
              <w:spacing w:after="0"/>
              <w:rPr>
                <w:sz w:val="15"/>
                <w:szCs w:val="15"/>
                <w:color w:val="auto"/>
              </w:rPr>
            </w:pPr>
          </w:p>
        </w:tc>
        <w:tc>
          <w:tcPr>
            <w:tcW w:w="780" w:type="dxa"/>
            <w:vAlign w:val="bottom"/>
            <w:shd w:val="clear" w:color="auto" w:fill="0C3D25"/>
          </w:tcPr>
          <w:p>
            <w:pPr>
              <w:spacing w:after="0"/>
              <w:rPr>
                <w:sz w:val="15"/>
                <w:szCs w:val="15"/>
                <w:color w:val="auto"/>
              </w:rPr>
            </w:pPr>
          </w:p>
        </w:tc>
        <w:tc>
          <w:tcPr>
            <w:tcW w:w="2560" w:type="dxa"/>
            <w:vAlign w:val="bottom"/>
            <w:gridSpan w:val="6"/>
            <w:shd w:val="clear" w:color="auto" w:fill="E6E6E6"/>
          </w:tcPr>
          <w:p>
            <w:pPr>
              <w:spacing w:after="0"/>
              <w:rPr>
                <w:sz w:val="15"/>
                <w:szCs w:val="15"/>
                <w:color w:val="auto"/>
              </w:rPr>
            </w:pPr>
          </w:p>
        </w:tc>
        <w:tc>
          <w:tcPr>
            <w:tcW w:w="780" w:type="dxa"/>
            <w:vAlign w:val="bottom"/>
            <w:shd w:val="clear" w:color="auto" w:fill="0C3D25"/>
          </w:tcPr>
          <w:p>
            <w:pPr>
              <w:spacing w:after="0"/>
              <w:rPr>
                <w:sz w:val="15"/>
                <w:szCs w:val="15"/>
                <w:color w:val="auto"/>
              </w:rPr>
            </w:pPr>
          </w:p>
        </w:tc>
        <w:tc>
          <w:tcPr>
            <w:tcW w:w="2580" w:type="dxa"/>
            <w:vAlign w:val="bottom"/>
            <w:shd w:val="clear" w:color="auto" w:fill="E6E8DE"/>
          </w:tcPr>
          <w:p>
            <w:pPr>
              <w:spacing w:after="0"/>
              <w:rPr>
                <w:sz w:val="15"/>
                <w:szCs w:val="15"/>
                <w:color w:val="auto"/>
              </w:rPr>
            </w:pPr>
          </w:p>
        </w:tc>
      </w:tr>
      <w:tr>
        <w:trPr>
          <w:trHeight w:val="309"/>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Directors with experience in a significant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Directors with a deep understanding of</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Directors  with  experience  in  human</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operations  role  help  the  Company  to</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finance and financial reporting lead our</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capital  management  provide  valuable</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develop,  implement  and  assess  its</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Board’s</w:t>
            </w:r>
          </w:p>
        </w:tc>
        <w:tc>
          <w:tcPr>
            <w:tcW w:w="82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oversight</w:t>
            </w:r>
          </w:p>
        </w:tc>
        <w:tc>
          <w:tcPr>
            <w:tcW w:w="560" w:type="dxa"/>
            <w:vAlign w:val="bottom"/>
            <w:shd w:val="clear" w:color="auto" w:fill="F2F2F2"/>
          </w:tcPr>
          <w:p>
            <w:pPr>
              <w:jc w:val="right"/>
              <w:ind w:right="80"/>
              <w:spacing w:after="0"/>
              <w:rPr>
                <w:sz w:val="20"/>
                <w:szCs w:val="20"/>
                <w:color w:val="auto"/>
              </w:rPr>
            </w:pPr>
            <w:r>
              <w:rPr>
                <w:rFonts w:ascii="Arial" w:cs="Arial" w:eastAsia="Arial" w:hAnsi="Arial"/>
                <w:sz w:val="16"/>
                <w:szCs w:val="16"/>
                <w:color w:val="auto"/>
              </w:rPr>
              <w:t>of</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financial</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guidance in support of the Company’s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operating  plan  and  capital  plan  and</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performance and robust internal controls.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People First strategy. These individuals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execute   on   commitments   to   cost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These  individuals  have  expertise  in</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understand the dynamics of attracting,</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optimization and continuous improvement.</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9"/>
              </w:rPr>
              <w:t>designing</w:t>
            </w:r>
          </w:p>
        </w:tc>
        <w:tc>
          <w:tcPr>
            <w:tcW w:w="3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implementing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financing</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motivating, and retaining talented and</w:t>
            </w:r>
          </w:p>
        </w:tc>
      </w:tr>
      <w:tr>
        <w:trPr>
          <w:trHeight w:val="191"/>
        </w:trPr>
        <w:tc>
          <w:tcPr>
            <w:tcW w:w="1540" w:type="dxa"/>
            <w:vAlign w:val="bottom"/>
            <w:gridSpan w:val="2"/>
            <w:shd w:val="clear" w:color="auto" w:fill="F2F3EE"/>
          </w:tcPr>
          <w:p>
            <w:pPr>
              <w:ind w:left="280"/>
              <w:spacing w:after="0"/>
              <w:rPr>
                <w:sz w:val="20"/>
                <w:szCs w:val="20"/>
                <w:color w:val="auto"/>
              </w:rPr>
            </w:pPr>
            <w:r>
              <w:rPr>
                <w:rFonts w:ascii="Arial" w:cs="Arial" w:eastAsia="Arial" w:hAnsi="Arial"/>
                <w:sz w:val="16"/>
                <w:szCs w:val="16"/>
                <w:color w:val="auto"/>
              </w:rPr>
              <w:t>Individuals  with</w:t>
            </w:r>
          </w:p>
        </w:tc>
        <w:tc>
          <w:tcPr>
            <w:tcW w:w="1820" w:type="dxa"/>
            <w:vAlign w:val="bottom"/>
            <w:gridSpan w:val="2"/>
            <w:shd w:val="clear" w:color="auto" w:fill="F2F3EE"/>
          </w:tcPr>
          <w:p>
            <w:pPr>
              <w:jc w:val="right"/>
              <w:ind w:right="180"/>
              <w:spacing w:after="0"/>
              <w:rPr>
                <w:sz w:val="20"/>
                <w:szCs w:val="20"/>
                <w:color w:val="auto"/>
              </w:rPr>
            </w:pPr>
            <w:r>
              <w:rPr>
                <w:rFonts w:ascii="Arial" w:cs="Arial" w:eastAsia="Arial" w:hAnsi="Arial"/>
                <w:sz w:val="16"/>
                <w:szCs w:val="16"/>
                <w:color w:val="auto"/>
                <w:w w:val="98"/>
              </w:rPr>
              <w:t>extensive  operational</w:t>
            </w:r>
          </w:p>
        </w:tc>
        <w:tc>
          <w:tcPr>
            <w:tcW w:w="1340" w:type="dxa"/>
            <w:vAlign w:val="bottom"/>
            <w:gridSpan w:val="3"/>
            <w:shd w:val="clear" w:color="auto" w:fill="F2F2F2"/>
          </w:tcPr>
          <w:p>
            <w:pPr>
              <w:ind w:left="260"/>
              <w:spacing w:after="0"/>
              <w:rPr>
                <w:sz w:val="20"/>
                <w:szCs w:val="20"/>
                <w:color w:val="auto"/>
              </w:rPr>
            </w:pPr>
            <w:r>
              <w:rPr>
                <w:rFonts w:ascii="Arial" w:cs="Arial" w:eastAsia="Arial" w:hAnsi="Arial"/>
                <w:sz w:val="16"/>
                <w:szCs w:val="16"/>
                <w:color w:val="auto"/>
              </w:rPr>
              <w:t>and   capital</w:t>
            </w:r>
          </w:p>
        </w:tc>
        <w:tc>
          <w:tcPr>
            <w:tcW w:w="1000" w:type="dxa"/>
            <w:vAlign w:val="bottom"/>
            <w:gridSpan w:val="2"/>
            <w:shd w:val="clear" w:color="auto" w:fill="F2F2F2"/>
          </w:tcPr>
          <w:p>
            <w:pPr>
              <w:jc w:val="right"/>
              <w:ind w:right="140"/>
              <w:spacing w:after="0"/>
              <w:rPr>
                <w:sz w:val="20"/>
                <w:szCs w:val="20"/>
                <w:color w:val="auto"/>
              </w:rPr>
            </w:pPr>
            <w:r>
              <w:rPr>
                <w:rFonts w:ascii="Arial" w:cs="Arial" w:eastAsia="Arial" w:hAnsi="Arial"/>
                <w:sz w:val="16"/>
                <w:szCs w:val="16"/>
                <w:color w:val="auto"/>
              </w:rPr>
              <w:t>allocation</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w w:val="97"/>
              </w:rPr>
              <w:t>strategies,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engaged employees. These individuals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experience in heavily regulated industries,</w:t>
            </w:r>
          </w:p>
        </w:tc>
        <w:tc>
          <w:tcPr>
            <w:tcW w:w="2660" w:type="dxa"/>
            <w:vAlign w:val="bottom"/>
            <w:gridSpan w:val="6"/>
            <w:shd w:val="clear" w:color="auto" w:fill="F2F2F2"/>
          </w:tcPr>
          <w:p>
            <w:pPr>
              <w:ind w:left="260"/>
              <w:spacing w:after="0"/>
              <w:rPr>
                <w:sz w:val="20"/>
                <w:szCs w:val="20"/>
                <w:color w:val="auto"/>
              </w:rPr>
            </w:pPr>
            <w:r>
              <w:rPr>
                <w:rFonts w:ascii="Arial" w:cs="Arial" w:eastAsia="Arial" w:hAnsi="Arial"/>
                <w:sz w:val="16"/>
                <w:szCs w:val="16"/>
                <w:color w:val="auto"/>
              </w:rPr>
              <w:t>evaluating  stockholder  returns</w:t>
            </w:r>
          </w:p>
        </w:tc>
        <w:tc>
          <w:tcPr>
            <w:tcW w:w="6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and</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have expertise in talent management,</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including a focus on capital intensive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5"/>
              </w:rPr>
              <w:t>accessing</w:t>
            </w:r>
          </w:p>
        </w:tc>
        <w:tc>
          <w:tcPr>
            <w:tcW w:w="820" w:type="dxa"/>
            <w:vAlign w:val="bottom"/>
            <w:gridSpan w:val="2"/>
            <w:shd w:val="clear" w:color="auto" w:fill="F2F2F2"/>
          </w:tcPr>
          <w:p>
            <w:pPr>
              <w:ind w:left="200"/>
              <w:spacing w:after="0"/>
              <w:rPr>
                <w:sz w:val="20"/>
                <w:szCs w:val="20"/>
                <w:color w:val="auto"/>
              </w:rPr>
            </w:pPr>
            <w:r>
              <w:rPr>
                <w:rFonts w:ascii="Arial" w:cs="Arial" w:eastAsia="Arial" w:hAnsi="Arial"/>
                <w:sz w:val="16"/>
                <w:szCs w:val="16"/>
                <w:color w:val="auto"/>
              </w:rPr>
              <w:t>capital</w:t>
            </w:r>
          </w:p>
        </w:tc>
        <w:tc>
          <w:tcPr>
            <w:tcW w:w="880" w:type="dxa"/>
            <w:vAlign w:val="bottom"/>
            <w:gridSpan w:val="2"/>
            <w:shd w:val="clear" w:color="auto" w:fill="F2F2F2"/>
          </w:tcPr>
          <w:p>
            <w:pPr>
              <w:ind w:left="60"/>
              <w:spacing w:after="0"/>
              <w:rPr>
                <w:sz w:val="20"/>
                <w:szCs w:val="20"/>
                <w:color w:val="auto"/>
              </w:rPr>
            </w:pPr>
            <w:r>
              <w:rPr>
                <w:rFonts w:ascii="Arial" w:cs="Arial" w:eastAsia="Arial" w:hAnsi="Arial"/>
                <w:sz w:val="16"/>
                <w:szCs w:val="16"/>
                <w:color w:val="auto"/>
              </w:rPr>
              <w:t>markets.</w:t>
            </w:r>
          </w:p>
        </w:tc>
        <w:tc>
          <w:tcPr>
            <w:tcW w:w="6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w w:val="89"/>
              </w:rPr>
              <w:t>These</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succession  planning  and  creating  a</w:t>
            </w:r>
          </w:p>
        </w:tc>
      </w:tr>
      <w:tr>
        <w:trPr>
          <w:trHeight w:val="191"/>
        </w:trPr>
        <w:tc>
          <w:tcPr>
            <w:tcW w:w="800" w:type="dxa"/>
            <w:vAlign w:val="bottom"/>
            <w:shd w:val="clear" w:color="auto" w:fill="F2F3EE"/>
          </w:tcPr>
          <w:p>
            <w:pPr>
              <w:ind w:left="280"/>
              <w:spacing w:after="0"/>
              <w:rPr>
                <w:sz w:val="20"/>
                <w:szCs w:val="20"/>
                <w:color w:val="auto"/>
              </w:rPr>
            </w:pPr>
            <w:r>
              <w:rPr>
                <w:rFonts w:ascii="Arial" w:cs="Arial" w:eastAsia="Arial" w:hAnsi="Arial"/>
                <w:sz w:val="16"/>
                <w:szCs w:val="16"/>
                <w:color w:val="auto"/>
              </w:rPr>
              <w:t>labor</w:t>
            </w:r>
          </w:p>
        </w:tc>
        <w:tc>
          <w:tcPr>
            <w:tcW w:w="740" w:type="dxa"/>
            <w:vAlign w:val="bottom"/>
            <w:shd w:val="clear" w:color="auto" w:fill="F2F3EE"/>
          </w:tcPr>
          <w:p>
            <w:pPr>
              <w:ind w:left="100"/>
              <w:spacing w:after="0"/>
              <w:rPr>
                <w:sz w:val="20"/>
                <w:szCs w:val="20"/>
                <w:color w:val="auto"/>
              </w:rPr>
            </w:pPr>
            <w:r>
              <w:rPr>
                <w:rFonts w:ascii="Arial" w:cs="Arial" w:eastAsia="Arial" w:hAnsi="Arial"/>
                <w:sz w:val="16"/>
                <w:szCs w:val="16"/>
                <w:color w:val="auto"/>
                <w:w w:val="98"/>
              </w:rPr>
              <w:t>intensive</w:t>
            </w:r>
          </w:p>
        </w:tc>
        <w:tc>
          <w:tcPr>
            <w:tcW w:w="1140" w:type="dxa"/>
            <w:vAlign w:val="bottom"/>
            <w:shd w:val="clear" w:color="auto" w:fill="F2F3EE"/>
          </w:tcPr>
          <w:p>
            <w:pPr>
              <w:ind w:left="240"/>
              <w:spacing w:after="0"/>
              <w:rPr>
                <w:sz w:val="20"/>
                <w:szCs w:val="20"/>
                <w:color w:val="auto"/>
              </w:rPr>
            </w:pPr>
            <w:r>
              <w:rPr>
                <w:rFonts w:ascii="Arial" w:cs="Arial" w:eastAsia="Arial" w:hAnsi="Arial"/>
                <w:sz w:val="16"/>
                <w:szCs w:val="16"/>
                <w:color w:val="auto"/>
              </w:rPr>
              <w:t>businesses</w:t>
            </w:r>
          </w:p>
        </w:tc>
        <w:tc>
          <w:tcPr>
            <w:tcW w:w="680" w:type="dxa"/>
            <w:vAlign w:val="bottom"/>
            <w:shd w:val="clear" w:color="auto" w:fill="F2F3EE"/>
          </w:tcPr>
          <w:p>
            <w:pPr>
              <w:jc w:val="right"/>
              <w:ind w:right="160"/>
              <w:spacing w:after="0"/>
              <w:rPr>
                <w:sz w:val="20"/>
                <w:szCs w:val="20"/>
                <w:color w:val="auto"/>
              </w:rPr>
            </w:pPr>
            <w:r>
              <w:rPr>
                <w:rFonts w:ascii="Arial" w:cs="Arial" w:eastAsia="Arial" w:hAnsi="Arial"/>
                <w:sz w:val="16"/>
                <w:szCs w:val="16"/>
                <w:color w:val="auto"/>
              </w:rPr>
              <w:t>with</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individuals have knowledge of corporate</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diverse  and  inclusive  workplace  that</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sophisticated logistics, transportation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finance</w:t>
            </w:r>
          </w:p>
        </w:tc>
        <w:tc>
          <w:tcPr>
            <w:tcW w:w="380" w:type="dxa"/>
            <w:vAlign w:val="bottom"/>
            <w:shd w:val="clear" w:color="auto" w:fill="F2F2F2"/>
          </w:tcPr>
          <w:p>
            <w:pPr>
              <w:spacing w:after="0"/>
              <w:rPr>
                <w:sz w:val="20"/>
                <w:szCs w:val="20"/>
                <w:color w:val="auto"/>
              </w:rPr>
            </w:pPr>
            <w:r>
              <w:rPr>
                <w:rFonts w:ascii="Arial" w:cs="Arial" w:eastAsia="Arial" w:hAnsi="Arial"/>
                <w:sz w:val="16"/>
                <w:szCs w:val="16"/>
                <w:color w:val="auto"/>
              </w:rPr>
              <w:t>and</w:t>
            </w:r>
          </w:p>
        </w:tc>
        <w:tc>
          <w:tcPr>
            <w:tcW w:w="1000" w:type="dxa"/>
            <w:vAlign w:val="bottom"/>
            <w:gridSpan w:val="2"/>
            <w:shd w:val="clear" w:color="auto" w:fill="F2F2F2"/>
          </w:tcPr>
          <w:p>
            <w:pPr>
              <w:jc w:val="right"/>
              <w:ind w:right="80"/>
              <w:spacing w:after="0"/>
              <w:rPr>
                <w:sz w:val="20"/>
                <w:szCs w:val="20"/>
                <w:color w:val="auto"/>
              </w:rPr>
            </w:pPr>
            <w:r>
              <w:rPr>
                <w:rFonts w:ascii="Arial" w:cs="Arial" w:eastAsia="Arial" w:hAnsi="Arial"/>
                <w:sz w:val="16"/>
                <w:szCs w:val="16"/>
                <w:color w:val="auto"/>
              </w:rPr>
              <w:t>accounting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standards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prioritizes safety as a core value.</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supply chain elements, provide valuable</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necessary for effective oversight of public</w:t>
            </w: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insights  on  management’s  ability  to</w:t>
            </w:r>
          </w:p>
        </w:tc>
        <w:tc>
          <w:tcPr>
            <w:tcW w:w="2340" w:type="dxa"/>
            <w:vAlign w:val="bottom"/>
            <w:gridSpan w:val="5"/>
            <w:shd w:val="clear" w:color="auto" w:fill="F2F2F2"/>
          </w:tcPr>
          <w:p>
            <w:pPr>
              <w:ind w:left="260"/>
              <w:spacing w:after="0"/>
              <w:rPr>
                <w:sz w:val="20"/>
                <w:szCs w:val="20"/>
                <w:color w:val="auto"/>
              </w:rPr>
            </w:pPr>
            <w:r>
              <w:rPr>
                <w:rFonts w:ascii="Arial" w:cs="Arial" w:eastAsia="Arial" w:hAnsi="Arial"/>
                <w:sz w:val="16"/>
                <w:szCs w:val="16"/>
                <w:color w:val="auto"/>
              </w:rPr>
              <w:t>company financial reporting.</w:t>
            </w:r>
          </w:p>
        </w:tc>
        <w:tc>
          <w:tcPr>
            <w:tcW w:w="32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91"/>
        </w:trPr>
        <w:tc>
          <w:tcPr>
            <w:tcW w:w="2680" w:type="dxa"/>
            <w:vAlign w:val="bottom"/>
            <w:gridSpan w:val="3"/>
            <w:shd w:val="clear" w:color="auto" w:fill="F2F3EE"/>
          </w:tcPr>
          <w:p>
            <w:pPr>
              <w:ind w:left="280"/>
              <w:spacing w:after="0"/>
              <w:rPr>
                <w:sz w:val="20"/>
                <w:szCs w:val="20"/>
                <w:color w:val="auto"/>
              </w:rPr>
            </w:pPr>
            <w:r>
              <w:rPr>
                <w:rFonts w:ascii="Arial" w:cs="Arial" w:eastAsia="Arial" w:hAnsi="Arial"/>
                <w:sz w:val="16"/>
                <w:szCs w:val="16"/>
                <w:color w:val="auto"/>
              </w:rPr>
              <w:t>operate effectively and efficiently.</w:t>
            </w:r>
          </w:p>
        </w:tc>
        <w:tc>
          <w:tcPr>
            <w:tcW w:w="68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38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56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51"/>
        </w:trPr>
        <w:tc>
          <w:tcPr>
            <w:tcW w:w="800" w:type="dxa"/>
            <w:vAlign w:val="bottom"/>
            <w:shd w:val="clear" w:color="auto" w:fill="F2F3EE"/>
          </w:tcPr>
          <w:p>
            <w:pPr>
              <w:spacing w:after="0"/>
              <w:rPr>
                <w:sz w:val="13"/>
                <w:szCs w:val="13"/>
                <w:color w:val="auto"/>
              </w:rPr>
            </w:pPr>
          </w:p>
        </w:tc>
        <w:tc>
          <w:tcPr>
            <w:tcW w:w="740" w:type="dxa"/>
            <w:vAlign w:val="bottom"/>
            <w:shd w:val="clear" w:color="auto" w:fill="F2F3EE"/>
          </w:tcPr>
          <w:p>
            <w:pPr>
              <w:spacing w:after="0"/>
              <w:rPr>
                <w:sz w:val="13"/>
                <w:szCs w:val="13"/>
                <w:color w:val="auto"/>
              </w:rPr>
            </w:pPr>
          </w:p>
        </w:tc>
        <w:tc>
          <w:tcPr>
            <w:tcW w:w="1140" w:type="dxa"/>
            <w:vAlign w:val="bottom"/>
            <w:shd w:val="clear" w:color="auto" w:fill="F2F3EE"/>
          </w:tcPr>
          <w:p>
            <w:pPr>
              <w:spacing w:after="0"/>
              <w:rPr>
                <w:sz w:val="13"/>
                <w:szCs w:val="13"/>
                <w:color w:val="auto"/>
              </w:rPr>
            </w:pPr>
          </w:p>
        </w:tc>
        <w:tc>
          <w:tcPr>
            <w:tcW w:w="680" w:type="dxa"/>
            <w:vAlign w:val="bottom"/>
            <w:shd w:val="clear" w:color="auto" w:fill="F2F3EE"/>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38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60" w:type="dxa"/>
            <w:vAlign w:val="bottom"/>
            <w:shd w:val="clear" w:color="auto" w:fill="F2F2F2"/>
          </w:tcPr>
          <w:p>
            <w:pPr>
              <w:spacing w:after="0"/>
              <w:rPr>
                <w:sz w:val="13"/>
                <w:szCs w:val="13"/>
                <w:color w:val="auto"/>
              </w:rPr>
            </w:pPr>
          </w:p>
        </w:tc>
        <w:tc>
          <w:tcPr>
            <w:tcW w:w="32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780" w:type="dxa"/>
            <w:vAlign w:val="bottom"/>
            <w:shd w:val="clear" w:color="auto" w:fill="F2F3EE"/>
          </w:tcPr>
          <w:p>
            <w:pPr>
              <w:spacing w:after="0"/>
              <w:rPr>
                <w:sz w:val="13"/>
                <w:szCs w:val="13"/>
                <w:color w:val="auto"/>
              </w:rPr>
            </w:pPr>
          </w:p>
        </w:tc>
        <w:tc>
          <w:tcPr>
            <w:tcW w:w="2580" w:type="dxa"/>
            <w:vAlign w:val="bottom"/>
            <w:shd w:val="clear" w:color="auto" w:fill="F2F3EE"/>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-2240280</wp:posOffset>
            </wp:positionV>
            <wp:extent cx="250190" cy="248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2">
                      <a:extLst>
                        <a:ext uri="{28A0092B-C50C-407E-A947-70E740481C1C}"/>
                      </a:extLst>
                    </a:blip>
                    <a:srcRect/>
                    <a:stretch>
                      <a:fillRect/>
                    </a:stretch>
                  </pic:blipFill>
                  <pic:spPr bwMode="auto">
                    <a:xfrm>
                      <a:off x="0" y="0"/>
                      <a:ext cx="250190" cy="248920"/>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-2232025</wp:posOffset>
            </wp:positionV>
            <wp:extent cx="234950" cy="234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3">
                      <a:extLst>
                        <a:ext uri="{28A0092B-C50C-407E-A947-70E740481C1C}"/>
                      </a:extLst>
                    </a:blip>
                    <a:srcRect/>
                    <a:stretch>
                      <a:fillRect/>
                    </a:stretch>
                  </pic:blipFill>
                  <pic:spPr bwMode="auto">
                    <a:xfrm>
                      <a:off x="0" y="0"/>
                      <a:ext cx="234950" cy="23495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-2264410</wp:posOffset>
            </wp:positionV>
            <wp:extent cx="211455" cy="305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4">
                      <a:extLst>
                        <a:ext uri="{28A0092B-C50C-407E-A947-70E740481C1C}"/>
                      </a:extLst>
                    </a:blip>
                    <a:srcRect/>
                    <a:stretch>
                      <a:fillRect/>
                    </a:stretch>
                  </pic:blipFill>
                  <pic:spPr bwMode="auto">
                    <a:xfrm>
                      <a:off x="0" y="0"/>
                      <a:ext cx="211455" cy="305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3"/>
        </w:trPr>
        <w:tc>
          <w:tcPr>
            <w:tcW w:w="800" w:type="dxa"/>
            <w:vAlign w:val="bottom"/>
            <w:shd w:val="clear" w:color="auto" w:fill="0C3D25"/>
          </w:tcPr>
          <w:p>
            <w:pPr>
              <w:spacing w:after="0"/>
              <w:rPr>
                <w:sz w:val="24"/>
                <w:szCs w:val="24"/>
                <w:color w:val="auto"/>
              </w:rPr>
            </w:pPr>
          </w:p>
        </w:tc>
        <w:tc>
          <w:tcPr>
            <w:tcW w:w="2560" w:type="dxa"/>
            <w:vAlign w:val="bottom"/>
            <w:gridSpan w:val="6"/>
            <w:shd w:val="clear" w:color="auto" w:fill="E6E6E6"/>
          </w:tcPr>
          <w:p>
            <w:pPr>
              <w:ind w:left="100"/>
              <w:spacing w:after="0"/>
              <w:rPr>
                <w:sz w:val="20"/>
                <w:szCs w:val="20"/>
                <w:color w:val="auto"/>
              </w:rPr>
            </w:pPr>
            <w:r>
              <w:rPr>
                <w:rFonts w:ascii="Arial" w:cs="Arial" w:eastAsia="Arial" w:hAnsi="Arial"/>
                <w:sz w:val="18"/>
                <w:szCs w:val="18"/>
                <w:b w:val="1"/>
                <w:bCs w:val="1"/>
                <w:color w:val="0C3D25"/>
                <w:w w:val="96"/>
              </w:rPr>
              <w:t>Sustainability/Environmental/</w:t>
            </w:r>
          </w:p>
        </w:tc>
        <w:tc>
          <w:tcPr>
            <w:tcW w:w="780" w:type="dxa"/>
            <w:vAlign w:val="bottom"/>
            <w:shd w:val="clear" w:color="auto" w:fill="0C3D25"/>
          </w:tcPr>
          <w:p>
            <w:pPr>
              <w:spacing w:after="0"/>
              <w:rPr>
                <w:sz w:val="24"/>
                <w:szCs w:val="24"/>
                <w:color w:val="auto"/>
              </w:rPr>
            </w:pPr>
          </w:p>
        </w:tc>
        <w:tc>
          <w:tcPr>
            <w:tcW w:w="1840" w:type="dxa"/>
            <w:vAlign w:val="bottom"/>
            <w:gridSpan w:val="5"/>
            <w:shd w:val="clear" w:color="auto" w:fill="E6E8DE"/>
          </w:tcPr>
          <w:p>
            <w:pPr>
              <w:ind w:left="80"/>
              <w:spacing w:after="0"/>
              <w:rPr>
                <w:sz w:val="20"/>
                <w:szCs w:val="20"/>
                <w:color w:val="auto"/>
              </w:rPr>
            </w:pPr>
            <w:r>
              <w:rPr>
                <w:rFonts w:ascii="Arial" w:cs="Arial" w:eastAsia="Arial" w:hAnsi="Arial"/>
                <w:sz w:val="18"/>
                <w:szCs w:val="18"/>
                <w:b w:val="1"/>
                <w:bCs w:val="1"/>
                <w:color w:val="0C3D25"/>
              </w:rPr>
              <w:t>Digital/Information</w:t>
            </w:r>
          </w:p>
        </w:tc>
        <w:tc>
          <w:tcPr>
            <w:tcW w:w="720" w:type="dxa"/>
            <w:vAlign w:val="bottom"/>
            <w:shd w:val="clear" w:color="auto" w:fill="E6E8DE"/>
          </w:tcPr>
          <w:p>
            <w:pPr>
              <w:spacing w:after="0"/>
              <w:rPr>
                <w:sz w:val="24"/>
                <w:szCs w:val="24"/>
                <w:color w:val="auto"/>
              </w:rPr>
            </w:pPr>
          </w:p>
        </w:tc>
        <w:tc>
          <w:tcPr>
            <w:tcW w:w="780" w:type="dxa"/>
            <w:vAlign w:val="bottom"/>
            <w:shd w:val="clear" w:color="auto" w:fill="0C3D25"/>
          </w:tcPr>
          <w:p>
            <w:pPr>
              <w:spacing w:after="0"/>
              <w:rPr>
                <w:sz w:val="24"/>
                <w:szCs w:val="24"/>
                <w:color w:val="auto"/>
              </w:rPr>
            </w:pPr>
          </w:p>
        </w:tc>
        <w:tc>
          <w:tcPr>
            <w:tcW w:w="660" w:type="dxa"/>
            <w:vAlign w:val="bottom"/>
            <w:gridSpan w:val="2"/>
            <w:shd w:val="clear" w:color="auto" w:fill="E6E6E6"/>
          </w:tcPr>
          <w:p>
            <w:pPr>
              <w:ind w:left="80"/>
              <w:spacing w:after="0"/>
              <w:rPr>
                <w:sz w:val="20"/>
                <w:szCs w:val="20"/>
                <w:color w:val="auto"/>
              </w:rPr>
            </w:pPr>
            <w:r>
              <w:rPr>
                <w:rFonts w:ascii="Arial" w:cs="Arial" w:eastAsia="Arial" w:hAnsi="Arial"/>
                <w:sz w:val="18"/>
                <w:szCs w:val="18"/>
                <w:b w:val="1"/>
                <w:bCs w:val="1"/>
                <w:color w:val="0C3D25"/>
              </w:rPr>
              <w:t>Risk</w:t>
            </w:r>
          </w:p>
        </w:tc>
        <w:tc>
          <w:tcPr>
            <w:tcW w:w="6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C3D25"/>
          </w:tcPr>
          <w:p>
            <w:pPr>
              <w:spacing w:after="0"/>
              <w:rPr>
                <w:sz w:val="19"/>
                <w:szCs w:val="19"/>
                <w:color w:val="auto"/>
              </w:rPr>
            </w:pPr>
          </w:p>
        </w:tc>
        <w:tc>
          <w:tcPr>
            <w:tcW w:w="1480" w:type="dxa"/>
            <w:vAlign w:val="bottom"/>
            <w:gridSpan w:val="4"/>
            <w:shd w:val="clear" w:color="auto" w:fill="E6E6E6"/>
          </w:tcPr>
          <w:p>
            <w:pPr>
              <w:ind w:left="100"/>
              <w:spacing w:after="0"/>
              <w:rPr>
                <w:sz w:val="20"/>
                <w:szCs w:val="20"/>
                <w:color w:val="auto"/>
              </w:rPr>
            </w:pPr>
            <w:r>
              <w:rPr>
                <w:rFonts w:ascii="Arial" w:cs="Arial" w:eastAsia="Arial" w:hAnsi="Arial"/>
                <w:sz w:val="18"/>
                <w:szCs w:val="18"/>
                <w:b w:val="1"/>
                <w:bCs w:val="1"/>
                <w:color w:val="0C3D25"/>
                <w:w w:val="84"/>
              </w:rPr>
              <w:t>Renewable Energy</w:t>
            </w:r>
          </w:p>
        </w:tc>
        <w:tc>
          <w:tcPr>
            <w:tcW w:w="50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780" w:type="dxa"/>
            <w:vAlign w:val="bottom"/>
            <w:shd w:val="clear" w:color="auto" w:fill="0C3D25"/>
          </w:tcPr>
          <w:p>
            <w:pPr>
              <w:spacing w:after="0"/>
              <w:rPr>
                <w:sz w:val="19"/>
                <w:szCs w:val="19"/>
                <w:color w:val="auto"/>
              </w:rPr>
            </w:pPr>
          </w:p>
        </w:tc>
        <w:tc>
          <w:tcPr>
            <w:tcW w:w="2560" w:type="dxa"/>
            <w:vAlign w:val="bottom"/>
            <w:gridSpan w:val="6"/>
            <w:shd w:val="clear" w:color="auto" w:fill="E6E8DE"/>
          </w:tcPr>
          <w:p>
            <w:pPr>
              <w:ind w:left="80"/>
              <w:spacing w:after="0"/>
              <w:rPr>
                <w:sz w:val="20"/>
                <w:szCs w:val="20"/>
                <w:color w:val="auto"/>
              </w:rPr>
            </w:pPr>
            <w:r>
              <w:rPr>
                <w:rFonts w:ascii="Arial" w:cs="Arial" w:eastAsia="Arial" w:hAnsi="Arial"/>
                <w:sz w:val="18"/>
                <w:szCs w:val="18"/>
                <w:b w:val="1"/>
                <w:bCs w:val="1"/>
                <w:color w:val="0C3D25"/>
              </w:rPr>
              <w:t>Technology/ Cybersecurity</w:t>
            </w:r>
          </w:p>
        </w:tc>
        <w:tc>
          <w:tcPr>
            <w:tcW w:w="780" w:type="dxa"/>
            <w:vAlign w:val="bottom"/>
            <w:shd w:val="clear" w:color="auto" w:fill="0C3D25"/>
          </w:tcPr>
          <w:p>
            <w:pPr>
              <w:spacing w:after="0"/>
              <w:rPr>
                <w:sz w:val="19"/>
                <w:szCs w:val="19"/>
                <w:color w:val="auto"/>
              </w:rPr>
            </w:pPr>
          </w:p>
        </w:tc>
        <w:tc>
          <w:tcPr>
            <w:tcW w:w="134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C3D25"/>
              </w:rPr>
              <w:t>Management</w:t>
            </w:r>
          </w:p>
        </w:tc>
        <w:tc>
          <w:tcPr>
            <w:tcW w:w="5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r>
      <w:tr>
        <w:trPr>
          <w:trHeight w:val="156"/>
        </w:trPr>
        <w:tc>
          <w:tcPr>
            <w:tcW w:w="800" w:type="dxa"/>
            <w:vAlign w:val="bottom"/>
            <w:shd w:val="clear" w:color="auto" w:fill="0C3D25"/>
          </w:tcPr>
          <w:p>
            <w:pPr>
              <w:spacing w:after="0"/>
              <w:rPr>
                <w:sz w:val="13"/>
                <w:szCs w:val="13"/>
                <w:color w:val="auto"/>
              </w:rPr>
            </w:pPr>
          </w:p>
        </w:tc>
        <w:tc>
          <w:tcPr>
            <w:tcW w:w="18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900" w:type="dxa"/>
            <w:vAlign w:val="bottom"/>
            <w:gridSpan w:val="2"/>
            <w:shd w:val="clear" w:color="auto" w:fill="E6E6E6"/>
          </w:tcPr>
          <w:p>
            <w:pPr>
              <w:spacing w:after="0"/>
              <w:rPr>
                <w:sz w:val="13"/>
                <w:szCs w:val="13"/>
                <w:color w:val="auto"/>
              </w:rPr>
            </w:pPr>
          </w:p>
        </w:tc>
        <w:tc>
          <w:tcPr>
            <w:tcW w:w="1080" w:type="dxa"/>
            <w:vAlign w:val="bottom"/>
            <w:gridSpan w:val="2"/>
            <w:shd w:val="clear" w:color="auto" w:fill="E6E6E6"/>
          </w:tcPr>
          <w:p>
            <w:pPr>
              <w:spacing w:after="0"/>
              <w:rPr>
                <w:sz w:val="13"/>
                <w:szCs w:val="13"/>
                <w:color w:val="auto"/>
              </w:rPr>
            </w:pPr>
          </w:p>
        </w:tc>
        <w:tc>
          <w:tcPr>
            <w:tcW w:w="780" w:type="dxa"/>
            <w:vAlign w:val="bottom"/>
            <w:shd w:val="clear" w:color="auto" w:fill="0C3D25"/>
          </w:tcPr>
          <w:p>
            <w:pPr>
              <w:spacing w:after="0"/>
              <w:rPr>
                <w:sz w:val="13"/>
                <w:szCs w:val="13"/>
                <w:color w:val="auto"/>
              </w:rPr>
            </w:pPr>
          </w:p>
        </w:tc>
        <w:tc>
          <w:tcPr>
            <w:tcW w:w="2560" w:type="dxa"/>
            <w:vAlign w:val="bottom"/>
            <w:gridSpan w:val="6"/>
            <w:shd w:val="clear" w:color="auto" w:fill="E6E8DE"/>
          </w:tcPr>
          <w:p>
            <w:pPr>
              <w:spacing w:after="0"/>
              <w:rPr>
                <w:sz w:val="13"/>
                <w:szCs w:val="13"/>
                <w:color w:val="auto"/>
              </w:rPr>
            </w:pPr>
          </w:p>
        </w:tc>
        <w:tc>
          <w:tcPr>
            <w:tcW w:w="780" w:type="dxa"/>
            <w:vAlign w:val="bottom"/>
            <w:shd w:val="clear" w:color="auto" w:fill="0C3D25"/>
          </w:tcPr>
          <w:p>
            <w:pPr>
              <w:spacing w:after="0"/>
              <w:rPr>
                <w:sz w:val="13"/>
                <w:szCs w:val="13"/>
                <w:color w:val="auto"/>
              </w:rPr>
            </w:pPr>
          </w:p>
        </w:tc>
        <w:tc>
          <w:tcPr>
            <w:tcW w:w="2580" w:type="dxa"/>
            <w:vAlign w:val="bottom"/>
            <w:gridSpan w:val="5"/>
            <w:shd w:val="clear" w:color="auto" w:fill="E6E6E6"/>
          </w:tcPr>
          <w:p>
            <w:pPr>
              <w:spacing w:after="0"/>
              <w:rPr>
                <w:sz w:val="13"/>
                <w:szCs w:val="13"/>
                <w:color w:val="auto"/>
              </w:rPr>
            </w:pPr>
          </w:p>
        </w:tc>
      </w:tr>
      <w:tr>
        <w:trPr>
          <w:trHeight w:val="310"/>
        </w:trPr>
        <w:tc>
          <w:tcPr>
            <w:tcW w:w="98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Directors</w:t>
            </w:r>
          </w:p>
        </w:tc>
        <w:tc>
          <w:tcPr>
            <w:tcW w:w="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with</w:t>
            </w:r>
          </w:p>
        </w:tc>
        <w:tc>
          <w:tcPr>
            <w:tcW w:w="90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experience</w:t>
            </w:r>
          </w:p>
        </w:tc>
        <w:tc>
          <w:tcPr>
            <w:tcW w:w="108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overseeing</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Directors with experience in digital and</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Directors  that  have  participated  in</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development,</w:t>
            </w:r>
          </w:p>
        </w:tc>
        <w:tc>
          <w:tcPr>
            <w:tcW w:w="1400" w:type="dxa"/>
            <w:vAlign w:val="bottom"/>
            <w:gridSpan w:val="3"/>
            <w:shd w:val="clear" w:color="auto" w:fill="F2F2F2"/>
          </w:tcPr>
          <w:p>
            <w:pPr>
              <w:ind w:left="100"/>
              <w:spacing w:after="0"/>
              <w:rPr>
                <w:sz w:val="20"/>
                <w:szCs w:val="20"/>
                <w:color w:val="auto"/>
              </w:rPr>
            </w:pPr>
            <w:r>
              <w:rPr>
                <w:rFonts w:ascii="Arial" w:cs="Arial" w:eastAsia="Arial" w:hAnsi="Arial"/>
                <w:sz w:val="16"/>
                <w:szCs w:val="16"/>
                <w:color w:val="auto"/>
              </w:rPr>
              <w:t>implementation</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and</w:t>
            </w:r>
          </w:p>
        </w:tc>
        <w:tc>
          <w:tcPr>
            <w:tcW w:w="1260" w:type="dxa"/>
            <w:vAlign w:val="bottom"/>
            <w:gridSpan w:val="3"/>
            <w:shd w:val="clear" w:color="auto" w:fill="F2F3EE"/>
          </w:tcPr>
          <w:p>
            <w:pPr>
              <w:ind w:left="260"/>
              <w:spacing w:after="0"/>
              <w:rPr>
                <w:sz w:val="20"/>
                <w:szCs w:val="20"/>
                <w:color w:val="auto"/>
              </w:rPr>
            </w:pPr>
            <w:r>
              <w:rPr>
                <w:rFonts w:ascii="Arial" w:cs="Arial" w:eastAsia="Arial" w:hAnsi="Arial"/>
                <w:sz w:val="16"/>
                <w:szCs w:val="16"/>
                <w:color w:val="auto"/>
              </w:rPr>
              <w:t>information</w:t>
            </w:r>
          </w:p>
        </w:tc>
        <w:tc>
          <w:tcPr>
            <w:tcW w:w="1060" w:type="dxa"/>
            <w:vAlign w:val="bottom"/>
            <w:gridSpan w:val="2"/>
            <w:shd w:val="clear" w:color="auto" w:fill="F2F3EE"/>
          </w:tcPr>
          <w:p>
            <w:pPr>
              <w:ind w:left="60"/>
              <w:spacing w:after="0"/>
              <w:rPr>
                <w:sz w:val="20"/>
                <w:szCs w:val="20"/>
                <w:color w:val="auto"/>
              </w:rPr>
            </w:pPr>
            <w:r>
              <w:rPr>
                <w:rFonts w:ascii="Arial" w:cs="Arial" w:eastAsia="Arial" w:hAnsi="Arial"/>
                <w:sz w:val="16"/>
                <w:szCs w:val="16"/>
                <w:color w:val="auto"/>
              </w:rPr>
              <w:t>technology</w:t>
            </w:r>
          </w:p>
        </w:tc>
        <w:tc>
          <w:tcPr>
            <w:tcW w:w="1020" w:type="dxa"/>
            <w:vAlign w:val="bottom"/>
            <w:gridSpan w:val="2"/>
            <w:shd w:val="clear" w:color="auto" w:fill="F2F3EE"/>
          </w:tcPr>
          <w:p>
            <w:pPr>
              <w:jc w:val="right"/>
              <w:ind w:right="180"/>
              <w:spacing w:after="0"/>
              <w:rPr>
                <w:sz w:val="20"/>
                <w:szCs w:val="20"/>
                <w:color w:val="auto"/>
              </w:rPr>
            </w:pPr>
            <w:r>
              <w:rPr>
                <w:rFonts w:ascii="Arial" w:cs="Arial" w:eastAsia="Arial" w:hAnsi="Arial"/>
                <w:sz w:val="16"/>
                <w:szCs w:val="16"/>
                <w:color w:val="auto"/>
              </w:rPr>
              <w:t>leadership</w:t>
            </w:r>
          </w:p>
        </w:tc>
        <w:tc>
          <w:tcPr>
            <w:tcW w:w="144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development,</w:t>
            </w:r>
          </w:p>
        </w:tc>
        <w:tc>
          <w:tcPr>
            <w:tcW w:w="120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w w:val="99"/>
              </w:rPr>
              <w:t>implementation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and</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assessment of sustainability strategies,</w:t>
            </w:r>
          </w:p>
        </w:tc>
        <w:tc>
          <w:tcPr>
            <w:tcW w:w="98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provide</w:t>
            </w:r>
          </w:p>
        </w:tc>
        <w:tc>
          <w:tcPr>
            <w:tcW w:w="820" w:type="dxa"/>
            <w:vAlign w:val="bottom"/>
            <w:gridSpan w:val="2"/>
            <w:shd w:val="clear" w:color="auto" w:fill="F2F3EE"/>
          </w:tcPr>
          <w:p>
            <w:pPr>
              <w:ind w:left="20"/>
              <w:spacing w:after="0"/>
              <w:rPr>
                <w:sz w:val="20"/>
                <w:szCs w:val="20"/>
                <w:color w:val="auto"/>
              </w:rPr>
            </w:pPr>
            <w:r>
              <w:rPr>
                <w:rFonts w:ascii="Arial" w:cs="Arial" w:eastAsia="Arial" w:hAnsi="Arial"/>
                <w:sz w:val="16"/>
                <w:szCs w:val="16"/>
                <w:color w:val="auto"/>
              </w:rPr>
              <w:t>valuable</w:t>
            </w:r>
          </w:p>
        </w:tc>
        <w:tc>
          <w:tcPr>
            <w:tcW w:w="1540" w:type="dxa"/>
            <w:vAlign w:val="bottom"/>
            <w:gridSpan w:val="3"/>
            <w:shd w:val="clear" w:color="auto" w:fill="F2F3EE"/>
          </w:tcPr>
          <w:p>
            <w:pPr>
              <w:jc w:val="right"/>
              <w:ind w:right="180"/>
              <w:spacing w:after="0"/>
              <w:rPr>
                <w:sz w:val="20"/>
                <w:szCs w:val="20"/>
                <w:color w:val="auto"/>
              </w:rPr>
            </w:pPr>
            <w:r>
              <w:rPr>
                <w:rFonts w:ascii="Arial" w:cs="Arial" w:eastAsia="Arial" w:hAnsi="Arial"/>
                <w:sz w:val="16"/>
                <w:szCs w:val="16"/>
                <w:color w:val="auto"/>
              </w:rPr>
              <w:t>perspectives   on</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evaluation</w:t>
            </w:r>
          </w:p>
        </w:tc>
        <w:tc>
          <w:tcPr>
            <w:tcW w:w="44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rPr>
              <w:t>of</w:t>
            </w:r>
          </w:p>
        </w:tc>
        <w:tc>
          <w:tcPr>
            <w:tcW w:w="120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rPr>
              <w:t>sophisticated</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risk</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and risks and opportunities related to</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technology innovation, digital solutions,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management  programs  are  critical  in</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sustainability</w:t>
            </w:r>
          </w:p>
        </w:tc>
        <w:tc>
          <w:tcPr>
            <w:tcW w:w="40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7"/>
              </w:rPr>
              <w:t>and</w:t>
            </w:r>
          </w:p>
        </w:tc>
        <w:tc>
          <w:tcPr>
            <w:tcW w:w="100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provision</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of</w:t>
            </w:r>
          </w:p>
        </w:tc>
        <w:tc>
          <w:tcPr>
            <w:tcW w:w="98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w w:val="97"/>
              </w:rPr>
              <w:t>innovative</w:t>
            </w:r>
          </w:p>
        </w:tc>
        <w:tc>
          <w:tcPr>
            <w:tcW w:w="820" w:type="dxa"/>
            <w:vAlign w:val="bottom"/>
            <w:gridSpan w:val="2"/>
            <w:shd w:val="clear" w:color="auto" w:fill="F2F3EE"/>
          </w:tcPr>
          <w:p>
            <w:pPr>
              <w:ind w:left="200"/>
              <w:spacing w:after="0"/>
              <w:rPr>
                <w:sz w:val="20"/>
                <w:szCs w:val="20"/>
                <w:color w:val="auto"/>
              </w:rPr>
            </w:pPr>
            <w:r>
              <w:rPr>
                <w:rFonts w:ascii="Arial" w:cs="Arial" w:eastAsia="Arial" w:hAnsi="Arial"/>
                <w:sz w:val="16"/>
                <w:szCs w:val="16"/>
                <w:color w:val="auto"/>
                <w:w w:val="94"/>
              </w:rPr>
              <w:t>business</w:t>
            </w:r>
          </w:p>
        </w:tc>
        <w:tc>
          <w:tcPr>
            <w:tcW w:w="820" w:type="dxa"/>
            <w:vAlign w:val="bottom"/>
            <w:gridSpan w:val="2"/>
            <w:shd w:val="clear" w:color="auto" w:fill="F2F3EE"/>
          </w:tcPr>
          <w:p>
            <w:pPr>
              <w:ind w:left="220"/>
              <w:spacing w:after="0"/>
              <w:rPr>
                <w:sz w:val="20"/>
                <w:szCs w:val="20"/>
                <w:color w:val="auto"/>
              </w:rPr>
            </w:pPr>
            <w:r>
              <w:rPr>
                <w:rFonts w:ascii="Arial" w:cs="Arial" w:eastAsia="Arial" w:hAnsi="Arial"/>
                <w:sz w:val="16"/>
                <w:szCs w:val="16"/>
                <w:color w:val="auto"/>
              </w:rPr>
              <w:t>models,</w:t>
            </w:r>
          </w:p>
        </w:tc>
        <w:tc>
          <w:tcPr>
            <w:tcW w:w="720" w:type="dxa"/>
            <w:vAlign w:val="bottom"/>
            <w:shd w:val="clear" w:color="auto" w:fill="F2F3EE"/>
          </w:tcPr>
          <w:p>
            <w:pPr>
              <w:jc w:val="right"/>
              <w:ind w:right="180"/>
              <w:spacing w:after="0"/>
              <w:rPr>
                <w:sz w:val="20"/>
                <w:szCs w:val="20"/>
                <w:color w:val="auto"/>
              </w:rPr>
            </w:pPr>
            <w:r>
              <w:rPr>
                <w:rFonts w:ascii="Arial" w:cs="Arial" w:eastAsia="Arial" w:hAnsi="Arial"/>
                <w:sz w:val="16"/>
                <w:szCs w:val="16"/>
                <w:color w:val="auto"/>
              </w:rPr>
              <w:t>data</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helping</w:t>
            </w:r>
          </w:p>
        </w:tc>
        <w:tc>
          <w:tcPr>
            <w:tcW w:w="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our</w:t>
            </w:r>
          </w:p>
        </w:tc>
        <w:tc>
          <w:tcPr>
            <w:tcW w:w="680" w:type="dxa"/>
            <w:vAlign w:val="bottom"/>
            <w:shd w:val="clear" w:color="auto" w:fill="F2F2F2"/>
          </w:tcPr>
          <w:p>
            <w:pPr>
              <w:ind w:left="120"/>
              <w:spacing w:after="0"/>
              <w:rPr>
                <w:sz w:val="20"/>
                <w:szCs w:val="20"/>
                <w:color w:val="auto"/>
              </w:rPr>
            </w:pPr>
            <w:r>
              <w:rPr>
                <w:rFonts w:ascii="Arial" w:cs="Arial" w:eastAsia="Arial" w:hAnsi="Arial"/>
                <w:sz w:val="16"/>
                <w:szCs w:val="16"/>
                <w:color w:val="auto"/>
              </w:rPr>
              <w:t>Board</w:t>
            </w:r>
          </w:p>
        </w:tc>
        <w:tc>
          <w:tcPr>
            <w:tcW w:w="5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fulfill</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its</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environmental</w:t>
            </w:r>
          </w:p>
        </w:tc>
        <w:tc>
          <w:tcPr>
            <w:tcW w:w="1400" w:type="dxa"/>
            <w:vAlign w:val="bottom"/>
            <w:gridSpan w:val="3"/>
            <w:shd w:val="clear" w:color="auto" w:fill="F2F2F2"/>
          </w:tcPr>
          <w:p>
            <w:pPr>
              <w:ind w:left="60"/>
              <w:spacing w:after="0"/>
              <w:rPr>
                <w:sz w:val="20"/>
                <w:szCs w:val="20"/>
                <w:color w:val="auto"/>
              </w:rPr>
            </w:pPr>
            <w:r>
              <w:rPr>
                <w:rFonts w:ascii="Arial" w:cs="Arial" w:eastAsia="Arial" w:hAnsi="Arial"/>
                <w:sz w:val="16"/>
                <w:szCs w:val="16"/>
                <w:color w:val="auto"/>
              </w:rPr>
              <w:t>services,  support</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the</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analytics,   e-commerce   applications,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responsibilities  with  respect  to  risk</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Company’s  ability  to  deliver  on  its</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marketing strategy and cyber risks. These</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oversight</w:t>
            </w:r>
          </w:p>
        </w:tc>
        <w:tc>
          <w:tcPr>
            <w:tcW w:w="44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89"/>
              </w:rPr>
              <w:t>and</w:t>
            </w:r>
          </w:p>
        </w:tc>
        <w:tc>
          <w:tcPr>
            <w:tcW w:w="120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mitigation.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w w:val="94"/>
              </w:rPr>
              <w:t>These</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sustainability growth strategy, goals and</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individuals are particularly engaged in</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individuals have experience in effectively</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commitments.</w:t>
            </w:r>
          </w:p>
        </w:tc>
        <w:tc>
          <w:tcPr>
            <w:tcW w:w="900" w:type="dxa"/>
            <w:vAlign w:val="bottom"/>
            <w:gridSpan w:val="2"/>
            <w:shd w:val="clear" w:color="auto" w:fill="F2F2F2"/>
          </w:tcPr>
          <w:p>
            <w:pPr>
              <w:ind w:left="220"/>
              <w:spacing w:after="0"/>
              <w:rPr>
                <w:sz w:val="20"/>
                <w:szCs w:val="20"/>
                <w:color w:val="auto"/>
              </w:rPr>
            </w:pPr>
            <w:r>
              <w:rPr>
                <w:rFonts w:ascii="Arial" w:cs="Arial" w:eastAsia="Arial" w:hAnsi="Arial"/>
                <w:sz w:val="16"/>
                <w:szCs w:val="16"/>
                <w:color w:val="auto"/>
              </w:rPr>
              <w:t>These</w:t>
            </w:r>
          </w:p>
        </w:tc>
        <w:tc>
          <w:tcPr>
            <w:tcW w:w="108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individuals</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our Board’s oversight of the Company’s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identifying, prioritizing and managing a</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understand  the  importance  of  linking</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comprehensive information security and</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broad   spectrum   of   complex   and</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sustainability and renewable energy to</w:t>
            </w:r>
          </w:p>
        </w:tc>
        <w:tc>
          <w:tcPr>
            <w:tcW w:w="1260" w:type="dxa"/>
            <w:vAlign w:val="bottom"/>
            <w:gridSpan w:val="3"/>
            <w:shd w:val="clear" w:color="auto" w:fill="F2F3EE"/>
          </w:tcPr>
          <w:p>
            <w:pPr>
              <w:ind w:left="260"/>
              <w:spacing w:after="0"/>
              <w:rPr>
                <w:sz w:val="20"/>
                <w:szCs w:val="20"/>
                <w:color w:val="auto"/>
              </w:rPr>
            </w:pPr>
            <w:r>
              <w:rPr>
                <w:rFonts w:ascii="Arial" w:cs="Arial" w:eastAsia="Arial" w:hAnsi="Arial"/>
                <w:sz w:val="16"/>
                <w:szCs w:val="16"/>
                <w:color w:val="auto"/>
              </w:rPr>
              <w:t>cybersecurity</w:t>
            </w:r>
          </w:p>
        </w:tc>
        <w:tc>
          <w:tcPr>
            <w:tcW w:w="1060" w:type="dxa"/>
            <w:vAlign w:val="bottom"/>
            <w:gridSpan w:val="2"/>
            <w:shd w:val="clear" w:color="auto" w:fill="F2F3EE"/>
          </w:tcPr>
          <w:p>
            <w:pPr>
              <w:ind w:left="320"/>
              <w:spacing w:after="0"/>
              <w:rPr>
                <w:sz w:val="20"/>
                <w:szCs w:val="20"/>
                <w:color w:val="auto"/>
              </w:rPr>
            </w:pPr>
            <w:r>
              <w:rPr>
                <w:rFonts w:ascii="Arial" w:cs="Arial" w:eastAsia="Arial" w:hAnsi="Arial"/>
                <w:sz w:val="16"/>
                <w:szCs w:val="16"/>
                <w:color w:val="auto"/>
                <w:w w:val="99"/>
              </w:rPr>
              <w:t>programs.</w:t>
            </w: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jc w:val="right"/>
              <w:ind w:right="180"/>
              <w:spacing w:after="0"/>
              <w:rPr>
                <w:sz w:val="20"/>
                <w:szCs w:val="20"/>
                <w:color w:val="auto"/>
              </w:rPr>
            </w:pPr>
            <w:r>
              <w:rPr>
                <w:rFonts w:ascii="Arial" w:cs="Arial" w:eastAsia="Arial" w:hAnsi="Arial"/>
                <w:sz w:val="16"/>
                <w:szCs w:val="16"/>
                <w:color w:val="auto"/>
                <w:w w:val="98"/>
              </w:rPr>
              <w:t>These</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significant risks facing a large public</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the creation of long-term stockholder</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individuals also bring knowledge of use of</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company.</w:t>
            </w: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value,  while  also  operating  in  an</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technology  to  further  the  Company’s</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environmentally sound and responsible</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strategy to enhance customer experience</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98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manner.</w:t>
            </w:r>
          </w:p>
        </w:tc>
        <w:tc>
          <w:tcPr>
            <w:tcW w:w="800" w:type="dxa"/>
            <w:vAlign w:val="bottom"/>
            <w:gridSpan w:val="2"/>
            <w:shd w:val="clear" w:color="auto" w:fill="F2F2F2"/>
          </w:tcPr>
          <w:p>
            <w:pPr>
              <w:ind w:left="140"/>
              <w:spacing w:after="0"/>
              <w:rPr>
                <w:sz w:val="20"/>
                <w:szCs w:val="20"/>
                <w:color w:val="auto"/>
              </w:rPr>
            </w:pPr>
            <w:r>
              <w:rPr>
                <w:rFonts w:ascii="Arial" w:cs="Arial" w:eastAsia="Arial" w:hAnsi="Arial"/>
                <w:sz w:val="16"/>
                <w:szCs w:val="16"/>
                <w:color w:val="auto"/>
              </w:rPr>
              <w:t>These</w:t>
            </w:r>
          </w:p>
        </w:tc>
        <w:tc>
          <w:tcPr>
            <w:tcW w:w="100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individuals</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also</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and  reduce  costs  and  labor  intensity</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understand the regulatory environment in</w:t>
            </w:r>
          </w:p>
        </w:tc>
        <w:tc>
          <w:tcPr>
            <w:tcW w:w="1800" w:type="dxa"/>
            <w:vAlign w:val="bottom"/>
            <w:gridSpan w:val="4"/>
            <w:shd w:val="clear" w:color="auto" w:fill="F2F3EE"/>
          </w:tcPr>
          <w:p>
            <w:pPr>
              <w:ind w:left="260"/>
              <w:spacing w:after="0"/>
              <w:rPr>
                <w:sz w:val="20"/>
                <w:szCs w:val="20"/>
                <w:color w:val="auto"/>
              </w:rPr>
            </w:pPr>
            <w:r>
              <w:rPr>
                <w:rFonts w:ascii="Arial" w:cs="Arial" w:eastAsia="Arial" w:hAnsi="Arial"/>
                <w:sz w:val="16"/>
                <w:szCs w:val="16"/>
                <w:color w:val="auto"/>
              </w:rPr>
              <w:t>through automation.</w:t>
            </w: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which the Company operates and the</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connection of sustainability and corporate</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responsibility  to  the  Company’s  long-</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standing commitment to environmental</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stewardship.</w:t>
            </w:r>
          </w:p>
        </w:tc>
        <w:tc>
          <w:tcPr>
            <w:tcW w:w="40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21"/>
        </w:trPr>
        <w:tc>
          <w:tcPr>
            <w:tcW w:w="8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400" w:type="dxa"/>
            <w:vAlign w:val="bottom"/>
            <w:shd w:val="clear" w:color="auto" w:fill="F2F2F2"/>
          </w:tcPr>
          <w:p>
            <w:pPr>
              <w:spacing w:after="0"/>
              <w:rPr>
                <w:sz w:val="10"/>
                <w:szCs w:val="10"/>
                <w:color w:val="auto"/>
              </w:rPr>
            </w:pPr>
          </w:p>
        </w:tc>
        <w:tc>
          <w:tcPr>
            <w:tcW w:w="4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80" w:type="dxa"/>
            <w:vAlign w:val="bottom"/>
            <w:shd w:val="clear" w:color="auto" w:fill="F2F2F2"/>
          </w:tcPr>
          <w:p>
            <w:pPr>
              <w:spacing w:after="0"/>
              <w:rPr>
                <w:sz w:val="10"/>
                <w:szCs w:val="10"/>
                <w:color w:val="auto"/>
              </w:rPr>
            </w:pPr>
          </w:p>
        </w:tc>
        <w:tc>
          <w:tcPr>
            <w:tcW w:w="780" w:type="dxa"/>
            <w:vAlign w:val="bottom"/>
            <w:shd w:val="clear" w:color="auto" w:fill="F2F3EE"/>
          </w:tcPr>
          <w:p>
            <w:pPr>
              <w:spacing w:after="0"/>
              <w:rPr>
                <w:sz w:val="10"/>
                <w:szCs w:val="10"/>
                <w:color w:val="auto"/>
              </w:rPr>
            </w:pPr>
          </w:p>
        </w:tc>
        <w:tc>
          <w:tcPr>
            <w:tcW w:w="200" w:type="dxa"/>
            <w:vAlign w:val="bottom"/>
            <w:shd w:val="clear" w:color="auto" w:fill="F2F3EE"/>
          </w:tcPr>
          <w:p>
            <w:pPr>
              <w:spacing w:after="0"/>
              <w:rPr>
                <w:sz w:val="10"/>
                <w:szCs w:val="10"/>
                <w:color w:val="auto"/>
              </w:rPr>
            </w:pPr>
          </w:p>
        </w:tc>
        <w:tc>
          <w:tcPr>
            <w:tcW w:w="280" w:type="dxa"/>
            <w:vAlign w:val="bottom"/>
            <w:shd w:val="clear" w:color="auto" w:fill="F2F3EE"/>
          </w:tcPr>
          <w:p>
            <w:pPr>
              <w:spacing w:after="0"/>
              <w:rPr>
                <w:sz w:val="10"/>
                <w:szCs w:val="10"/>
                <w:color w:val="auto"/>
              </w:rPr>
            </w:pPr>
          </w:p>
        </w:tc>
        <w:tc>
          <w:tcPr>
            <w:tcW w:w="540" w:type="dxa"/>
            <w:vAlign w:val="bottom"/>
            <w:shd w:val="clear" w:color="auto" w:fill="F2F3EE"/>
          </w:tcPr>
          <w:p>
            <w:pPr>
              <w:spacing w:after="0"/>
              <w:rPr>
                <w:sz w:val="10"/>
                <w:szCs w:val="10"/>
                <w:color w:val="auto"/>
              </w:rPr>
            </w:pPr>
          </w:p>
        </w:tc>
        <w:tc>
          <w:tcPr>
            <w:tcW w:w="520" w:type="dxa"/>
            <w:vAlign w:val="bottom"/>
            <w:shd w:val="clear" w:color="auto" w:fill="F2F3EE"/>
          </w:tcPr>
          <w:p>
            <w:pPr>
              <w:spacing w:after="0"/>
              <w:rPr>
                <w:sz w:val="10"/>
                <w:szCs w:val="10"/>
                <w:color w:val="auto"/>
              </w:rPr>
            </w:pPr>
          </w:p>
        </w:tc>
        <w:tc>
          <w:tcPr>
            <w:tcW w:w="300" w:type="dxa"/>
            <w:vAlign w:val="bottom"/>
            <w:shd w:val="clear" w:color="auto" w:fill="F2F3EE"/>
          </w:tcPr>
          <w:p>
            <w:pPr>
              <w:spacing w:after="0"/>
              <w:rPr>
                <w:sz w:val="10"/>
                <w:szCs w:val="10"/>
                <w:color w:val="auto"/>
              </w:rPr>
            </w:pPr>
          </w:p>
        </w:tc>
        <w:tc>
          <w:tcPr>
            <w:tcW w:w="720" w:type="dxa"/>
            <w:vAlign w:val="bottom"/>
            <w:shd w:val="clear" w:color="auto" w:fill="F2F3EE"/>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680" w:type="dxa"/>
            <w:vAlign w:val="bottom"/>
            <w:shd w:val="clear" w:color="auto" w:fill="F2F2F2"/>
          </w:tcPr>
          <w:p>
            <w:pPr>
              <w:spacing w:after="0"/>
              <w:rPr>
                <w:sz w:val="10"/>
                <w:szCs w:val="10"/>
                <w:color w:val="auto"/>
              </w:rPr>
            </w:pPr>
          </w:p>
        </w:tc>
        <w:tc>
          <w:tcPr>
            <w:tcW w:w="5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-3065145</wp:posOffset>
            </wp:positionV>
            <wp:extent cx="262255" cy="262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5">
                      <a:extLst>
                        <a:ext uri="{28A0092B-C50C-407E-A947-70E740481C1C}"/>
                      </a:extLst>
                    </a:blip>
                    <a:srcRect/>
                    <a:stretch>
                      <a:fillRect/>
                    </a:stretch>
                  </pic:blipFill>
                  <pic:spPr bwMode="auto">
                    <a:xfrm>
                      <a:off x="0" y="0"/>
                      <a:ext cx="262255" cy="26225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-3072765</wp:posOffset>
            </wp:positionV>
            <wp:extent cx="248920" cy="276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6">
                      <a:extLst>
                        <a:ext uri="{28A0092B-C50C-407E-A947-70E740481C1C}"/>
                      </a:extLst>
                    </a:blip>
                    <a:srcRect/>
                    <a:stretch>
                      <a:fillRect/>
                    </a:stretch>
                  </pic:blipFill>
                  <pic:spPr bwMode="auto">
                    <a:xfrm>
                      <a:off x="0" y="0"/>
                      <a:ext cx="248920" cy="276225"/>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-3048000</wp:posOffset>
            </wp:positionV>
            <wp:extent cx="213995" cy="226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7">
                      <a:extLst>
                        <a:ext uri="{28A0092B-C50C-407E-A947-70E740481C1C}"/>
                      </a:extLst>
                    </a:blip>
                    <a:srcRect/>
                    <a:stretch>
                      <a:fillRect/>
                    </a:stretch>
                  </pic:blipFill>
                  <pic:spPr bwMode="auto">
                    <a:xfrm>
                      <a:off x="0" y="0"/>
                      <a:ext cx="213995" cy="22606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4" w:name="page25"/>
    <w:bookmarkEnd w:id="24"/>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T</w:t>
      </w:r>
      <w:r>
        <w:rPr>
          <w:rFonts w:ascii="Arial" w:cs="Arial" w:eastAsia="Arial" w:hAnsi="Arial"/>
          <w:sz w:val="15"/>
          <w:szCs w:val="15"/>
          <w:b w:val="1"/>
          <w:bCs w:val="1"/>
          <w:color w:val="FFFFFF"/>
        </w:rPr>
        <w:t>HOMAS</w:t>
      </w:r>
      <w:r>
        <w:rPr>
          <w:rFonts w:ascii="Arial" w:cs="Arial" w:eastAsia="Arial" w:hAnsi="Arial"/>
          <w:sz w:val="25"/>
          <w:szCs w:val="25"/>
          <w:b w:val="1"/>
          <w:bCs w:val="1"/>
          <w:color w:val="FFFFFF"/>
        </w:rPr>
        <w:t xml:space="preserve"> L. B</w:t>
      </w:r>
      <w:r>
        <w:rPr>
          <w:rFonts w:ascii="Arial" w:cs="Arial" w:eastAsia="Arial" w:hAnsi="Arial"/>
          <w:sz w:val="15"/>
          <w:szCs w:val="15"/>
          <w:b w:val="1"/>
          <w:bCs w:val="1"/>
          <w:color w:val="FFFFFF"/>
        </w:rPr>
        <w:t>ENÉ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0">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March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C3D25"/>
        </w:rPr>
        <w:t>Board Committee:</w:t>
      </w:r>
    </w:p>
    <w:p>
      <w:pPr>
        <w:spacing w:after="0" w:line="25"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Management Development &amp; Compensation</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-1219835</wp:posOffset>
                </wp:positionH>
                <wp:positionV relativeFrom="paragraph">
                  <wp:posOffset>210185</wp:posOffset>
                </wp:positionV>
                <wp:extent cx="6386195" cy="266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09" o:spid="_x0000_s1134" style="position:absolute;margin-left:-96.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mc:AlternateContent>
          <mc:Choice Requires="wps">
            <w:drawing>
              <wp:anchor simplePos="0" relativeHeight="251657728" behindDoc="1" locked="0" layoutInCell="0" allowOverlap="1">
                <wp:simplePos x="0" y="0"/>
                <wp:positionH relativeFrom="column">
                  <wp:posOffset>-79375</wp:posOffset>
                </wp:positionH>
                <wp:positionV relativeFrom="paragraph">
                  <wp:posOffset>476250</wp:posOffset>
                </wp:positionV>
                <wp:extent cx="0" cy="484060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40605"/>
                        </a:xfrm>
                        <a:prstGeom prst="line">
                          <a:avLst/>
                        </a:prstGeom>
                        <a:solidFill>
                          <a:srgbClr val="FFFFFF"/>
                        </a:solidFill>
                        <a:ln w="6337">
                          <a:solidFill>
                            <a:srgbClr val="0C3D25"/>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37.5pt" to="-6.2499pt,418.65pt" o:allowincell="f" strokecolor="#0C3D25" strokeweight="0.499pt"/>
            </w:pict>
          </mc:Fallback>
        </mc:AlternateContent>
        <mc:AlternateContent>
          <mc:Choice Requires="wps">
            <w:drawing>
              <wp:anchor simplePos="0" relativeHeight="251657728" behindDoc="1" locked="0" layoutInCell="0" allowOverlap="1">
                <wp:simplePos x="0" y="0"/>
                <wp:positionH relativeFrom="column">
                  <wp:posOffset>-1219835</wp:posOffset>
                </wp:positionH>
                <wp:positionV relativeFrom="paragraph">
                  <wp:posOffset>-112395</wp:posOffset>
                </wp:positionV>
                <wp:extent cx="638556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0499pt,-8.8499pt" to="406.75pt,-8.8499pt" o:allowincell="f" strokecolor="#0C3D25"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President and Chief Executive Officer — Breakthru Beverage Group, LLC (private beverage wholesale distributor) since October 2021.</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National Restaurant Association, served from 2020 to September 2021.</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Sysco Corporation (multinational wholesale restaurant distributor), served from 2018 to 2020.</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Sysco Corporation from 2018 to 2020.</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Tom Bené has four decades of experience executing on strategic business priorities and delivering financial growth for large companies. Since 2021, he has served as President and Chief Executive Officer of Breakthru Beverage Group, where he is focused on leading the company through a period of growth and expansion by driving new capabilities and innovation. Prior to his current role, he held several operations and business leadership roles at Sysco Corporation, including serving as President, Chief Executive Officer, and Chairman. Before joining Sysco in 2013, Mr. Bené spent over 20 years at PepsiCo in numerous roles of increasing responsibility and scale.</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has a proven track record of driving growth and modernizing business models throughout his career. Through his prior operations and management positions, Mr. Bené has gained valuable insight and knowledge in the areas of leadership and management development, corporate strategy development, merchandising, sales, marketing, revenue management, shared services and distribution and supply chain management.</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shares his deep experience in logistics, as well as his focus on differentiation through the use of technology and providing outstanding customer service, to further our Company’s growth and optimization strategy. In addition, his dedication to employee development complements the Company’s People First commitment.</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holds a bachelor of science degree in business administration from the University of Kansas.</w:t>
      </w:r>
    </w:p>
    <w:p>
      <w:pPr>
        <w:spacing w:after="0" w:line="200" w:lineRule="exact"/>
        <w:rPr>
          <w:sz w:val="20"/>
          <w:szCs w:val="20"/>
          <w:color w:val="auto"/>
        </w:rPr>
      </w:pPr>
    </w:p>
    <w:p>
      <w:pPr>
        <w:sectPr>
          <w:pgSz w:w="11880" w:h="15480" w:orient="portrait"/>
          <w:cols w:equalWidth="0" w:num="2">
            <w:col w:w="1600" w:space="320"/>
            <w:col w:w="814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14" o:spid="_x0000_s1139"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B</w:t>
      </w:r>
      <w:r>
        <w:rPr>
          <w:rFonts w:ascii="Arial" w:cs="Arial" w:eastAsia="Arial" w:hAnsi="Arial"/>
          <w:sz w:val="15"/>
          <w:szCs w:val="15"/>
          <w:b w:val="1"/>
          <w:bCs w:val="1"/>
          <w:color w:val="FFFFFF"/>
        </w:rPr>
        <w:t>RUCE</w:t>
      </w:r>
      <w:r>
        <w:rPr>
          <w:rFonts w:ascii="Arial" w:cs="Arial" w:eastAsia="Arial" w:hAnsi="Arial"/>
          <w:sz w:val="25"/>
          <w:szCs w:val="25"/>
          <w:b w:val="1"/>
          <w:bCs w:val="1"/>
          <w:color w:val="FFFFFF"/>
        </w:rPr>
        <w:t xml:space="preserve"> E. C</w:t>
      </w:r>
      <w:r>
        <w:rPr>
          <w:rFonts w:ascii="Arial" w:cs="Arial" w:eastAsia="Arial" w:hAnsi="Arial"/>
          <w:sz w:val="15"/>
          <w:szCs w:val="15"/>
          <w:b w:val="1"/>
          <w:bCs w:val="1"/>
          <w:color w:val="FFFFFF"/>
        </w:rPr>
        <w:t>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February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C3D25"/>
        </w:rPr>
        <w:t>Board Committee:</w:t>
      </w:r>
    </w:p>
    <w:p>
      <w:pPr>
        <w:spacing w:after="0" w:line="234" w:lineRule="auto"/>
        <w:rPr>
          <w:sz w:val="20"/>
          <w:szCs w:val="20"/>
          <w:color w:val="auto"/>
        </w:rPr>
      </w:pPr>
      <w:r>
        <w:rPr>
          <w:rFonts w:ascii="Arial" w:cs="Arial" w:eastAsia="Arial" w:hAnsi="Arial"/>
          <w:sz w:val="20"/>
          <w:szCs w:val="20"/>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wp:posOffset>
                </wp:positionH>
                <wp:positionV relativeFrom="paragraph">
                  <wp:posOffset>-230505</wp:posOffset>
                </wp:positionV>
                <wp:extent cx="0" cy="506793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67935"/>
                        </a:xfrm>
                        <a:prstGeom prst="line">
                          <a:avLst/>
                        </a:prstGeom>
                        <a:solidFill>
                          <a:srgbClr val="FFFFFF"/>
                        </a:solidFill>
                        <a:ln w="6337">
                          <a:solidFill>
                            <a:srgbClr val="0C3D25"/>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18.1499pt" to="-6.2499pt,380.9pt" o:allowincell="f" strokecolor="#0C3D25" strokeweight="0.499pt"/>
            </w:pict>
          </mc:Fallback>
        </mc:AlternateConten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President and Chief Executive Officer — Chevron Phillips Chemical Company LLC, or CPChem, (global petrochemical joint venture of Chevron USA Inc. and Philips 66 Company), served from April 2021 to March 2024; has continued serving as Executive Advisor and Consultant to CPChem since March 2024.</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Director of CPChem from 2020 to March 2024.</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Also served as President, Chemicals for Chevron Corporation (multinational energy corporation) from 2020 to March 2021 and President, Chevron Oronite (global lubricant and fuel additives business) for Chevron Corporation from 2018 to 2020.</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Celanese Corporation since September 2024.</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Before his retirement in 2024 from the positions of President, Chief Executive Officer and a Director of CPChem, Bruce Chinn focused on leading the company through a period of sustainable growth. Mr. Chinn has over 40 years of experience driving operational, safety, and financial results. Previously,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Mr. Chinn serves as a board director for the Texas A&amp;M University Association of Former Students.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Chinn holds a bachelor of science degree in chemical engineering from Texas A&amp;M University.</w:t>
      </w:r>
    </w:p>
    <w:p>
      <w:pPr>
        <w:spacing w:after="0" w:line="200" w:lineRule="exact"/>
        <w:rPr>
          <w:sz w:val="20"/>
          <w:szCs w:val="20"/>
          <w:color w:val="auto"/>
        </w:rPr>
      </w:pPr>
    </w:p>
    <w:p>
      <w:pPr>
        <w:sectPr>
          <w:pgSz w:w="11880" w:h="15480" w:orient="portrait"/>
          <w:cols w:equalWidth="0" w:num="2">
            <w:col w:w="1580" w:space="34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6" w:name="page27"/>
    <w:bookmarkEnd w:id="26"/>
    <w:p>
      <w:pPr>
        <w:ind w:left="80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20" o:spid="_x0000_s1145"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J</w:t>
      </w:r>
      <w:r>
        <w:rPr>
          <w:rFonts w:ascii="Arial" w:cs="Arial" w:eastAsia="Arial" w:hAnsi="Arial"/>
          <w:sz w:val="15"/>
          <w:szCs w:val="15"/>
          <w:b w:val="1"/>
          <w:bCs w:val="1"/>
          <w:color w:val="FFFFFF"/>
        </w:rPr>
        <w:t>AMES</w:t>
      </w:r>
      <w:r>
        <w:rPr>
          <w:rFonts w:ascii="Arial" w:cs="Arial" w:eastAsia="Arial" w:hAnsi="Arial"/>
          <w:sz w:val="25"/>
          <w:szCs w:val="25"/>
          <w:b w:val="1"/>
          <w:bCs w:val="1"/>
          <w:color w:val="FFFFFF"/>
        </w:rPr>
        <w:t xml:space="preserve"> C. F</w:t>
      </w:r>
      <w:r>
        <w:rPr>
          <w:rFonts w:ascii="Arial" w:cs="Arial" w:eastAsia="Arial" w:hAnsi="Arial"/>
          <w:sz w:val="15"/>
          <w:szCs w:val="15"/>
          <w:b w:val="1"/>
          <w:bCs w:val="1"/>
          <w:color w:val="FFFFFF"/>
        </w:rPr>
        <w:t>ISH</w:t>
      </w:r>
      <w:r>
        <w:rPr>
          <w:rFonts w:ascii="Arial" w:cs="Arial" w:eastAsia="Arial" w:hAnsi="Arial"/>
          <w:sz w:val="25"/>
          <w:szCs w:val="25"/>
          <w:b w:val="1"/>
          <w:bCs w:val="1"/>
          <w:color w:val="FFFFFF"/>
        </w:rPr>
        <w:t>, J</w:t>
      </w:r>
      <w:r>
        <w:rPr>
          <w:rFonts w:ascii="Arial" w:cs="Arial" w:eastAsia="Arial" w:hAnsi="Arial"/>
          <w:sz w:val="15"/>
          <w:szCs w:val="15"/>
          <w:b w:val="1"/>
          <w:bCs w:val="1"/>
          <w:color w:val="FFFFFF"/>
        </w:rPr>
        <w:t>R</w:t>
      </w:r>
      <w:r>
        <w:rPr>
          <w:rFonts w:ascii="Arial" w:cs="Arial" w:eastAsia="Arial" w:hAnsi="Arial"/>
          <w:sz w:val="25"/>
          <w:szCs w:val="2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6057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5">
                      <a:extLst>
                        <a:ext uri="{28A0092B-C50C-407E-A947-70E740481C1C}"/>
                      </a:extLst>
                    </a:blip>
                    <a:srcRect/>
                    <a:stretch>
                      <a:fillRect/>
                    </a:stretch>
                  </pic:blipFill>
                  <pic:spPr bwMode="auto">
                    <a:xfrm>
                      <a:off x="0" y="0"/>
                      <a:ext cx="1143635" cy="605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November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Chief Executive Officer and Director — Waste Management, Inc. since 2016; also served as President from 2016 — May 2025.</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Caterpillar Inc. since March 2023.</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Jim Fish has served as our Chief Executive Officer and a Director since 2016, and served as our President from 2016 until May 2025. For nearly 25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North America’s largest comprehensive environmental solutions provider, sustainability is embedded in all aspects of our business. As our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An important part of WM’s people-first culture is the diversity of the Company’s workforce, which includes nearly 63,000 employees. Mr. Fish’s active engagement with employees at all levels of the organization reflects his commitment to fostering an inclusive environment in which employees feel valued and connected to the Company’s long-term success.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Fish earned a bachelor’s degree in accounting from Arizona State University and a master’s degree in business administration, with emphasis on finance, from the University of Chicago. In addition to the public company board service listed above, Mr. Fish currently serves on the board of the Greater Houston Partnership.</w:t>
      </w:r>
    </w:p>
    <w:p>
      <w:pPr>
        <w:spacing w:after="0" w:line="200" w:lineRule="exact"/>
        <w:rPr>
          <w:sz w:val="20"/>
          <w:szCs w:val="20"/>
          <w:color w:val="auto"/>
        </w:rPr>
      </w:pPr>
    </w:p>
    <w:p>
      <w:pPr>
        <w:sectPr>
          <w:pgSz w:w="11880" w:h="15480" w:orient="portrait"/>
          <w:cols w:equalWidth="0" w:num="2">
            <w:col w:w="1860" w:space="6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24" o:spid="_x0000_s1149"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A</w:t>
      </w:r>
      <w:r>
        <w:rPr>
          <w:rFonts w:ascii="Arial" w:cs="Arial" w:eastAsia="Arial" w:hAnsi="Arial"/>
          <w:sz w:val="15"/>
          <w:szCs w:val="15"/>
          <w:b w:val="1"/>
          <w:bCs w:val="1"/>
          <w:color w:val="FFFFFF"/>
        </w:rPr>
        <w:t>NDRÉS</w:t>
      </w:r>
      <w:r>
        <w:rPr>
          <w:rFonts w:ascii="Arial" w:cs="Arial" w:eastAsia="Arial" w:hAnsi="Arial"/>
          <w:sz w:val="25"/>
          <w:szCs w:val="25"/>
          <w:b w:val="1"/>
          <w:bCs w:val="1"/>
          <w:color w:val="FFFFFF"/>
        </w:rPr>
        <w:t xml:space="preserve"> R. G</w:t>
      </w:r>
      <w:r>
        <w:rPr>
          <w:rFonts w:ascii="Arial" w:cs="Arial" w:eastAsia="Arial" w:hAnsi="Arial"/>
          <w:sz w:val="15"/>
          <w:szCs w:val="15"/>
          <w:b w:val="1"/>
          <w:bCs w:val="1"/>
          <w:color w:val="FFFFFF"/>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54108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7">
                      <a:extLst>
                        <a:ext uri="{28A0092B-C50C-407E-A947-70E740481C1C}"/>
                      </a:extLst>
                    </a:blip>
                    <a:srcRect/>
                    <a:stretch>
                      <a:fillRect/>
                    </a:stretch>
                  </pic:blipFill>
                  <pic:spPr bwMode="auto">
                    <a:xfrm>
                      <a:off x="0" y="0"/>
                      <a:ext cx="1143635" cy="541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January 2015</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spacing w:after="0" w:line="208" w:lineRule="auto"/>
        <w:rPr>
          <w:sz w:val="20"/>
          <w:szCs w:val="20"/>
          <w:color w:val="auto"/>
        </w:rPr>
      </w:pPr>
      <w:r>
        <w:rPr>
          <w:rFonts w:ascii="Arial" w:cs="Arial" w:eastAsia="Arial" w:hAnsi="Arial"/>
          <w:sz w:val="20"/>
          <w:szCs w:val="20"/>
          <w:color w:val="auto"/>
        </w:rPr>
        <w:t>Audit and</w:t>
      </w:r>
    </w:p>
    <w:p>
      <w:pPr>
        <w:spacing w:after="0" w:line="208" w:lineRule="auto"/>
        <w:rPr>
          <w:sz w:val="20"/>
          <w:szCs w:val="20"/>
          <w:color w:val="auto"/>
        </w:rPr>
      </w:pPr>
      <w:r>
        <w:rPr>
          <w:rFonts w:ascii="Arial" w:cs="Arial" w:eastAsia="Arial" w:hAnsi="Arial"/>
          <w:sz w:val="20"/>
          <w:szCs w:val="20"/>
          <w:color w:val="auto"/>
        </w:rPr>
        <w:t>Management</w:t>
      </w:r>
    </w:p>
    <w:p>
      <w:pPr>
        <w:spacing w:after="0" w:line="208" w:lineRule="auto"/>
        <w:rPr>
          <w:sz w:val="20"/>
          <w:szCs w:val="20"/>
          <w:color w:val="auto"/>
        </w:rPr>
      </w:pPr>
      <w:r>
        <w:rPr>
          <w:rFonts w:ascii="Arial" w:cs="Arial" w:eastAsia="Arial" w:hAnsi="Arial"/>
          <w:sz w:val="20"/>
          <w:szCs w:val="20"/>
          <w:color w:val="auto"/>
        </w:rPr>
        <w:t>Development &amp;</w:t>
      </w:r>
    </w:p>
    <w:p>
      <w:pPr>
        <w:spacing w:after="0" w:line="209" w:lineRule="auto"/>
        <w:rPr>
          <w:sz w:val="20"/>
          <w:szCs w:val="20"/>
          <w:color w:val="auto"/>
        </w:rPr>
      </w:pPr>
      <w:r>
        <w:rPr>
          <w:rFonts w:ascii="Arial" w:cs="Arial" w:eastAsia="Arial" w:hAnsi="Arial"/>
          <w:sz w:val="20"/>
          <w:szCs w:val="20"/>
          <w:color w:val="auto"/>
        </w:rPr>
        <w:t>Compensation</w:t>
      </w:r>
    </w:p>
    <w:p>
      <w:pPr>
        <w:spacing w:after="0" w:line="208" w:lineRule="auto"/>
        <w:rPr>
          <w:sz w:val="20"/>
          <w:szCs w:val="20"/>
          <w:color w:val="auto"/>
        </w:rPr>
      </w:pPr>
      <w:r>
        <w:rPr>
          <w:rFonts w:ascii="Arial" w:cs="Arial" w:eastAsia="Arial" w:hAnsi="Arial"/>
          <w:sz w:val="20"/>
          <w:szCs w:val="20"/>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President, Chief Executive Officer and Director — The AES Corporation (global energy company) since 2011.</w:t>
      </w:r>
    </w:p>
    <w:p>
      <w:pPr>
        <w:spacing w:after="0" w:line="86"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Andrés Gluski has served as President, Chief Executive Officer and a Director of The AES Corporation, a Fortune 500 global energy company, since 2011. Mr. Gluski began his tenure at AES in 2000 and previously served as Executive Vice President and Chief Operating Officer. Under his leadership, AES has become a leader in implementing clean technologies, including energy storage and renewable power. Through his professional experience, Mr. Gluski has extensive knowledge with respect to evaluating renewable energy strategies, and he has developed expertise in considering and evaluating climate-related risks and opportunities, which is directly applicable to our business and our sustainability growth strategy. Mr. Gluski also has experience in the development of sustainability and corporate social responsibility goals, as well as oversight of compliance programs.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 and co-chair of the World Economic Forum’s Electricity Industry community.</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Mr. Gluski has also focused on shaping an innovative workplace at AES with a diverse and inclusive culture throughout the world. These efforts have given Mr. Gluski valuable expertise in the areas of human capital management, diversity and inclusion that he utilizes in his role as Chair of the Management Development &amp; Compensation Committee of the Board. Mr. Gluski has been named amongst the 100 Most Influential Latinos by Latino Leaders Magazine.</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ectPr>
          <w:pgSz w:w="11880" w:h="15480" w:orient="portrait"/>
          <w:cols w:equalWidth="0" w:num="2">
            <w:col w:w="1780" w:space="14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8" w:name="page29"/>
    <w:bookmarkEnd w:id="28"/>
    <w:p>
      <w:pPr>
        <w:ind w:left="80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29" o:spid="_x0000_s1154"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V</w:t>
      </w:r>
      <w:r>
        <w:rPr>
          <w:rFonts w:ascii="Arial" w:cs="Arial" w:eastAsia="Arial" w:hAnsi="Arial"/>
          <w:sz w:val="15"/>
          <w:szCs w:val="15"/>
          <w:b w:val="1"/>
          <w:bCs w:val="1"/>
          <w:color w:val="FFFFFF"/>
        </w:rPr>
        <w:t>ICTORIA</w:t>
      </w:r>
      <w:r>
        <w:rPr>
          <w:rFonts w:ascii="Arial" w:cs="Arial" w:eastAsia="Arial" w:hAnsi="Arial"/>
          <w:sz w:val="25"/>
          <w:szCs w:val="25"/>
          <w:b w:val="1"/>
          <w:bCs w:val="1"/>
          <w:color w:val="FFFFFF"/>
        </w:rPr>
        <w:t xml:space="preserve"> M. H</w:t>
      </w:r>
      <w:r>
        <w:rPr>
          <w:rFonts w:ascii="Arial" w:cs="Arial" w:eastAsia="Arial" w:hAnsi="Arial"/>
          <w:sz w:val="15"/>
          <w:szCs w:val="15"/>
          <w:b w:val="1"/>
          <w:bCs w:val="1"/>
          <w:color w:val="FFFFFF"/>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61715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0">
                      <a:extLst>
                        <a:ext uri="{28A0092B-C50C-407E-A947-70E740481C1C}"/>
                      </a:extLst>
                    </a:blip>
                    <a:srcRect/>
                    <a:stretch>
                      <a:fillRect/>
                    </a:stretch>
                  </pic:blipFill>
                  <pic:spPr bwMode="auto">
                    <a:xfrm>
                      <a:off x="0" y="0"/>
                      <a:ext cx="1143635" cy="617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January 2013</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spacing w:after="0" w:line="208" w:lineRule="auto"/>
        <w:rPr>
          <w:sz w:val="20"/>
          <w:szCs w:val="20"/>
          <w:color w:val="auto"/>
        </w:rPr>
      </w:pPr>
      <w:r>
        <w:rPr>
          <w:rFonts w:ascii="Arial" w:cs="Arial" w:eastAsia="Arial" w:hAnsi="Arial"/>
          <w:sz w:val="20"/>
          <w:szCs w:val="20"/>
          <w:color w:val="auto"/>
        </w:rPr>
        <w:t>Audit and</w:t>
      </w:r>
    </w:p>
    <w:p>
      <w:pPr>
        <w:spacing w:after="0" w:line="208" w:lineRule="auto"/>
        <w:rPr>
          <w:sz w:val="20"/>
          <w:szCs w:val="20"/>
          <w:color w:val="auto"/>
        </w:rPr>
      </w:pPr>
      <w:r>
        <w:rPr>
          <w:rFonts w:ascii="Arial" w:cs="Arial" w:eastAsia="Arial" w:hAnsi="Arial"/>
          <w:sz w:val="20"/>
          <w:szCs w:val="20"/>
          <w:color w:val="auto"/>
        </w:rPr>
        <w:t>Nominating &amp;</w:t>
      </w:r>
    </w:p>
    <w:p>
      <w:pPr>
        <w:spacing w:after="0" w:line="219" w:lineRule="auto"/>
        <w:rPr>
          <w:sz w:val="20"/>
          <w:szCs w:val="20"/>
          <w:color w:val="auto"/>
        </w:rPr>
      </w:pPr>
      <w:r>
        <w:rPr>
          <w:rFonts w:ascii="Arial" w:cs="Arial" w:eastAsia="Arial" w:hAnsi="Arial"/>
          <w:sz w:val="19"/>
          <w:szCs w:val="19"/>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President and Chief Executive Officer — Proto Labs, Inc. (online and technology-enabled quick-turn manufacturer), served from 2014 to March 2021; also served as Director from 2014 – May 2021.</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Piper Sandler Companies since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A. O. Smith Corp. since April 2021.</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Holt has developed expertise in corporate governance through her service, including holding committee leadership roles, on the public company boards listed above as well as private company boards, and she shares this expertise with the Company’s Board in her position as Chair of the Nominating and Governance Committee.</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Holt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200" w:lineRule="exact"/>
        <w:rPr>
          <w:sz w:val="20"/>
          <w:szCs w:val="20"/>
          <w:color w:val="auto"/>
        </w:rPr>
      </w:pPr>
    </w:p>
    <w:p>
      <w:pPr>
        <w:sectPr>
          <w:pgSz w:w="11880" w:h="15480" w:orient="portrait"/>
          <w:cols w:equalWidth="0" w:num="2">
            <w:col w:w="1720" w:space="20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9" w:name="page30"/>
    <w:bookmarkEnd w:id="29"/>
    <w:p>
      <w:pPr>
        <w:spacing w:after="0"/>
        <w:rPr>
          <w:sz w:val="20"/>
          <w:szCs w:val="20"/>
          <w:color w:val="auto"/>
        </w:rPr>
      </w:pPr>
      <w:r>
        <w:rPr>
          <w:rFonts w:ascii="Arial" w:cs="Arial" w:eastAsia="Arial" w:hAnsi="Arial"/>
          <w:sz w:val="19"/>
          <w:szCs w:val="19"/>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180975</wp:posOffset>
                </wp:positionV>
                <wp:extent cx="6386195" cy="266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33" o:spid="_x0000_s1158" style="position:absolute;margin-left:-0.0499pt;margin-top:14.2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K</w:t>
      </w:r>
      <w:r>
        <w:rPr>
          <w:rFonts w:ascii="Arial" w:cs="Arial" w:eastAsia="Arial" w:hAnsi="Arial"/>
          <w:sz w:val="15"/>
          <w:szCs w:val="15"/>
          <w:b w:val="1"/>
          <w:bCs w:val="1"/>
          <w:color w:val="FFFFFF"/>
        </w:rPr>
        <w:t>ATHLEEN</w:t>
      </w:r>
      <w:r>
        <w:rPr>
          <w:rFonts w:ascii="Arial" w:cs="Arial" w:eastAsia="Arial" w:hAnsi="Arial"/>
          <w:sz w:val="25"/>
          <w:szCs w:val="25"/>
          <w:b w:val="1"/>
          <w:bCs w:val="1"/>
          <w:color w:val="FFFFFF"/>
        </w:rPr>
        <w:t xml:space="preserve"> M. M</w:t>
      </w:r>
      <w:r>
        <w:rPr>
          <w:rFonts w:ascii="Arial" w:cs="Arial" w:eastAsia="Arial" w:hAnsi="Arial"/>
          <w:sz w:val="15"/>
          <w:szCs w:val="15"/>
          <w:b w:val="1"/>
          <w:bCs w:val="1"/>
          <w:color w:val="FFFFFF"/>
        </w:rPr>
        <w:t>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64750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2">
                      <a:extLst>
                        <a:ext uri="{28A0092B-C50C-407E-A947-70E740481C1C}"/>
                      </a:extLst>
                    </a:blip>
                    <a:srcRect/>
                    <a:stretch>
                      <a:fillRect/>
                    </a:stretch>
                  </pic:blipFill>
                  <pic:spPr bwMode="auto">
                    <a:xfrm>
                      <a:off x="0" y="0"/>
                      <a:ext cx="1143635" cy="647509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October 2015</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Chair of the</w:t>
      </w:r>
    </w:p>
    <w:p>
      <w:pPr>
        <w:spacing w:after="0" w:line="210" w:lineRule="auto"/>
        <w:rPr>
          <w:sz w:val="20"/>
          <w:szCs w:val="20"/>
          <w:color w:val="auto"/>
        </w:rPr>
      </w:pPr>
      <w:r>
        <w:rPr>
          <w:rFonts w:ascii="Arial" w:cs="Arial" w:eastAsia="Arial" w:hAnsi="Arial"/>
          <w:sz w:val="20"/>
          <w:szCs w:val="20"/>
          <w:b w:val="1"/>
          <w:bCs w:val="1"/>
          <w:color w:val="0C3D25"/>
        </w:rPr>
        <w:t>Board since:</w:t>
      </w:r>
    </w:p>
    <w:p>
      <w:pPr>
        <w:spacing w:after="0" w:line="208" w:lineRule="auto"/>
        <w:rPr>
          <w:sz w:val="20"/>
          <w:szCs w:val="20"/>
          <w:color w:val="auto"/>
        </w:rPr>
      </w:pPr>
      <w:r>
        <w:rPr>
          <w:rFonts w:ascii="Arial" w:cs="Arial" w:eastAsia="Arial" w:hAnsi="Arial"/>
          <w:sz w:val="20"/>
          <w:szCs w:val="20"/>
          <w:color w:val="auto"/>
        </w:rPr>
        <w:t>May 2023</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spacing w:after="0" w:line="231" w:lineRule="auto"/>
        <w:rPr>
          <w:sz w:val="20"/>
          <w:szCs w:val="20"/>
          <w:color w:val="auto"/>
        </w:rPr>
      </w:pPr>
      <w:r>
        <w:rPr>
          <w:rFonts w:ascii="Arial" w:cs="Arial" w:eastAsia="Arial" w:hAnsi="Arial"/>
          <w:sz w:val="18"/>
          <w:szCs w:val="18"/>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Chairman, President and Chief Executive Officer — Graybar Electric Company, Inc. (distributor of electrical, industrial, automation and connectivity products and provider of related supply chain management and logistics services) since 2013.</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Cigna Corporation since 2018.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Core &amp; Main since 2019.</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Kathleen Mazzarella has served as President and Chief Executive Officer of Graybar Electric Company, Inc. since 2012, and as Chairman since 2013. During her more than 45-year tenure at Graybar, Ms. Mazzarella has held numerous executive-level positions in operations, sales, human resources, strategic planning and marketing, including Executive Vice President and Chief Operating Officer, Senior Vice President — Sales and Marketing and Senior Vice President — Human Resources and Strategic Planning.</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Ms. Mazzarella has been instrumental in developing and communicating Graybar’s commitment to sustainability initiatives. Graybar focuses on sustainability in the way it operates and in the innovative solutions it provides to its customers. The company offers energy-saving products, renewable energy solutions and supply chain services that support sustainable construction, renovation and maintenance of infrastructure and facilities. The company also invests in the communities it serves and emphasizes integrity, inclusion and opportunity for all employees.</w:t>
      </w:r>
    </w:p>
    <w:p>
      <w:pPr>
        <w:spacing w:after="0" w:line="10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Ms. Mazzarella brings her deep and valuable experience leading a diverse range of business functions necessary for an employee-driven, customer-focused business, similar to our Company. Through her role as Chief Executive Officer and her service on the board of directors and key committees for other public companies, she has developed expertise in the evolving social and corporate governance landscape. In addition to her experience overseeing financial reporting and controls, technology systems and platforms, and other functional and operational areas, she has particular experience in the area of human capital management, including succession planning, diversity and inclusion initiatives, and oversight of corporate culture. Ms. Mazzarella also brings expertise in labor relations, public policy, operational innovation and strategic planning.</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Mazzarella holds an associate degree in telecommunications engineering, a bachelor’s degree in applied behavioral sciences from National Louis University, and a master’s degree in business administration from Webster University.</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addition to the public company boards listed above, Ms. Mazzarella also serves as Chair of the board of the National Association of Wholesaler-Distributors (NAW) and previously served on the board of the NAW Institute for Distribution Excellence. Ms. Mazzarella previously served as Chairman of the Federal Reserve Bank of St. Louis, and she has experience serving on various organizational and charitable boards including the United Way of Greater St. Louis and the executive committee of Greater St. Louis, Inc.</w:t>
      </w:r>
    </w:p>
    <w:p>
      <w:pPr>
        <w:spacing w:after="0" w:line="200" w:lineRule="exact"/>
        <w:rPr>
          <w:sz w:val="20"/>
          <w:szCs w:val="20"/>
          <w:color w:val="auto"/>
        </w:rPr>
      </w:pPr>
    </w:p>
    <w:p>
      <w:pPr>
        <w:sectPr>
          <w:pgSz w:w="11880" w:h="15480" w:orient="portrait"/>
          <w:cols w:equalWidth="0" w:num="2">
            <w:col w:w="1640" w:space="28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0" w:name="page31"/>
    <w:bookmarkEnd w:id="30"/>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S</w:t>
      </w:r>
      <w:r>
        <w:rPr>
          <w:rFonts w:ascii="Arial" w:cs="Arial" w:eastAsia="Arial" w:hAnsi="Arial"/>
          <w:sz w:val="15"/>
          <w:szCs w:val="15"/>
          <w:b w:val="1"/>
          <w:bCs w:val="1"/>
          <w:color w:val="FFFFFF"/>
        </w:rPr>
        <w:t>EAN</w:t>
      </w:r>
      <w:r>
        <w:rPr>
          <w:rFonts w:ascii="Arial" w:cs="Arial" w:eastAsia="Arial" w:hAnsi="Arial"/>
          <w:sz w:val="25"/>
          <w:szCs w:val="25"/>
          <w:b w:val="1"/>
          <w:bCs w:val="1"/>
          <w:color w:val="FFFFFF"/>
        </w:rPr>
        <w:t xml:space="preserve"> E. M</w:t>
      </w:r>
      <w:r>
        <w:rPr>
          <w:rFonts w:ascii="Arial" w:cs="Arial" w:eastAsia="Arial" w:hAnsi="Arial"/>
          <w:sz w:val="15"/>
          <w:szCs w:val="15"/>
          <w:b w:val="1"/>
          <w:bCs w:val="1"/>
          <w:color w:val="FFFFFF"/>
        </w:rPr>
        <w:t>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5">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57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March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ind w:right="360"/>
        <w:spacing w:after="0" w:line="219" w:lineRule="auto"/>
        <w:rPr>
          <w:sz w:val="20"/>
          <w:szCs w:val="20"/>
          <w:color w:val="auto"/>
        </w:rPr>
      </w:pPr>
      <w:r>
        <w:rPr>
          <w:rFonts w:ascii="Arial" w:cs="Arial" w:eastAsia="Arial" w:hAnsi="Arial"/>
          <w:sz w:val="19"/>
          <w:szCs w:val="19"/>
          <w:color w:val="auto"/>
        </w:rPr>
        <w:t>Audit and Nominating &amp; Governance</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-1219835</wp:posOffset>
                </wp:positionH>
                <wp:positionV relativeFrom="paragraph">
                  <wp:posOffset>210185</wp:posOffset>
                </wp:positionV>
                <wp:extent cx="6386195" cy="2667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38" o:spid="_x0000_s1163" style="position:absolute;margin-left:-96.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mc:AlternateContent>
          <mc:Choice Requires="wps">
            <w:drawing>
              <wp:anchor simplePos="0" relativeHeight="251657728" behindDoc="1" locked="0" layoutInCell="0" allowOverlap="1">
                <wp:simplePos x="0" y="0"/>
                <wp:positionH relativeFrom="column">
                  <wp:posOffset>-79375</wp:posOffset>
                </wp:positionH>
                <wp:positionV relativeFrom="paragraph">
                  <wp:posOffset>476250</wp:posOffset>
                </wp:positionV>
                <wp:extent cx="0" cy="677926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79260"/>
                        </a:xfrm>
                        <a:prstGeom prst="line">
                          <a:avLst/>
                        </a:prstGeom>
                        <a:solidFill>
                          <a:srgbClr val="FFFFFF"/>
                        </a:solidFill>
                        <a:ln w="6337">
                          <a:solidFill>
                            <a:srgbClr val="0C3D25"/>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37.5pt" to="-6.2499pt,571.3pt" o:allowincell="f" strokecolor="#0C3D25" strokeweight="0.499pt"/>
            </w:pict>
          </mc:Fallback>
        </mc:AlternateContent>
        <mc:AlternateContent>
          <mc:Choice Requires="wps">
            <w:drawing>
              <wp:anchor simplePos="0" relativeHeight="251657728" behindDoc="1" locked="0" layoutInCell="0" allowOverlap="1">
                <wp:simplePos x="0" y="0"/>
                <wp:positionH relativeFrom="column">
                  <wp:posOffset>-1219835</wp:posOffset>
                </wp:positionH>
                <wp:positionV relativeFrom="paragraph">
                  <wp:posOffset>-112395</wp:posOffset>
                </wp:positionV>
                <wp:extent cx="638556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0499pt,-8.8499pt" to="406.75pt,-8.8499pt" o:allowincell="f" strokecolor="#0C3D25"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Chief Executive Officer of Sabre Corporation (software and technology solutions provider to the travel industry) from 2016 to April 2023 and former President of Sabre Corporation from 2016 to December 2021.</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Executive Chairman of the Board of Sabre Corporation from April 2022 to April 2024; Director of Sabre Corporation from 2016 to April 2024.</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JetBlue Airways Corp. since September 2024.</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Having recently served as Chief Executive Officer and Chair of the Board of Directors of Sabre Corporation, Sean Menke has experience heading a global network of development, sales, operations and corporate functions. In 2015, Mr. Menke joined Sabre as president of Sabre Travel Network, Sabre’s largest line of business. Under Mr. Menke’s leadership, Sabre won major new business opportunities, increased global market share, secured Sabre’s position as the leading global distribution system in North America, Latin America and Asia-Pacific, and led innovation to enable sales of more customized fares and ancillary products that help drive the changing travel industry landscape.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Menke has extensive executive experience in technology-driven companies and brings to the Board a strong understanding of both enterprise technology transformation and cybersecurity oversight. He has experience overseeing cybersecurity and privacy risk mitigation efforts, including cyber intrusion response planning and remediation. In addition, during his tenure at Sabre, Mr. Menke led a multi-year modernization of Sabre’s global technology infrastructure, leveraging advanced cloud-based solutions to deploy machine learning and generative artificial intelligence to support dynamic pricing optimization, software code augmentation and enhanced customer service automation.</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Menke holds a bachelor’s degree in economics and aviation management from Ohio State University and a master’s degree in business administration from the University of Denver. He recently completed the MIT Sloan + CSAIL Artificial Intelligence: Implication for Business Strategy Program with a focus on strategic integration of robotics, machine learning, and natural language processing in global organizations.</w:t>
      </w:r>
    </w:p>
    <w:p>
      <w:pPr>
        <w:spacing w:after="0" w:line="200" w:lineRule="exact"/>
        <w:rPr>
          <w:sz w:val="20"/>
          <w:szCs w:val="20"/>
          <w:color w:val="auto"/>
        </w:rPr>
      </w:pPr>
    </w:p>
    <w:p>
      <w:pPr>
        <w:sectPr>
          <w:pgSz w:w="11880" w:h="15480" w:orient="portrait"/>
          <w:cols w:equalWidth="0" w:num="2">
            <w:col w:w="1520" w:space="400"/>
            <w:col w:w="814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C3D25"/>
                        </a:solidFill>
                      </wps:spPr>
                      <wps:bodyPr/>
                    </wps:wsp>
                  </a:graphicData>
                </a:graphic>
              </wp:anchor>
            </w:drawing>
          </mc:Choice>
          <mc:Fallback>
            <w:pict>
              <v:rect id="Shape 143" o:spid="_x0000_s1168"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W</w:t>
      </w:r>
      <w:r>
        <w:rPr>
          <w:rFonts w:ascii="Arial" w:cs="Arial" w:eastAsia="Arial" w:hAnsi="Arial"/>
          <w:sz w:val="15"/>
          <w:szCs w:val="15"/>
          <w:b w:val="1"/>
          <w:bCs w:val="1"/>
          <w:color w:val="FFFFFF"/>
        </w:rPr>
        <w:t>ILLIAM</w:t>
      </w:r>
      <w:r>
        <w:rPr>
          <w:rFonts w:ascii="Arial" w:cs="Arial" w:eastAsia="Arial" w:hAnsi="Arial"/>
          <w:sz w:val="25"/>
          <w:szCs w:val="25"/>
          <w:b w:val="1"/>
          <w:bCs w:val="1"/>
          <w:color w:val="FFFFFF"/>
        </w:rPr>
        <w:t xml:space="preserve"> B. P</w:t>
      </w:r>
      <w:r>
        <w:rPr>
          <w:rFonts w:ascii="Arial" w:cs="Arial" w:eastAsia="Arial" w:hAnsi="Arial"/>
          <w:sz w:val="15"/>
          <w:szCs w:val="15"/>
          <w:b w:val="1"/>
          <w:bCs w:val="1"/>
          <w:color w:val="FFFFFF"/>
        </w:rPr>
        <w:t>LUMMER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61715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7">
                      <a:extLst>
                        <a:ext uri="{28A0092B-C50C-407E-A947-70E740481C1C}"/>
                      </a:extLst>
                    </a:blip>
                    <a:srcRect/>
                    <a:stretch>
                      <a:fillRect/>
                    </a:stretch>
                  </pic:blipFill>
                  <pic:spPr bwMode="auto">
                    <a:xfrm>
                      <a:off x="0" y="0"/>
                      <a:ext cx="1143635" cy="617156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August 2019</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spacing w:after="0" w:line="231" w:lineRule="auto"/>
        <w:rPr>
          <w:sz w:val="20"/>
          <w:szCs w:val="20"/>
          <w:color w:val="auto"/>
        </w:rPr>
      </w:pPr>
      <w:r>
        <w:rPr>
          <w:rFonts w:ascii="Arial" w:cs="Arial" w:eastAsia="Arial" w:hAnsi="Arial"/>
          <w:sz w:val="18"/>
          <w:szCs w:val="18"/>
          <w:color w:val="auto"/>
        </w:rPr>
        <w:t>Audit (Chair) and Management Development &amp; Compensation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Executive Vice President and Chief Financial Officer — United Rentals, Inc. (world’s largest equipment rental company), served from 2008 to 2018.</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Global Payments Inc. since 2017.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Mason Industrial Technology, Inc. from February 2021 to February 2023.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Nesco Holdings, Inc. from 2019 to March 2021.</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William Plummer served as Executive Vice President and Chief Financial Officer for United Rentals, Inc., where he was responsible for the development of the company’s finance activities and investor relations, and he co-led its mergers, acquisitions and divestitures strategies. He also led the company’s safety function and its data and analytics efforts. Mr. Plummer was instrumental in helping the company execute a strategy focused on improving the profitability of its core equipment rental business through revenue growth, margin expansion, operational efficiencies and acquisitions.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people-first strategic focus and diversity and inclusion initiatives.</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ectPr>
          <w:pgSz w:w="11880" w:h="15480" w:orient="portrait"/>
          <w:cols w:equalWidth="0" w:num="2">
            <w:col w:w="1420" w:space="50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266065"/>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C3D25"/>
                        </a:solidFill>
                      </wps:spPr>
                      <wps:bodyPr/>
                    </wps:wsp>
                  </a:graphicData>
                </a:graphic>
              </wp:anchor>
            </w:drawing>
          </mc:Choice>
          <mc:Fallback>
            <w:pict>
              <v:rect id="Shape 148" o:spid="_x0000_s1173" style="position:absolute;margin-left:-0.0499pt;margin-top:12.5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3D25" stroked="f"/>
            </w:pict>
          </mc:Fallback>
        </mc:AlternateConten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M</w:t>
      </w:r>
      <w:r>
        <w:rPr>
          <w:rFonts w:ascii="Arial" w:cs="Arial" w:eastAsia="Arial" w:hAnsi="Arial"/>
          <w:sz w:val="17"/>
          <w:szCs w:val="17"/>
          <w:b w:val="1"/>
          <w:bCs w:val="1"/>
          <w:color w:val="FFFFFF"/>
        </w:rPr>
        <w:t>ARYROSE</w:t>
      </w:r>
      <w:r>
        <w:rPr>
          <w:rFonts w:ascii="Arial" w:cs="Arial" w:eastAsia="Arial" w:hAnsi="Arial"/>
          <w:sz w:val="28"/>
          <w:szCs w:val="28"/>
          <w:b w:val="1"/>
          <w:bCs w:val="1"/>
          <w:color w:val="FFFFFF"/>
        </w:rPr>
        <w:t xml:space="preserve"> T. S</w:t>
      </w:r>
      <w:r>
        <w:rPr>
          <w:rFonts w:ascii="Arial" w:cs="Arial" w:eastAsia="Arial" w:hAnsi="Arial"/>
          <w:sz w:val="17"/>
          <w:szCs w:val="17"/>
          <w:b w:val="1"/>
          <w:bCs w:val="1"/>
          <w:color w:val="FFFFFF"/>
        </w:rPr>
        <w:t>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143635" cy="5638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0">
                      <a:extLst>
                        <a:ext uri="{28A0092B-C50C-407E-A947-70E740481C1C}"/>
                      </a:extLst>
                    </a:blip>
                    <a:srcRect/>
                    <a:stretch>
                      <a:fillRect/>
                    </a:stretch>
                  </pic:blipFill>
                  <pic:spPr bwMode="auto">
                    <a:xfrm>
                      <a:off x="0" y="0"/>
                      <a:ext cx="1143635" cy="563880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 xml:space="preserve">Age: </w:t>
      </w:r>
      <w:r>
        <w:rPr>
          <w:rFonts w:ascii="Arial" w:cs="Arial" w:eastAsia="Arial" w:hAnsi="Arial"/>
          <w:sz w:val="20"/>
          <w:szCs w:val="20"/>
          <w:color w:val="000000"/>
        </w:rPr>
        <w:t>60</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Director since:</w:t>
      </w:r>
    </w:p>
    <w:p>
      <w:pPr>
        <w:spacing w:after="0" w:line="210" w:lineRule="auto"/>
        <w:rPr>
          <w:sz w:val="20"/>
          <w:szCs w:val="20"/>
          <w:color w:val="auto"/>
        </w:rPr>
      </w:pPr>
      <w:r>
        <w:rPr>
          <w:rFonts w:ascii="Arial" w:cs="Arial" w:eastAsia="Arial" w:hAnsi="Arial"/>
          <w:sz w:val="20"/>
          <w:szCs w:val="20"/>
          <w:color w:val="auto"/>
        </w:rPr>
        <w:t>March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C3D25"/>
        </w:rPr>
        <w:t>Board</w:t>
      </w:r>
    </w:p>
    <w:p>
      <w:pPr>
        <w:spacing w:after="0" w:line="210" w:lineRule="auto"/>
        <w:rPr>
          <w:sz w:val="20"/>
          <w:szCs w:val="20"/>
          <w:color w:val="auto"/>
        </w:rPr>
      </w:pPr>
      <w:r>
        <w:rPr>
          <w:rFonts w:ascii="Arial" w:cs="Arial" w:eastAsia="Arial" w:hAnsi="Arial"/>
          <w:sz w:val="20"/>
          <w:szCs w:val="20"/>
          <w:b w:val="1"/>
          <w:bCs w:val="1"/>
          <w:color w:val="0C3D25"/>
        </w:rPr>
        <w:t>Committees:</w:t>
      </w:r>
    </w:p>
    <w:p>
      <w:pPr>
        <w:spacing w:after="0" w:line="208" w:lineRule="auto"/>
        <w:rPr>
          <w:sz w:val="20"/>
          <w:szCs w:val="20"/>
          <w:color w:val="auto"/>
        </w:rPr>
      </w:pPr>
      <w:r>
        <w:rPr>
          <w:rFonts w:ascii="Arial" w:cs="Arial" w:eastAsia="Arial" w:hAnsi="Arial"/>
          <w:sz w:val="20"/>
          <w:szCs w:val="20"/>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P</w:t>
      </w:r>
      <w:r>
        <w:rPr>
          <w:rFonts w:ascii="Arial" w:cs="Arial" w:eastAsia="Arial" w:hAnsi="Arial"/>
          <w:sz w:val="17"/>
          <w:szCs w:val="17"/>
          <w:b w:val="1"/>
          <w:bCs w:val="1"/>
          <w:color w:val="0C3D25"/>
        </w:rPr>
        <w:t>OSITION AND</w:t>
      </w:r>
      <w:r>
        <w:rPr>
          <w:rFonts w:ascii="Arial" w:cs="Arial" w:eastAsia="Arial" w:hAnsi="Arial"/>
          <w:sz w:val="28"/>
          <w:szCs w:val="28"/>
          <w:b w:val="1"/>
          <w:bCs w:val="1"/>
          <w:color w:val="0C3D25"/>
        </w:rPr>
        <w:t xml:space="preserve"> B</w:t>
      </w:r>
      <w:r>
        <w:rPr>
          <w:rFonts w:ascii="Arial" w:cs="Arial" w:eastAsia="Arial" w:hAnsi="Arial"/>
          <w:sz w:val="17"/>
          <w:szCs w:val="17"/>
          <w:b w:val="1"/>
          <w:bCs w:val="1"/>
          <w:color w:val="0C3D25"/>
        </w:rPr>
        <w:t>USINESS</w:t>
      </w:r>
      <w:r>
        <w:rPr>
          <w:rFonts w:ascii="Arial" w:cs="Arial" w:eastAsia="Arial" w:hAnsi="Arial"/>
          <w:sz w:val="28"/>
          <w:szCs w:val="28"/>
          <w:b w:val="1"/>
          <w:bCs w:val="1"/>
          <w:color w:val="0C3D25"/>
        </w:rPr>
        <w:t xml:space="preserve"> E</w:t>
      </w:r>
      <w:r>
        <w:rPr>
          <w:rFonts w:ascii="Arial" w:cs="Arial" w:eastAsia="Arial" w:hAnsi="Arial"/>
          <w:sz w:val="17"/>
          <w:szCs w:val="17"/>
          <w:b w:val="1"/>
          <w:bCs w:val="1"/>
          <w:color w:val="0C3D25"/>
        </w:rPr>
        <w:t>XPERIENCE</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Retired U.S. Managing Director and U.S. Head of Electrification — ABB Ltd. (global technology company focused on electrification, robotics, power and automation), served from 2019 to 2020.</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Current, powered by GE (energy services and information technology subsidiary of General Electric subsequently acquired by private equity investors), served from 2015 to 2019.</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Harley-Davidson,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Vontier Corporation since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Flex Ltd. since September 2022.</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C3D25"/>
        </w:rPr>
        <w:t>Q</w:t>
      </w:r>
      <w:r>
        <w:rPr>
          <w:rFonts w:ascii="Arial" w:cs="Arial" w:eastAsia="Arial" w:hAnsi="Arial"/>
          <w:sz w:val="17"/>
          <w:szCs w:val="17"/>
          <w:b w:val="1"/>
          <w:bCs w:val="1"/>
          <w:color w:val="0C3D25"/>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and inclusion and has expertise developing and driving such initiatives in the workplace. Ms. Sylvester also brings valuable governance experience from her service on the public company boards listed above.</w:t>
      </w:r>
    </w:p>
    <w:p>
      <w:pPr>
        <w:spacing w:after="0" w:line="11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She holds a bachelor’s degree in procurement and production management from Bowling Green State University and a master’s degree in business administration from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749300</wp:posOffset>
            </wp:positionV>
            <wp:extent cx="5803900" cy="542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1">
                      <a:extLst>
                        <a:ext uri="{28A0092B-C50C-407E-A947-70E740481C1C}"/>
                      </a:extLst>
                    </a:blip>
                    <a:srcRect/>
                    <a:stretch>
                      <a:fillRect/>
                    </a:stretch>
                  </pic:blipFill>
                  <pic:spPr bwMode="auto">
                    <a:xfrm>
                      <a:off x="0" y="0"/>
                      <a:ext cx="5803900" cy="54229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1580" w:space="34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60" w:right="680" w:hanging="939"/>
        <w:spacing w:after="0" w:line="208" w:lineRule="auto"/>
        <w:tabs>
          <w:tab w:leader="none" w:pos="154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20"/>
          <w:szCs w:val="20"/>
          <w:b w:val="1"/>
          <w:bCs w:val="1"/>
          <w:color w:val="auto"/>
        </w:rPr>
        <w:t>THE BOARD OF DIRECTORS RECOMMENDS THAT YOU VOTE FOR THE ELECTION OF EACH OF THE NINE DIRECTOR NOMINEES.</w:t>
      </w:r>
    </w:p>
    <w:p>
      <w:pPr>
        <w:sectPr>
          <w:pgSz w:w="11880" w:h="15480" w:orient="portrait"/>
          <w:cols w:equalWidth="0" w:num="1">
            <w:col w:w="1006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3" w:name="page34"/>
    <w:bookmarkEnd w:id="33"/>
    <w:p>
      <w:pPr>
        <w:ind w:left="2"/>
        <w:spacing w:after="0"/>
        <w:rPr>
          <w:sz w:val="20"/>
          <w:szCs w:val="20"/>
          <w:color w:val="auto"/>
        </w:rPr>
      </w:pPr>
      <w:r>
        <w:rPr>
          <w:rFonts w:ascii="Arial" w:cs="Arial" w:eastAsia="Arial" w:hAnsi="Arial"/>
          <w:sz w:val="40"/>
          <w:szCs w:val="40"/>
          <w:b w:val="1"/>
          <w:bCs w:val="1"/>
          <w:color w:val="0C3D25"/>
        </w:rPr>
        <w:t>DIRECTOR AND OFFICER STOCK OWNERSHIP</w:t>
      </w:r>
    </w:p>
    <w:p>
      <w:pPr>
        <w:spacing w:after="0" w:line="165"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122" w:lineRule="exact"/>
        <w:rPr>
          <w:sz w:val="20"/>
          <w:szCs w:val="20"/>
          <w:color w:val="auto"/>
        </w:rPr>
      </w:pPr>
    </w:p>
    <w:p>
      <w:pPr>
        <w:jc w:val="both"/>
        <w:ind w:left="2"/>
        <w:spacing w:after="0" w:line="260" w:lineRule="auto"/>
        <w:rPr>
          <w:sz w:val="20"/>
          <w:szCs w:val="20"/>
          <w:color w:val="auto"/>
        </w:rPr>
      </w:pPr>
      <w:r>
        <w:rPr>
          <w:rFonts w:ascii="Arial" w:cs="Arial" w:eastAsia="Arial" w:hAnsi="Arial"/>
          <w:sz w:val="19"/>
          <w:szCs w:val="19"/>
          <w:color w:val="auto"/>
        </w:rPr>
        <w:t>The Security Ownership of Management table below shows the number of shares of Common Stock each director and each individual named in the Summary Compensation Table beneficially owned as of March 17, 2026, as well as the number owned by all directors and currently-serving executive officers as a group. These individuals, both individually and in the aggregate, own less than 1% of our outstanding shares as of the record date.</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SECURITY OWNERSHIP OF MANAGEMENT</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16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0C3D25"/>
              </w:rPr>
              <w:t>Shares of Common</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C3D25"/>
              </w:rPr>
              <w:t>Shares of Common</w:t>
            </w:r>
          </w:p>
        </w:tc>
        <w:tc>
          <w:tcPr>
            <w:tcW w:w="0" w:type="dxa"/>
            <w:vAlign w:val="bottom"/>
          </w:tcPr>
          <w:p>
            <w:pPr>
              <w:spacing w:after="0"/>
              <w:rPr>
                <w:sz w:val="1"/>
                <w:szCs w:val="1"/>
                <w:color w:val="auto"/>
              </w:rPr>
            </w:pPr>
          </w:p>
        </w:tc>
      </w:tr>
      <w:tr>
        <w:trPr>
          <w:trHeight w:val="150"/>
        </w:trPr>
        <w:tc>
          <w:tcPr>
            <w:tcW w:w="618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720" w:type="dxa"/>
            <w:vAlign w:val="bottom"/>
          </w:tcPr>
          <w:p>
            <w:pPr>
              <w:jc w:val="right"/>
              <w:spacing w:after="0" w:line="150" w:lineRule="exact"/>
              <w:rPr>
                <w:sz w:val="20"/>
                <w:szCs w:val="20"/>
                <w:color w:val="auto"/>
              </w:rPr>
            </w:pPr>
            <w:r>
              <w:rPr>
                <w:rFonts w:ascii="Arial" w:cs="Arial" w:eastAsia="Arial" w:hAnsi="Arial"/>
                <w:sz w:val="16"/>
                <w:szCs w:val="16"/>
                <w:b w:val="1"/>
                <w:bCs w:val="1"/>
                <w:color w:val="0C3D25"/>
              </w:rPr>
              <w:t>Stock Covered by</w:t>
            </w:r>
          </w:p>
        </w:tc>
        <w:tc>
          <w:tcPr>
            <w:tcW w:w="0" w:type="dxa"/>
            <w:vAlign w:val="bottom"/>
          </w:tcPr>
          <w:p>
            <w:pPr>
              <w:spacing w:after="0"/>
              <w:rPr>
                <w:sz w:val="1"/>
                <w:szCs w:val="1"/>
                <w:color w:val="auto"/>
              </w:rPr>
            </w:pPr>
          </w:p>
        </w:tc>
      </w:tr>
      <w:tr>
        <w:trPr>
          <w:trHeight w:val="231"/>
        </w:trPr>
        <w:tc>
          <w:tcPr>
            <w:tcW w:w="618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w:t>
            </w:r>
          </w:p>
        </w:tc>
        <w:tc>
          <w:tcPr>
            <w:tcW w:w="2160" w:type="dxa"/>
            <w:vAlign w:val="bottom"/>
            <w:tcBorders>
              <w:bottom w:val="single" w:sz="8" w:color="0C3D25"/>
            </w:tcBorders>
          </w:tcPr>
          <w:p>
            <w:pPr>
              <w:jc w:val="right"/>
              <w:ind w:right="23"/>
              <w:spacing w:after="0"/>
              <w:rPr>
                <w:sz w:val="20"/>
                <w:szCs w:val="20"/>
                <w:color w:val="auto"/>
              </w:rPr>
            </w:pPr>
            <w:r>
              <w:rPr>
                <w:rFonts w:ascii="Arial" w:cs="Arial" w:eastAsia="Arial" w:hAnsi="Arial"/>
                <w:sz w:val="16"/>
                <w:szCs w:val="16"/>
                <w:b w:val="1"/>
                <w:bCs w:val="1"/>
                <w:color w:val="0C3D25"/>
              </w:rPr>
              <w:t>Stock Owned</w:t>
            </w:r>
            <w:r>
              <w:rPr>
                <w:rFonts w:ascii="Arial" w:cs="Arial" w:eastAsia="Arial" w:hAnsi="Arial"/>
                <w:sz w:val="19"/>
                <w:szCs w:val="19"/>
                <w:b w:val="1"/>
                <w:bCs w:val="1"/>
                <w:color w:val="0C3D25"/>
                <w:vertAlign w:val="superscript"/>
              </w:rPr>
              <w:t>(1)</w:t>
            </w:r>
          </w:p>
        </w:tc>
        <w:tc>
          <w:tcPr>
            <w:tcW w:w="172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w w:val="96"/>
              </w:rPr>
              <w:t>Exercisable Options</w:t>
            </w:r>
            <w:r>
              <w:rPr>
                <w:rFonts w:ascii="Arial" w:cs="Arial" w:eastAsia="Arial" w:hAnsi="Arial"/>
                <w:sz w:val="19"/>
                <w:szCs w:val="19"/>
                <w:b w:val="1"/>
                <w:bCs w:val="1"/>
                <w:color w:val="0C3D25"/>
                <w:w w:val="96"/>
                <w:vertAlign w:val="superscript"/>
              </w:rPr>
              <w:t>(2)</w:t>
            </w:r>
          </w:p>
        </w:tc>
        <w:tc>
          <w:tcPr>
            <w:tcW w:w="0" w:type="dxa"/>
            <w:vAlign w:val="bottom"/>
          </w:tcPr>
          <w:p>
            <w:pPr>
              <w:spacing w:after="0"/>
              <w:rPr>
                <w:sz w:val="1"/>
                <w:szCs w:val="1"/>
                <w:color w:val="auto"/>
              </w:rPr>
            </w:pPr>
          </w:p>
        </w:tc>
      </w:tr>
      <w:tr>
        <w:trPr>
          <w:trHeight w:val="294"/>
        </w:trPr>
        <w:tc>
          <w:tcPr>
            <w:tcW w:w="618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Thomas L. Bené</w:t>
            </w:r>
            <w:r>
              <w:rPr>
                <w:rFonts w:ascii="Arial" w:cs="Arial" w:eastAsia="Arial" w:hAnsi="Arial"/>
                <w:sz w:val="25"/>
                <w:szCs w:val="25"/>
                <w:color w:val="auto"/>
                <w:vertAlign w:val="superscript"/>
              </w:rPr>
              <w:t>(3)</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2,126</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Bruce E. Chinn</w:t>
            </w:r>
            <w:r>
              <w:rPr>
                <w:rFonts w:ascii="Arial" w:cs="Arial" w:eastAsia="Arial" w:hAnsi="Arial"/>
                <w:sz w:val="25"/>
                <w:szCs w:val="25"/>
                <w:color w:val="auto"/>
                <w:vertAlign w:val="superscript"/>
              </w:rPr>
              <w:t>(4)</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2,868</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Andrés R. Gluski</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17,522</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Victoria M. Holt</w:t>
            </w:r>
            <w:r>
              <w:rPr>
                <w:rFonts w:ascii="Arial" w:cs="Arial" w:eastAsia="Arial" w:hAnsi="Arial"/>
                <w:sz w:val="25"/>
                <w:szCs w:val="25"/>
                <w:color w:val="auto"/>
                <w:vertAlign w:val="superscript"/>
              </w:rPr>
              <w:t>(5)</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23,020</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Kathleen M. Mazzarella</w:t>
            </w:r>
            <w:r>
              <w:rPr>
                <w:rFonts w:ascii="Arial" w:cs="Arial" w:eastAsia="Arial" w:hAnsi="Arial"/>
                <w:sz w:val="25"/>
                <w:szCs w:val="25"/>
                <w:color w:val="auto"/>
                <w:vertAlign w:val="superscript"/>
              </w:rPr>
              <w:t>(6)</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16,962</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Sean E. Menke</w:t>
            </w:r>
            <w:r>
              <w:rPr>
                <w:rFonts w:ascii="Arial" w:cs="Arial" w:eastAsia="Arial" w:hAnsi="Arial"/>
                <w:sz w:val="25"/>
                <w:szCs w:val="25"/>
                <w:color w:val="auto"/>
                <w:vertAlign w:val="superscript"/>
              </w:rPr>
              <w:t>(7)</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7,314</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William B. Plummer</w:t>
            </w:r>
            <w:r>
              <w:rPr>
                <w:rFonts w:ascii="Arial" w:cs="Arial" w:eastAsia="Arial" w:hAnsi="Arial"/>
                <w:sz w:val="25"/>
                <w:szCs w:val="25"/>
                <w:color w:val="auto"/>
                <w:vertAlign w:val="superscript"/>
              </w:rPr>
              <w:t>(8)</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7,539</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Maryrose T. Sylvester</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5,004</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1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color w:val="auto"/>
              </w:rPr>
              <w:t>James C. Fish, Jr.</w:t>
            </w:r>
            <w:r>
              <w:rPr>
                <w:rFonts w:ascii="Arial" w:cs="Arial" w:eastAsia="Arial" w:hAnsi="Arial"/>
                <w:sz w:val="25"/>
                <w:szCs w:val="25"/>
                <w:color w:val="auto"/>
                <w:vertAlign w:val="superscript"/>
              </w:rPr>
              <w:t>(9)</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320,402</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66,898</w:t>
            </w: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36,909</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David L. Reed</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5,246</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5,227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John J. Morris, Jr.</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97,783</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13,503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69,788</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20,121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2160" w:type="dxa"/>
            <w:vAlign w:val="bottom"/>
          </w:tcPr>
          <w:p>
            <w:pPr>
              <w:jc w:val="right"/>
              <w:ind w:right="363"/>
              <w:spacing w:after="0"/>
              <w:rPr>
                <w:sz w:val="20"/>
                <w:szCs w:val="20"/>
                <w:color w:val="auto"/>
              </w:rPr>
            </w:pPr>
            <w:r>
              <w:rPr>
                <w:rFonts w:ascii="Arial" w:cs="Arial" w:eastAsia="Arial" w:hAnsi="Arial"/>
                <w:sz w:val="20"/>
                <w:szCs w:val="20"/>
                <w:color w:val="auto"/>
              </w:rPr>
              <w:t>15,540</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36,854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0C3D25"/>
            </w:tcBorders>
          </w:tcPr>
          <w:p>
            <w:pPr>
              <w:spacing w:after="0"/>
              <w:rPr>
                <w:sz w:val="2"/>
                <w:szCs w:val="2"/>
                <w:color w:val="auto"/>
              </w:rPr>
            </w:pPr>
          </w:p>
        </w:tc>
        <w:tc>
          <w:tcPr>
            <w:tcW w:w="2160" w:type="dxa"/>
            <w:vAlign w:val="bottom"/>
            <w:tcBorders>
              <w:bottom w:val="single" w:sz="8" w:color="0C3D25"/>
            </w:tcBorders>
          </w:tcPr>
          <w:p>
            <w:pPr>
              <w:spacing w:after="0"/>
              <w:rPr>
                <w:sz w:val="2"/>
                <w:szCs w:val="2"/>
                <w:color w:val="auto"/>
              </w:rPr>
            </w:pPr>
          </w:p>
        </w:tc>
        <w:tc>
          <w:tcPr>
            <w:tcW w:w="172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180" w:type="dxa"/>
            <w:vAlign w:val="bottom"/>
          </w:tcPr>
          <w:p>
            <w:pPr>
              <w:ind w:left="60"/>
              <w:spacing w:after="0"/>
              <w:rPr>
                <w:sz w:val="20"/>
                <w:szCs w:val="20"/>
                <w:color w:val="auto"/>
              </w:rPr>
            </w:pPr>
            <w:r>
              <w:rPr>
                <w:rFonts w:ascii="Arial" w:cs="Arial" w:eastAsia="Arial" w:hAnsi="Arial"/>
                <w:sz w:val="20"/>
                <w:szCs w:val="20"/>
                <w:color w:val="auto"/>
              </w:rPr>
              <w:t>All directors and currently-serving executive officers as a group</w:t>
            </w:r>
          </w:p>
        </w:tc>
        <w:tc>
          <w:tcPr>
            <w:tcW w:w="2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180" w:type="dxa"/>
            <w:vAlign w:val="bottom"/>
            <w:tcBorders>
              <w:bottom w:val="single" w:sz="8" w:color="0C3D25"/>
            </w:tcBorders>
          </w:tcPr>
          <w:p>
            <w:pPr>
              <w:ind w:left="260"/>
              <w:spacing w:after="0" w:line="282" w:lineRule="exact"/>
              <w:rPr>
                <w:sz w:val="20"/>
                <w:szCs w:val="20"/>
                <w:color w:val="auto"/>
              </w:rPr>
            </w:pPr>
            <w:r>
              <w:rPr>
                <w:rFonts w:ascii="Arial" w:cs="Arial" w:eastAsia="Arial" w:hAnsi="Arial"/>
                <w:sz w:val="20"/>
                <w:szCs w:val="20"/>
                <w:color w:val="auto"/>
              </w:rPr>
              <w:t>(20 persons)</w:t>
            </w:r>
            <w:r>
              <w:rPr>
                <w:rFonts w:ascii="Arial" w:cs="Arial" w:eastAsia="Arial" w:hAnsi="Arial"/>
                <w:sz w:val="25"/>
                <w:szCs w:val="25"/>
                <w:color w:val="auto"/>
                <w:vertAlign w:val="superscript"/>
              </w:rPr>
              <w:t>(10)</w:t>
            </w:r>
          </w:p>
        </w:tc>
        <w:tc>
          <w:tcPr>
            <w:tcW w:w="2160" w:type="dxa"/>
            <w:vAlign w:val="bottom"/>
            <w:tcBorders>
              <w:bottom w:val="single" w:sz="8" w:color="0C3D25"/>
            </w:tcBorders>
          </w:tcPr>
          <w:p>
            <w:pPr>
              <w:jc w:val="right"/>
              <w:ind w:right="363"/>
              <w:spacing w:after="0"/>
              <w:rPr>
                <w:sz w:val="20"/>
                <w:szCs w:val="20"/>
                <w:color w:val="auto"/>
              </w:rPr>
            </w:pPr>
            <w:r>
              <w:rPr>
                <w:rFonts w:ascii="Arial" w:cs="Arial" w:eastAsia="Arial" w:hAnsi="Arial"/>
                <w:sz w:val="20"/>
                <w:szCs w:val="20"/>
                <w:color w:val="auto"/>
              </w:rPr>
              <w:t>732,829</w:t>
            </w:r>
          </w:p>
        </w:tc>
        <w:tc>
          <w:tcPr>
            <w:tcW w:w="1720" w:type="dxa"/>
            <w:vAlign w:val="bottom"/>
            <w:tcBorders>
              <w:bottom w:val="single" w:sz="8" w:color="0C3D25"/>
            </w:tcBorders>
          </w:tcPr>
          <w:p>
            <w:pPr>
              <w:jc w:val="right"/>
              <w:ind w:right="404"/>
              <w:spacing w:after="0"/>
              <w:rPr>
                <w:sz w:val="20"/>
                <w:szCs w:val="20"/>
                <w:color w:val="auto"/>
              </w:rPr>
            </w:pPr>
            <w:r>
              <w:rPr>
                <w:rFonts w:ascii="Arial" w:cs="Arial" w:eastAsia="Arial" w:hAnsi="Arial"/>
                <w:sz w:val="20"/>
                <w:szCs w:val="20"/>
                <w:color w:val="auto"/>
              </w:rPr>
              <w:t>302,421</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02" w:hanging="402"/>
        <w:spacing w:after="0" w:line="258" w:lineRule="auto"/>
        <w:tabs>
          <w:tab w:leader="none" w:pos="401"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table reports beneficial ownership in accordance with Rule 13d-3 under the Exchange Act. The amounts reported above include 4,338 stock equivalents attributed to Mr. Fish and 2,439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11" w:lineRule="exact"/>
        <w:rPr>
          <w:rFonts w:ascii="Arial" w:cs="Arial" w:eastAsia="Arial" w:hAnsi="Arial"/>
          <w:sz w:val="19"/>
          <w:szCs w:val="19"/>
          <w:color w:val="auto"/>
        </w:rPr>
      </w:pPr>
    </w:p>
    <w:p>
      <w:pPr>
        <w:jc w:val="both"/>
        <w:ind w:left="402"/>
        <w:spacing w:after="0" w:line="277" w:lineRule="auto"/>
        <w:rPr>
          <w:rFonts w:ascii="Arial" w:cs="Arial" w:eastAsia="Arial" w:hAnsi="Arial"/>
          <w:sz w:val="19"/>
          <w:szCs w:val="19"/>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2,648 phantom stock equivalents under the 409A Deferral Plan.</w:t>
      </w:r>
    </w:p>
    <w:p>
      <w:pPr>
        <w:spacing w:after="0" w:line="96" w:lineRule="exact"/>
        <w:rPr>
          <w:rFonts w:ascii="Arial" w:cs="Arial" w:eastAsia="Arial" w:hAnsi="Arial"/>
          <w:sz w:val="19"/>
          <w:szCs w:val="19"/>
          <w:color w:val="auto"/>
        </w:rPr>
      </w:pPr>
    </w:p>
    <w:p>
      <w:pPr>
        <w:ind w:left="402" w:hanging="402"/>
        <w:spacing w:after="0" w:line="245" w:lineRule="auto"/>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Includes the number of options currently exercisable and options that will become exercisable within 60 days of the record date.</w:t>
      </w:r>
    </w:p>
    <w:p>
      <w:pPr>
        <w:spacing w:after="0" w:line="121" w:lineRule="exact"/>
        <w:rPr>
          <w:rFonts w:ascii="Arial" w:cs="Arial" w:eastAsia="Arial" w:hAnsi="Arial"/>
          <w:sz w:val="20"/>
          <w:szCs w:val="20"/>
          <w:color w:val="auto"/>
        </w:rPr>
      </w:pPr>
    </w:p>
    <w:p>
      <w:pPr>
        <w:ind w:left="402" w:hanging="402"/>
        <w:spacing w:after="0" w:line="245" w:lineRule="auto"/>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Thomas L. Bené and Susannah Harkins Bené Revocable Trust, for which Mr. Bené and his wife serve as trustees.</w:t>
      </w:r>
    </w:p>
    <w:p>
      <w:pPr>
        <w:spacing w:after="0" w:line="120" w:lineRule="exact"/>
        <w:rPr>
          <w:rFonts w:ascii="Arial" w:cs="Arial" w:eastAsia="Arial" w:hAnsi="Arial"/>
          <w:sz w:val="20"/>
          <w:szCs w:val="20"/>
          <w:color w:val="auto"/>
        </w:rPr>
      </w:pPr>
    </w:p>
    <w:p>
      <w:pPr>
        <w:ind w:left="402" w:hanging="402"/>
        <w:spacing w:after="0"/>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Chinn Family Trust, for which Mr. Chinn and his wife serve as trustees.</w:t>
      </w:r>
    </w:p>
    <w:p>
      <w:pPr>
        <w:spacing w:after="0" w:line="200" w:lineRule="exact"/>
        <w:rPr>
          <w:sz w:val="20"/>
          <w:szCs w:val="20"/>
          <w:color w:val="auto"/>
        </w:rPr>
      </w:pPr>
    </w:p>
    <w:p>
      <w:pPr>
        <w:spacing w:after="0" w:line="228"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09" w:right="920" w:bottom="315" w:gutter="0" w:footer="0" w:header="0"/>
        </w:sectPr>
      </w:pPr>
    </w:p>
    <w:bookmarkStart w:id="34" w:name="page35"/>
    <w:bookmarkEnd w:id="34"/>
    <w:p>
      <w:pPr>
        <w:ind w:left="6482"/>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DIRECTOR AND OFFICER STOCK OWNERSHIP</w:t>
      </w:r>
    </w:p>
    <w:p>
      <w:pPr>
        <w:spacing w:after="0" w:line="289" w:lineRule="exact"/>
        <w:rPr>
          <w:sz w:val="20"/>
          <w:szCs w:val="20"/>
          <w:color w:val="auto"/>
        </w:rPr>
      </w:pPr>
    </w:p>
    <w:p>
      <w:pPr>
        <w:ind w:left="402" w:hanging="402"/>
        <w:spacing w:after="0"/>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Shares are held by the Victoria M. Holt Trust, for which Ms. Holt and her husband serve as trustees.</w:t>
      </w:r>
    </w:p>
    <w:p>
      <w:pPr>
        <w:spacing w:after="0" w:line="129" w:lineRule="exact"/>
        <w:rPr>
          <w:rFonts w:ascii="Arial" w:cs="Arial" w:eastAsia="Arial" w:hAnsi="Arial"/>
          <w:sz w:val="20"/>
          <w:szCs w:val="20"/>
          <w:color w:val="auto"/>
        </w:rPr>
      </w:pPr>
    </w:p>
    <w:p>
      <w:pPr>
        <w:ind w:left="402" w:hanging="402"/>
        <w:spacing w:after="0"/>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Shares are held by the Mazzarella Living Trust, for which Ms. Mazzarella and her husband serve as trustees.</w:t>
      </w:r>
    </w:p>
    <w:p>
      <w:pPr>
        <w:spacing w:after="0" w:line="129" w:lineRule="exact"/>
        <w:rPr>
          <w:rFonts w:ascii="Arial" w:cs="Arial" w:eastAsia="Arial" w:hAnsi="Arial"/>
          <w:sz w:val="20"/>
          <w:szCs w:val="20"/>
          <w:color w:val="auto"/>
        </w:rPr>
      </w:pPr>
    </w:p>
    <w:p>
      <w:pPr>
        <w:ind w:left="402" w:hanging="402"/>
        <w:spacing w:after="0"/>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Shares are held by ASM Assets, LP, an entity wholly-owned and controlled by Mr. Menke and his wife.</w:t>
      </w:r>
    </w:p>
    <w:p>
      <w:pPr>
        <w:spacing w:after="0" w:line="129"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Of this total, 3,170 shares are held by TPO Collectibles LLC, an entity wholly-owned and controlled by Mr. Plummer and his wife.</w:t>
      </w:r>
    </w:p>
    <w:p>
      <w:pPr>
        <w:spacing w:after="0" w:line="121" w:lineRule="exact"/>
        <w:rPr>
          <w:rFonts w:ascii="Arial" w:cs="Arial" w:eastAsia="Arial" w:hAnsi="Arial"/>
          <w:sz w:val="20"/>
          <w:szCs w:val="20"/>
          <w:color w:val="auto"/>
        </w:rPr>
      </w:pPr>
    </w:p>
    <w:p>
      <w:pPr>
        <w:ind w:left="402" w:hanging="402"/>
        <w:spacing w:after="0"/>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Includes 95,977 shares held in trusts for the benefit of Mr. Fish’s children.</w:t>
      </w:r>
    </w:p>
    <w:p>
      <w:pPr>
        <w:spacing w:after="0" w:line="129"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Included in the “All directors and executive officers as a group” are 14,106 stock equivalents attributable to the executive officers’ collective holdings in the Company’s 401(k) Retirement Savings Plan stock fund.</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34"/>
          <w:szCs w:val="34"/>
          <w:b w:val="1"/>
          <w:bCs w:val="1"/>
          <w:color w:val="0C3D25"/>
        </w:rPr>
        <w:t>SECURITY OWNERSHIP OF CERTAIN BENEFICIAL OWNERS</w:t>
      </w:r>
    </w:p>
    <w:p>
      <w:pPr>
        <w:spacing w:after="0" w:line="197" w:lineRule="exact"/>
        <w:rPr>
          <w:sz w:val="20"/>
          <w:szCs w:val="20"/>
          <w:color w:val="auto"/>
        </w:rPr>
      </w:pPr>
    </w:p>
    <w:p>
      <w:pPr>
        <w:ind w:left="2"/>
        <w:spacing w:after="0" w:line="249" w:lineRule="auto"/>
        <w:rPr>
          <w:sz w:val="20"/>
          <w:szCs w:val="20"/>
          <w:color w:val="auto"/>
        </w:rPr>
      </w:pPr>
      <w:r>
        <w:rPr>
          <w:rFonts w:ascii="Arial" w:cs="Arial" w:eastAsia="Arial" w:hAnsi="Arial"/>
          <w:sz w:val="20"/>
          <w:szCs w:val="20"/>
          <w:color w:val="auto"/>
        </w:rPr>
        <w:t>The table below shows information for persons known to us to beneficially own more than 5% of our Common Stock based on their filings with the SEC through March 17, 2026.</w:t>
      </w:r>
    </w:p>
    <w:p>
      <w:pPr>
        <w:spacing w:after="0" w:line="9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0C3D25"/>
                <w:w w:val="92"/>
              </w:rPr>
              <w:t>Shares Beneficially</w:t>
            </w:r>
          </w:p>
        </w:tc>
      </w:tr>
      <w:tr>
        <w:trPr>
          <w:trHeight w:val="184"/>
        </w:trPr>
        <w:tc>
          <w:tcPr>
            <w:tcW w:w="7900" w:type="dxa"/>
            <w:vAlign w:val="bottom"/>
          </w:tcPr>
          <w:p>
            <w:pPr>
              <w:spacing w:after="0"/>
              <w:rPr>
                <w:sz w:val="15"/>
                <w:szCs w:val="15"/>
                <w:color w:val="auto"/>
              </w:rPr>
            </w:pPr>
          </w:p>
        </w:tc>
        <w:tc>
          <w:tcPr>
            <w:tcW w:w="1380" w:type="dxa"/>
            <w:vAlign w:val="bottom"/>
          </w:tcPr>
          <w:p>
            <w:pPr>
              <w:jc w:val="center"/>
              <w:ind w:left="730"/>
              <w:spacing w:after="0"/>
              <w:rPr>
                <w:sz w:val="20"/>
                <w:szCs w:val="20"/>
                <w:color w:val="auto"/>
              </w:rPr>
            </w:pPr>
            <w:r>
              <w:rPr>
                <w:rFonts w:ascii="Arial" w:cs="Arial" w:eastAsia="Arial" w:hAnsi="Arial"/>
                <w:sz w:val="16"/>
                <w:szCs w:val="16"/>
                <w:b w:val="1"/>
                <w:bCs w:val="1"/>
                <w:color w:val="0C3D25"/>
                <w:w w:val="89"/>
              </w:rPr>
              <w:t>Owned</w:t>
            </w:r>
          </w:p>
        </w:tc>
        <w:tc>
          <w:tcPr>
            <w:tcW w:w="780" w:type="dxa"/>
            <w:vAlign w:val="bottom"/>
          </w:tcPr>
          <w:p>
            <w:pPr>
              <w:spacing w:after="0"/>
              <w:rPr>
                <w:sz w:val="15"/>
                <w:szCs w:val="15"/>
                <w:color w:val="auto"/>
              </w:rPr>
            </w:pPr>
          </w:p>
        </w:tc>
      </w:tr>
      <w:tr>
        <w:trPr>
          <w:trHeight w:val="42"/>
        </w:trPr>
        <w:tc>
          <w:tcPr>
            <w:tcW w:w="7900" w:type="dxa"/>
            <w:vAlign w:val="bottom"/>
          </w:tcPr>
          <w:p>
            <w:pPr>
              <w:spacing w:after="0"/>
              <w:rPr>
                <w:sz w:val="3"/>
                <w:szCs w:val="3"/>
                <w:color w:val="auto"/>
              </w:rPr>
            </w:pPr>
          </w:p>
        </w:tc>
        <w:tc>
          <w:tcPr>
            <w:tcW w:w="1380" w:type="dxa"/>
            <w:vAlign w:val="bottom"/>
            <w:tcBorders>
              <w:bottom w:val="single" w:sz="8" w:color="0C3D25"/>
            </w:tcBorders>
          </w:tcPr>
          <w:p>
            <w:pPr>
              <w:spacing w:after="0"/>
              <w:rPr>
                <w:sz w:val="3"/>
                <w:szCs w:val="3"/>
                <w:color w:val="auto"/>
              </w:rPr>
            </w:pPr>
          </w:p>
        </w:tc>
        <w:tc>
          <w:tcPr>
            <w:tcW w:w="780" w:type="dxa"/>
            <w:vAlign w:val="bottom"/>
            <w:tcBorders>
              <w:bottom w:val="single" w:sz="8" w:color="0C3D25"/>
            </w:tcBorders>
          </w:tcPr>
          <w:p>
            <w:pPr>
              <w:spacing w:after="0"/>
              <w:rPr>
                <w:sz w:val="3"/>
                <w:szCs w:val="3"/>
                <w:color w:val="auto"/>
              </w:rPr>
            </w:pPr>
          </w:p>
        </w:tc>
      </w:tr>
      <w:tr>
        <w:trPr>
          <w:trHeight w:val="251"/>
        </w:trPr>
        <w:tc>
          <w:tcPr>
            <w:tcW w:w="790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 and Address</w:t>
            </w:r>
          </w:p>
        </w:tc>
        <w:tc>
          <w:tcPr>
            <w:tcW w:w="1380" w:type="dxa"/>
            <w:vAlign w:val="bottom"/>
            <w:tcBorders>
              <w:bottom w:val="single" w:sz="8" w:color="0C3D25"/>
            </w:tcBorders>
          </w:tcPr>
          <w:p>
            <w:pPr>
              <w:jc w:val="center"/>
              <w:ind w:right="10"/>
              <w:spacing w:after="0"/>
              <w:rPr>
                <w:sz w:val="20"/>
                <w:szCs w:val="20"/>
                <w:color w:val="auto"/>
              </w:rPr>
            </w:pPr>
            <w:r>
              <w:rPr>
                <w:rFonts w:ascii="Arial" w:cs="Arial" w:eastAsia="Arial" w:hAnsi="Arial"/>
                <w:sz w:val="16"/>
                <w:szCs w:val="16"/>
                <w:b w:val="1"/>
                <w:bCs w:val="1"/>
                <w:color w:val="0C3D25"/>
                <w:w w:val="92"/>
              </w:rPr>
              <w:t>Number</w:t>
            </w:r>
          </w:p>
        </w:tc>
        <w:tc>
          <w:tcPr>
            <w:tcW w:w="78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w w:val="94"/>
              </w:rPr>
              <w:t>Percent</w:t>
            </w:r>
            <w:r>
              <w:rPr>
                <w:rFonts w:ascii="Arial" w:cs="Arial" w:eastAsia="Arial" w:hAnsi="Arial"/>
                <w:sz w:val="19"/>
                <w:szCs w:val="19"/>
                <w:b w:val="1"/>
                <w:bCs w:val="1"/>
                <w:color w:val="0C3D25"/>
                <w:w w:val="94"/>
                <w:vertAlign w:val="superscript"/>
              </w:rPr>
              <w:t>(1)</w:t>
            </w:r>
          </w:p>
        </w:tc>
      </w:tr>
      <w:tr>
        <w:trPr>
          <w:trHeight w:val="277"/>
        </w:trPr>
        <w:tc>
          <w:tcPr>
            <w:tcW w:w="7900" w:type="dxa"/>
            <w:vAlign w:val="bottom"/>
          </w:tcPr>
          <w:p>
            <w:pPr>
              <w:ind w:left="60"/>
              <w:spacing w:after="0"/>
              <w:rPr>
                <w:sz w:val="20"/>
                <w:szCs w:val="20"/>
                <w:color w:val="auto"/>
              </w:rPr>
            </w:pPr>
            <w:r>
              <w:rPr>
                <w:rFonts w:ascii="Arial" w:cs="Arial" w:eastAsia="Arial" w:hAnsi="Arial"/>
                <w:sz w:val="20"/>
                <w:szCs w:val="20"/>
                <w:color w:val="auto"/>
              </w:rPr>
              <w:t>The Vanguard Group</w:t>
            </w:r>
          </w:p>
        </w:tc>
        <w:tc>
          <w:tcPr>
            <w:tcW w:w="1380" w:type="dxa"/>
            <w:vAlign w:val="bottom"/>
          </w:tcPr>
          <w:p>
            <w:pPr>
              <w:jc w:val="center"/>
              <w:spacing w:after="0" w:line="277" w:lineRule="exact"/>
              <w:rPr>
                <w:sz w:val="20"/>
                <w:szCs w:val="20"/>
                <w:color w:val="auto"/>
              </w:rPr>
            </w:pPr>
            <w:r>
              <w:rPr>
                <w:rFonts w:ascii="Arial" w:cs="Arial" w:eastAsia="Arial" w:hAnsi="Arial"/>
                <w:sz w:val="20"/>
                <w:szCs w:val="20"/>
                <w:color w:val="auto"/>
                <w:w w:val="89"/>
              </w:rPr>
              <w:t>36,159,856</w:t>
            </w:r>
            <w:r>
              <w:rPr>
                <w:rFonts w:ascii="Arial" w:cs="Arial" w:eastAsia="Arial" w:hAnsi="Arial"/>
                <w:sz w:val="25"/>
                <w:szCs w:val="25"/>
                <w:color w:val="auto"/>
                <w:w w:val="89"/>
                <w:vertAlign w:val="superscript"/>
              </w:rPr>
              <w:t>(2)</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9.0%</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100 Vanguard Boulevard</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Malvern, PA 19355</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90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780" w:type="dxa"/>
            <w:vAlign w:val="bottom"/>
            <w:tcBorders>
              <w:bottom w:val="single" w:sz="8" w:color="0C3D25"/>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William H. Gates III</w:t>
            </w:r>
          </w:p>
        </w:tc>
        <w:tc>
          <w:tcPr>
            <w:tcW w:w="1380" w:type="dxa"/>
            <w:vAlign w:val="bottom"/>
          </w:tcPr>
          <w:p>
            <w:pPr>
              <w:jc w:val="center"/>
              <w:spacing w:after="0" w:line="262" w:lineRule="exact"/>
              <w:rPr>
                <w:sz w:val="20"/>
                <w:szCs w:val="20"/>
                <w:color w:val="auto"/>
              </w:rPr>
            </w:pPr>
            <w:r>
              <w:rPr>
                <w:rFonts w:ascii="Arial" w:cs="Arial" w:eastAsia="Arial" w:hAnsi="Arial"/>
                <w:sz w:val="20"/>
                <w:szCs w:val="20"/>
                <w:color w:val="auto"/>
                <w:w w:val="89"/>
              </w:rPr>
              <w:t>28,934,344</w:t>
            </w:r>
            <w:r>
              <w:rPr>
                <w:rFonts w:ascii="Arial" w:cs="Arial" w:eastAsia="Arial" w:hAnsi="Arial"/>
                <w:sz w:val="25"/>
                <w:szCs w:val="25"/>
                <w:color w:val="auto"/>
                <w:w w:val="89"/>
                <w:vertAlign w:val="superscript"/>
              </w:rPr>
              <w:t>(3)</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7.2%</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500 Fifth Avenue North</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Seattle, WA 98109</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99"/>
        </w:trPr>
        <w:tc>
          <w:tcPr>
            <w:tcW w:w="7900" w:type="dxa"/>
            <w:vAlign w:val="bottom"/>
          </w:tcPr>
          <w:p>
            <w:pPr>
              <w:ind w:left="60"/>
              <w:spacing w:after="0"/>
              <w:rPr>
                <w:sz w:val="20"/>
                <w:szCs w:val="20"/>
                <w:color w:val="auto"/>
              </w:rPr>
            </w:pPr>
            <w:r>
              <w:rPr>
                <w:rFonts w:ascii="Arial" w:cs="Arial" w:eastAsia="Arial" w:hAnsi="Arial"/>
                <w:sz w:val="20"/>
                <w:szCs w:val="20"/>
                <w:color w:val="auto"/>
              </w:rPr>
              <w:t>Gates Foundation Trust</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2365 Carillon Point</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Kirkland, WA 98033</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90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780" w:type="dxa"/>
            <w:vAlign w:val="bottom"/>
            <w:tcBorders>
              <w:bottom w:val="single" w:sz="8" w:color="0C3D25"/>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BlackRock, Inc.</w:t>
            </w:r>
          </w:p>
        </w:tc>
        <w:tc>
          <w:tcPr>
            <w:tcW w:w="1380" w:type="dxa"/>
            <w:vAlign w:val="bottom"/>
          </w:tcPr>
          <w:p>
            <w:pPr>
              <w:jc w:val="center"/>
              <w:spacing w:after="0" w:line="262" w:lineRule="exact"/>
              <w:rPr>
                <w:sz w:val="20"/>
                <w:szCs w:val="20"/>
                <w:color w:val="auto"/>
              </w:rPr>
            </w:pPr>
            <w:r>
              <w:rPr>
                <w:rFonts w:ascii="Arial" w:cs="Arial" w:eastAsia="Arial" w:hAnsi="Arial"/>
                <w:sz w:val="20"/>
                <w:szCs w:val="20"/>
                <w:color w:val="auto"/>
                <w:w w:val="89"/>
              </w:rPr>
              <w:t>28,665,838</w:t>
            </w:r>
            <w:r>
              <w:rPr>
                <w:rFonts w:ascii="Arial" w:cs="Arial" w:eastAsia="Arial" w:hAnsi="Arial"/>
                <w:sz w:val="25"/>
                <w:szCs w:val="25"/>
                <w:color w:val="auto"/>
                <w:w w:val="89"/>
                <w:vertAlign w:val="superscript"/>
              </w:rPr>
              <w:t>(4)</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7.1%</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50 Hudson Yards</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New York, NY 10001</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
        </w:trPr>
        <w:tc>
          <w:tcPr>
            <w:tcW w:w="790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78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ind w:left="402" w:hanging="402"/>
        <w:spacing w:after="0"/>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Percentage is calculated based on 402,913,509 shares of Common Stock outstanding as of March 17, 2026.</w:t>
      </w:r>
    </w:p>
    <w:p>
      <w:pPr>
        <w:spacing w:after="0" w:line="129" w:lineRule="exact"/>
        <w:rPr>
          <w:rFonts w:ascii="Arial" w:cs="Arial" w:eastAsia="Arial" w:hAnsi="Arial"/>
          <w:sz w:val="20"/>
          <w:szCs w:val="20"/>
          <w:color w:val="auto"/>
        </w:rPr>
      </w:pPr>
    </w:p>
    <w:p>
      <w:pPr>
        <w:jc w:val="both"/>
        <w:ind w:left="402" w:hanging="402"/>
        <w:spacing w:after="0" w:line="286"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which is the most recent Schedule 13G filed by the investor with respect to ownership of our Common Stock. The Vanguard Group reports that it has shared voting power over 521,224 shares of Common Stock, shared dispositive power over 1,655,291 shares of Common Stock and sole dispositive power over 34,504,565 shares of Common Stock beneficially owned.</w:t>
      </w:r>
    </w:p>
    <w:p>
      <w:pPr>
        <w:spacing w:after="0" w:line="91" w:lineRule="exact"/>
        <w:rPr>
          <w:rFonts w:ascii="Arial" w:cs="Arial" w:eastAsia="Arial" w:hAnsi="Arial"/>
          <w:sz w:val="18"/>
          <w:szCs w:val="18"/>
          <w:color w:val="auto"/>
        </w:rPr>
      </w:pPr>
    </w:p>
    <w:p>
      <w:pPr>
        <w:jc w:val="both"/>
        <w:ind w:left="402" w:hanging="402"/>
        <w:spacing w:after="0" w:line="249" w:lineRule="auto"/>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November 14, 2025 which is the most recent Schedule 13G filed by the investor with respect to ownership of our Common Stock. Mr. Gates and the Gates Foundation Trust, formerly known as the Bill &amp; Melinda Gates Foundation Trust, each report shared voting and dispositive power over 28,934,344 shares of Common Stock beneficially owned.</w:t>
      </w:r>
    </w:p>
    <w:p>
      <w:pPr>
        <w:spacing w:after="0" w:line="123" w:lineRule="exact"/>
        <w:rPr>
          <w:rFonts w:ascii="Arial" w:cs="Arial" w:eastAsia="Arial" w:hAnsi="Arial"/>
          <w:sz w:val="20"/>
          <w:szCs w:val="20"/>
          <w:color w:val="auto"/>
        </w:rPr>
      </w:pPr>
    </w:p>
    <w:p>
      <w:pPr>
        <w:jc w:val="both"/>
        <w:ind w:left="402" w:hanging="402"/>
        <w:spacing w:after="0" w:line="249" w:lineRule="auto"/>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January 26, 2024, which is the most recent Schedule 13G filed by the investor with respect to ownership of our Common Stock. BlackRock, Inc. reports that it has sole voting power over 25,826,390 shares of Common Stock and sole dispositive power over 28,665,838 shares of Common Stock beneficially owned.</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35" w:name="page36"/>
    <w:bookmarkEnd w:id="35"/>
    <w:p>
      <w:pPr>
        <w:spacing w:after="0"/>
        <w:rPr>
          <w:sz w:val="20"/>
          <w:szCs w:val="20"/>
          <w:color w:val="auto"/>
        </w:rPr>
      </w:pPr>
      <w:r>
        <w:rPr>
          <w:rFonts w:ascii="Arial" w:cs="Arial" w:eastAsia="Arial" w:hAnsi="Arial"/>
          <w:sz w:val="40"/>
          <w:szCs w:val="40"/>
          <w:b w:val="1"/>
          <w:bCs w:val="1"/>
          <w:color w:val="0C3D25"/>
        </w:rPr>
        <w:t>EXECUTIVE OFFICERS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is a listing of our current executive officers, their ages and their business experience for the past five years (other than Mr. Fish, whose age, experience and qualifications are included in the director nominees section of this Proxy Statement) as well as Ms. Rankin, who served as an executive officer until her resignation in November 2025. All prior positions listed below were with our Company.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60"/>
              <w:spacing w:after="0"/>
              <w:rPr>
                <w:sz w:val="20"/>
                <w:szCs w:val="20"/>
                <w:color w:val="auto"/>
              </w:rPr>
            </w:pPr>
            <w:r>
              <w:rPr>
                <w:rFonts w:ascii="Arial" w:cs="Arial" w:eastAsia="Arial" w:hAnsi="Arial"/>
                <w:sz w:val="16"/>
                <w:szCs w:val="16"/>
                <w:b w:val="1"/>
                <w:bCs w:val="1"/>
                <w:color w:val="0C3D25"/>
              </w:rPr>
              <w:t>Name</w:t>
            </w:r>
          </w:p>
        </w:tc>
        <w:tc>
          <w:tcPr>
            <w:tcW w:w="700" w:type="dxa"/>
            <w:vAlign w:val="bottom"/>
          </w:tcPr>
          <w:p>
            <w:pPr>
              <w:ind w:left="320"/>
              <w:spacing w:after="0"/>
              <w:rPr>
                <w:sz w:val="20"/>
                <w:szCs w:val="20"/>
                <w:color w:val="auto"/>
              </w:rPr>
            </w:pPr>
            <w:r>
              <w:rPr>
                <w:rFonts w:ascii="Arial" w:cs="Arial" w:eastAsia="Arial" w:hAnsi="Arial"/>
                <w:sz w:val="16"/>
                <w:szCs w:val="16"/>
                <w:b w:val="1"/>
                <w:bCs w:val="1"/>
                <w:color w:val="0C3D25"/>
              </w:rPr>
              <w:t>Age</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380" w:type="dxa"/>
            <w:vAlign w:val="bottom"/>
            <w:gridSpan w:val="6"/>
          </w:tcPr>
          <w:p>
            <w:pPr>
              <w:ind w:left="680"/>
              <w:spacing w:after="0"/>
              <w:rPr>
                <w:sz w:val="20"/>
                <w:szCs w:val="20"/>
                <w:color w:val="auto"/>
              </w:rPr>
            </w:pPr>
            <w:r>
              <w:rPr>
                <w:rFonts w:ascii="Arial" w:cs="Arial" w:eastAsia="Arial" w:hAnsi="Arial"/>
                <w:sz w:val="16"/>
                <w:szCs w:val="16"/>
                <w:b w:val="1"/>
                <w:bCs w:val="1"/>
                <w:color w:val="0C3D25"/>
              </w:rPr>
              <w:t>Positions Held and Business Experience for Past Five Years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2"/>
        </w:trPr>
        <w:tc>
          <w:tcPr>
            <w:tcW w:w="2380" w:type="dxa"/>
            <w:vAlign w:val="bottom"/>
            <w:tcBorders>
              <w:bottom w:val="single" w:sz="8" w:color="0C3D25"/>
            </w:tcBorders>
          </w:tcPr>
          <w:p>
            <w:pPr>
              <w:spacing w:after="0"/>
              <w:rPr>
                <w:sz w:val="2"/>
                <w:szCs w:val="2"/>
                <w:color w:val="auto"/>
              </w:rPr>
            </w:pPr>
          </w:p>
        </w:tc>
        <w:tc>
          <w:tcPr>
            <w:tcW w:w="7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5860" w:type="dxa"/>
            <w:vAlign w:val="bottom"/>
            <w:tcBorders>
              <w:bottom w:val="single" w:sz="8" w:color="0C3D25"/>
            </w:tcBorders>
            <w:gridSpan w:val="7"/>
          </w:tcPr>
          <w:p>
            <w:pPr>
              <w:spacing w:after="0"/>
              <w:rPr>
                <w:sz w:val="2"/>
                <w:szCs w:val="2"/>
                <w:color w:val="auto"/>
              </w:rPr>
            </w:pPr>
          </w:p>
        </w:tc>
        <w:tc>
          <w:tcPr>
            <w:tcW w:w="580" w:type="dxa"/>
            <w:vAlign w:val="bottom"/>
            <w:tcBorders>
              <w:bottom w:val="single" w:sz="8" w:color="0C3D25"/>
            </w:tcBorders>
          </w:tcPr>
          <w:p>
            <w:pPr>
              <w:spacing w:after="0"/>
              <w:rPr>
                <w:sz w:val="2"/>
                <w:szCs w:val="2"/>
                <w:color w:val="auto"/>
              </w:rPr>
            </w:pPr>
          </w:p>
        </w:tc>
        <w:tc>
          <w:tcPr>
            <w:tcW w:w="280" w:type="dxa"/>
            <w:vAlign w:val="bottom"/>
            <w:tcBorders>
              <w:bottom w:val="single" w:sz="8" w:color="0C3D25"/>
            </w:tcBorders>
          </w:tcPr>
          <w:p>
            <w:pPr>
              <w:spacing w:after="0"/>
              <w:rPr>
                <w:sz w:val="2"/>
                <w:szCs w:val="2"/>
                <w:color w:val="auto"/>
              </w:rPr>
            </w:pPr>
          </w:p>
        </w:tc>
      </w:tr>
      <w:tr>
        <w:trPr>
          <w:trHeight w:val="254"/>
        </w:trPr>
        <w:tc>
          <w:tcPr>
            <w:tcW w:w="2380" w:type="dxa"/>
            <w:vAlign w:val="bottom"/>
          </w:tcPr>
          <w:p>
            <w:pPr>
              <w:ind w:left="60"/>
              <w:spacing w:after="0"/>
              <w:rPr>
                <w:sz w:val="20"/>
                <w:szCs w:val="20"/>
                <w:color w:val="auto"/>
              </w:rPr>
            </w:pPr>
            <w:r>
              <w:rPr>
                <w:rFonts w:ascii="Arial" w:cs="Arial" w:eastAsia="Arial" w:hAnsi="Arial"/>
                <w:sz w:val="20"/>
                <w:szCs w:val="20"/>
                <w:color w:val="auto"/>
              </w:rPr>
              <w:t>Charles C. Boettcher</w:t>
            </w:r>
          </w:p>
        </w:tc>
        <w:tc>
          <w:tcPr>
            <w:tcW w:w="700" w:type="dxa"/>
            <w:vAlign w:val="bottom"/>
          </w:tcPr>
          <w:p>
            <w:pPr>
              <w:ind w:left="320"/>
              <w:spacing w:after="0"/>
              <w:rPr>
                <w:sz w:val="20"/>
                <w:szCs w:val="20"/>
                <w:color w:val="auto"/>
              </w:rPr>
            </w:pPr>
            <w:r>
              <w:rPr>
                <w:rFonts w:ascii="Arial" w:cs="Arial" w:eastAsia="Arial" w:hAnsi="Arial"/>
                <w:sz w:val="20"/>
                <w:szCs w:val="20"/>
                <w:color w:val="auto"/>
              </w:rPr>
              <w:t>52</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860" w:type="dxa"/>
            <w:vAlign w:val="bottom"/>
            <w:gridSpan w:val="7"/>
          </w:tcPr>
          <w:p>
            <w:pPr>
              <w:ind w:left="60"/>
              <w:spacing w:after="0"/>
              <w:rPr>
                <w:sz w:val="20"/>
                <w:szCs w:val="20"/>
                <w:color w:val="auto"/>
              </w:rPr>
            </w:pPr>
            <w:r>
              <w:rPr>
                <w:rFonts w:ascii="Arial" w:cs="Arial" w:eastAsia="Arial" w:hAnsi="Arial"/>
                <w:sz w:val="20"/>
                <w:szCs w:val="20"/>
                <w:color w:val="auto"/>
              </w:rPr>
              <w:t>Executive Vice President and Chief Legal officer since July 2024.</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80" w:type="dxa"/>
            <w:vAlign w:val="bottom"/>
            <w:gridSpan w:val="10"/>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Executive Vice President, Corporate Development and Chief Legal Officer</w:t>
            </w:r>
          </w:p>
        </w:tc>
      </w:tr>
      <w:tr>
        <w:trPr>
          <w:trHeight w:val="238"/>
        </w:trPr>
        <w:tc>
          <w:tcPr>
            <w:tcW w:w="2380" w:type="dxa"/>
            <w:vAlign w:val="bottom"/>
            <w:tcBorders>
              <w:bottom w:val="single" w:sz="8" w:color="0C3D25"/>
            </w:tcBorders>
          </w:tcPr>
          <w:p>
            <w:pPr>
              <w:spacing w:after="0"/>
              <w:rPr>
                <w:sz w:val="20"/>
                <w:szCs w:val="20"/>
                <w:color w:val="auto"/>
              </w:rPr>
            </w:pPr>
          </w:p>
        </w:tc>
        <w:tc>
          <w:tcPr>
            <w:tcW w:w="700" w:type="dxa"/>
            <w:vAlign w:val="bottom"/>
            <w:tcBorders>
              <w:bottom w:val="single" w:sz="8" w:color="0C3D25"/>
            </w:tcBorders>
          </w:tcPr>
          <w:p>
            <w:pPr>
              <w:spacing w:after="0"/>
              <w:rPr>
                <w:sz w:val="20"/>
                <w:szCs w:val="20"/>
                <w:color w:val="auto"/>
              </w:rPr>
            </w:pPr>
          </w:p>
        </w:tc>
        <w:tc>
          <w:tcPr>
            <w:tcW w:w="260" w:type="dxa"/>
            <w:vAlign w:val="bottom"/>
            <w:tcBorders>
              <w:bottom w:val="single" w:sz="8" w:color="0C3D25"/>
            </w:tcBorders>
          </w:tcPr>
          <w:p>
            <w:pPr>
              <w:spacing w:after="0"/>
              <w:rPr>
                <w:sz w:val="20"/>
                <w:szCs w:val="20"/>
                <w:color w:val="auto"/>
              </w:rPr>
            </w:pPr>
          </w:p>
        </w:tc>
        <w:tc>
          <w:tcPr>
            <w:tcW w:w="2540" w:type="dxa"/>
            <w:vAlign w:val="bottom"/>
            <w:tcBorders>
              <w:bottom w:val="single" w:sz="8" w:color="0C3D25"/>
            </w:tcBorders>
            <w:gridSpan w:val="3"/>
          </w:tcPr>
          <w:p>
            <w:pPr>
              <w:ind w:left="60"/>
              <w:spacing w:after="0"/>
              <w:rPr>
                <w:sz w:val="20"/>
                <w:szCs w:val="20"/>
                <w:color w:val="auto"/>
              </w:rPr>
            </w:pPr>
            <w:r>
              <w:rPr>
                <w:rFonts w:ascii="Arial" w:cs="Arial" w:eastAsia="Arial" w:hAnsi="Arial"/>
                <w:sz w:val="20"/>
                <w:szCs w:val="20"/>
                <w:color w:val="auto"/>
              </w:rPr>
              <w:t>from 2020 to July 2024.</w:t>
            </w:r>
          </w:p>
        </w:tc>
        <w:tc>
          <w:tcPr>
            <w:tcW w:w="1280" w:type="dxa"/>
            <w:vAlign w:val="bottom"/>
            <w:tcBorders>
              <w:bottom w:val="single" w:sz="8" w:color="0C3D25"/>
            </w:tcBorders>
          </w:tcPr>
          <w:p>
            <w:pPr>
              <w:spacing w:after="0"/>
              <w:rPr>
                <w:sz w:val="20"/>
                <w:szCs w:val="20"/>
                <w:color w:val="auto"/>
              </w:rPr>
            </w:pPr>
          </w:p>
        </w:tc>
        <w:tc>
          <w:tcPr>
            <w:tcW w:w="680" w:type="dxa"/>
            <w:vAlign w:val="bottom"/>
            <w:tcBorders>
              <w:bottom w:val="single" w:sz="8" w:color="0C3D25"/>
            </w:tcBorders>
          </w:tcPr>
          <w:p>
            <w:pPr>
              <w:spacing w:after="0"/>
              <w:rPr>
                <w:sz w:val="20"/>
                <w:szCs w:val="20"/>
                <w:color w:val="auto"/>
              </w:rPr>
            </w:pPr>
          </w:p>
        </w:tc>
        <w:tc>
          <w:tcPr>
            <w:tcW w:w="800" w:type="dxa"/>
            <w:vAlign w:val="bottom"/>
            <w:tcBorders>
              <w:bottom w:val="single" w:sz="8" w:color="0C3D25"/>
            </w:tcBorders>
          </w:tcPr>
          <w:p>
            <w:pPr>
              <w:spacing w:after="0"/>
              <w:rPr>
                <w:sz w:val="20"/>
                <w:szCs w:val="20"/>
                <w:color w:val="auto"/>
              </w:rPr>
            </w:pPr>
          </w:p>
        </w:tc>
        <w:tc>
          <w:tcPr>
            <w:tcW w:w="560" w:type="dxa"/>
            <w:vAlign w:val="bottom"/>
            <w:tcBorders>
              <w:bottom w:val="single" w:sz="8" w:color="0C3D25"/>
            </w:tcBorders>
          </w:tcPr>
          <w:p>
            <w:pPr>
              <w:spacing w:after="0"/>
              <w:rPr>
                <w:sz w:val="20"/>
                <w:szCs w:val="20"/>
                <w:color w:val="auto"/>
              </w:rPr>
            </w:pPr>
          </w:p>
        </w:tc>
        <w:tc>
          <w:tcPr>
            <w:tcW w:w="580" w:type="dxa"/>
            <w:vAlign w:val="bottom"/>
            <w:tcBorders>
              <w:bottom w:val="single" w:sz="8" w:color="0C3D25"/>
            </w:tcBorders>
          </w:tcPr>
          <w:p>
            <w:pPr>
              <w:spacing w:after="0"/>
              <w:rPr>
                <w:sz w:val="20"/>
                <w:szCs w:val="20"/>
                <w:color w:val="auto"/>
              </w:rPr>
            </w:pPr>
          </w:p>
        </w:tc>
        <w:tc>
          <w:tcPr>
            <w:tcW w:w="280" w:type="dxa"/>
            <w:vAlign w:val="bottom"/>
            <w:tcBorders>
              <w:bottom w:val="single" w:sz="8" w:color="0C3D25"/>
            </w:tcBorders>
          </w:tcPr>
          <w:p>
            <w:pPr>
              <w:spacing w:after="0"/>
              <w:rPr>
                <w:sz w:val="20"/>
                <w:szCs w:val="20"/>
                <w:color w:val="auto"/>
              </w:rPr>
            </w:pPr>
          </w:p>
        </w:tc>
      </w:tr>
      <w:tr>
        <w:trPr>
          <w:trHeight w:val="247"/>
        </w:trPr>
        <w:tc>
          <w:tcPr>
            <w:tcW w:w="238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700" w:type="dxa"/>
            <w:vAlign w:val="bottom"/>
          </w:tcPr>
          <w:p>
            <w:pPr>
              <w:ind w:left="320"/>
              <w:spacing w:after="0"/>
              <w:rPr>
                <w:sz w:val="20"/>
                <w:szCs w:val="20"/>
                <w:color w:val="auto"/>
              </w:rPr>
            </w:pPr>
            <w:r>
              <w:rPr>
                <w:rFonts w:ascii="Arial" w:cs="Arial" w:eastAsia="Arial" w:hAnsi="Arial"/>
                <w:sz w:val="20"/>
                <w:szCs w:val="20"/>
                <w:color w:val="auto"/>
              </w:rPr>
              <w:t>54</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6720" w:type="dxa"/>
            <w:vAlign w:val="bottom"/>
            <w:gridSpan w:val="9"/>
          </w:tcPr>
          <w:p>
            <w:pPr>
              <w:ind w:left="60"/>
              <w:spacing w:after="0"/>
              <w:rPr>
                <w:sz w:val="20"/>
                <w:szCs w:val="20"/>
                <w:color w:val="auto"/>
              </w:rPr>
            </w:pPr>
            <w:r>
              <w:rPr>
                <w:rFonts w:ascii="Arial" w:cs="Arial" w:eastAsia="Arial" w:hAnsi="Arial"/>
                <w:sz w:val="20"/>
                <w:szCs w:val="20"/>
                <w:color w:val="auto"/>
                <w:w w:val="95"/>
              </w:rPr>
              <w:t>Senior Vice President — Enterprise Strategy and President — WM Healthcare</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20" w:type="dxa"/>
            <w:vAlign w:val="bottom"/>
            <w:gridSpan w:val="4"/>
          </w:tcPr>
          <w:p>
            <w:pPr>
              <w:ind w:left="60"/>
              <w:spacing w:after="0"/>
              <w:rPr>
                <w:sz w:val="20"/>
                <w:szCs w:val="20"/>
                <w:color w:val="auto"/>
              </w:rPr>
            </w:pPr>
            <w:r>
              <w:rPr>
                <w:rFonts w:ascii="Arial" w:cs="Arial" w:eastAsia="Arial" w:hAnsi="Arial"/>
                <w:sz w:val="20"/>
                <w:szCs w:val="20"/>
                <w:color w:val="auto"/>
              </w:rPr>
              <w:t>Solutions since November 2024.</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860" w:type="dxa"/>
            <w:vAlign w:val="bottom"/>
            <w:gridSpan w:val="7"/>
          </w:tcPr>
          <w:p>
            <w:pPr>
              <w:ind w:left="60"/>
              <w:spacing w:after="0"/>
              <w:rPr>
                <w:sz w:val="20"/>
                <w:szCs w:val="20"/>
                <w:color w:val="auto"/>
              </w:rPr>
            </w:pPr>
            <w:r>
              <w:rPr>
                <w:rFonts w:ascii="Arial" w:cs="Arial" w:eastAsia="Arial" w:hAnsi="Arial"/>
                <w:sz w:val="20"/>
                <w:szCs w:val="20"/>
                <w:color w:val="auto"/>
              </w:rPr>
              <w:t>Senior  Vice  President — Enterprise  Strategy  from  September</w:t>
            </w:r>
          </w:p>
        </w:tc>
        <w:tc>
          <w:tcPr>
            <w:tcW w:w="580" w:type="dxa"/>
            <w:vAlign w:val="bottom"/>
          </w:tcPr>
          <w:p>
            <w:pPr>
              <w:jc w:val="right"/>
              <w:spacing w:after="0"/>
              <w:rPr>
                <w:sz w:val="20"/>
                <w:szCs w:val="20"/>
                <w:color w:val="auto"/>
              </w:rPr>
            </w:pPr>
            <w:r>
              <w:rPr>
                <w:rFonts w:ascii="Arial" w:cs="Arial" w:eastAsia="Arial" w:hAnsi="Arial"/>
                <w:sz w:val="20"/>
                <w:szCs w:val="20"/>
                <w:color w:val="auto"/>
              </w:rPr>
              <w:t>2023</w:t>
            </w:r>
          </w:p>
        </w:tc>
        <w:tc>
          <w:tcPr>
            <w:tcW w:w="280" w:type="dxa"/>
            <w:vAlign w:val="bottom"/>
          </w:tcPr>
          <w:p>
            <w:pPr>
              <w:ind w:left="60"/>
              <w:spacing w:after="0"/>
              <w:rPr>
                <w:sz w:val="20"/>
                <w:szCs w:val="20"/>
                <w:color w:val="auto"/>
              </w:rPr>
            </w:pPr>
            <w:r>
              <w:rPr>
                <w:rFonts w:ascii="Arial" w:cs="Arial" w:eastAsia="Arial" w:hAnsi="Arial"/>
                <w:sz w:val="20"/>
                <w:szCs w:val="20"/>
                <w:color w:val="auto"/>
              </w:rPr>
              <w:t>to</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w w:val="97"/>
              </w:rPr>
              <w:t>November 2024.</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8"/>
          </w:tcPr>
          <w:p>
            <w:pPr>
              <w:ind w:left="120"/>
              <w:spacing w:after="0"/>
              <w:rPr>
                <w:sz w:val="20"/>
                <w:szCs w:val="20"/>
                <w:color w:val="auto"/>
              </w:rPr>
            </w:pPr>
            <w:r>
              <w:rPr>
                <w:rFonts w:ascii="Arial" w:cs="Arial" w:eastAsia="Arial" w:hAnsi="Arial"/>
                <w:sz w:val="20"/>
                <w:szCs w:val="20"/>
                <w:color w:val="0C3D25"/>
                <w:w w:val="97"/>
              </w:rPr>
              <w:t xml:space="preserve">• </w:t>
            </w:r>
            <w:r>
              <w:rPr>
                <w:rFonts w:ascii="Arial" w:cs="Arial" w:eastAsia="Arial" w:hAnsi="Arial"/>
                <w:sz w:val="20"/>
                <w:szCs w:val="20"/>
                <w:color w:val="000000"/>
                <w:w w:val="97"/>
              </w:rPr>
              <w:t>Senior Vice President — Operations from 2021 to September 2023.</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4"/>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6120" w:type="dxa"/>
            <w:vAlign w:val="bottom"/>
            <w:tcBorders>
              <w:bottom w:val="single" w:sz="8" w:color="0C3D25"/>
            </w:tcBorders>
            <w:gridSpan w:val="8"/>
          </w:tcPr>
          <w:p>
            <w:pPr>
              <w:ind w:left="120"/>
              <w:spacing w:after="0"/>
              <w:rPr>
                <w:sz w:val="20"/>
                <w:szCs w:val="20"/>
                <w:color w:val="auto"/>
              </w:rPr>
            </w:pPr>
            <w:r>
              <w:rPr>
                <w:rFonts w:ascii="Arial" w:cs="Arial" w:eastAsia="Arial" w:hAnsi="Arial"/>
                <w:sz w:val="20"/>
                <w:szCs w:val="20"/>
                <w:color w:val="0C3D25"/>
                <w:w w:val="96"/>
              </w:rPr>
              <w:t xml:space="preserve">• </w:t>
            </w:r>
            <w:r>
              <w:rPr>
                <w:rFonts w:ascii="Arial" w:cs="Arial" w:eastAsia="Arial" w:hAnsi="Arial"/>
                <w:sz w:val="20"/>
                <w:szCs w:val="20"/>
                <w:color w:val="000000"/>
                <w:w w:val="96"/>
              </w:rPr>
              <w:t>Area Vice President — Greater Mid-Atlantic Area from 2017 to 2021.</w:t>
            </w:r>
          </w:p>
        </w:tc>
        <w:tc>
          <w:tcPr>
            <w:tcW w:w="580" w:type="dxa"/>
            <w:vAlign w:val="bottom"/>
            <w:tcBorders>
              <w:bottom w:val="single" w:sz="8" w:color="0C3D25"/>
            </w:tcBorders>
          </w:tcPr>
          <w:p>
            <w:pPr>
              <w:spacing w:after="0"/>
              <w:rPr>
                <w:sz w:val="24"/>
                <w:szCs w:val="24"/>
                <w:color w:val="auto"/>
              </w:rPr>
            </w:pP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John A. Carroll</w:t>
            </w:r>
          </w:p>
        </w:tc>
        <w:tc>
          <w:tcPr>
            <w:tcW w:w="700" w:type="dxa"/>
            <w:vAlign w:val="bottom"/>
          </w:tcPr>
          <w:p>
            <w:pPr>
              <w:ind w:left="320"/>
              <w:spacing w:after="0"/>
              <w:rPr>
                <w:sz w:val="20"/>
                <w:szCs w:val="20"/>
                <w:color w:val="auto"/>
              </w:rPr>
            </w:pPr>
            <w:r>
              <w:rPr>
                <w:rFonts w:ascii="Arial" w:cs="Arial" w:eastAsia="Arial" w:hAnsi="Arial"/>
                <w:sz w:val="20"/>
                <w:szCs w:val="20"/>
                <w:color w:val="auto"/>
              </w:rPr>
              <w:t>53</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860" w:type="dxa"/>
            <w:vAlign w:val="bottom"/>
            <w:gridSpan w:val="7"/>
          </w:tcPr>
          <w:p>
            <w:pPr>
              <w:ind w:left="60"/>
              <w:spacing w:after="0"/>
              <w:rPr>
                <w:sz w:val="20"/>
                <w:szCs w:val="20"/>
                <w:color w:val="auto"/>
              </w:rPr>
            </w:pPr>
            <w:r>
              <w:rPr>
                <w:rFonts w:ascii="Arial" w:cs="Arial" w:eastAsia="Arial" w:hAnsi="Arial"/>
                <w:sz w:val="20"/>
                <w:szCs w:val="20"/>
                <w:color w:val="auto"/>
              </w:rPr>
              <w:t>Vice President and Chief Accounting Officer since March 2023.</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4"/>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260" w:type="dxa"/>
            <w:vAlign w:val="bottom"/>
            <w:tcBorders>
              <w:bottom w:val="single" w:sz="8" w:color="0C3D25"/>
            </w:tcBorders>
          </w:tcPr>
          <w:p>
            <w:pPr>
              <w:ind w:left="120"/>
              <w:spacing w:after="0"/>
              <w:rPr>
                <w:sz w:val="20"/>
                <w:szCs w:val="20"/>
                <w:color w:val="auto"/>
              </w:rPr>
            </w:pPr>
            <w:r>
              <w:rPr>
                <w:rFonts w:ascii="Arial" w:cs="Arial" w:eastAsia="Arial" w:hAnsi="Arial"/>
                <w:sz w:val="20"/>
                <w:szCs w:val="20"/>
                <w:color w:val="0C3D25"/>
              </w:rPr>
              <w:t>•</w:t>
            </w:r>
          </w:p>
        </w:tc>
        <w:tc>
          <w:tcPr>
            <w:tcW w:w="6440" w:type="dxa"/>
            <w:vAlign w:val="bottom"/>
            <w:tcBorders>
              <w:bottom w:val="single" w:sz="8" w:color="0C3D25"/>
            </w:tcBorders>
            <w:gridSpan w:val="8"/>
          </w:tcPr>
          <w:p>
            <w:pPr>
              <w:ind w:left="60"/>
              <w:spacing w:after="0"/>
              <w:rPr>
                <w:sz w:val="20"/>
                <w:szCs w:val="20"/>
                <w:color w:val="auto"/>
              </w:rPr>
            </w:pPr>
            <w:r>
              <w:rPr>
                <w:rFonts w:ascii="Arial" w:cs="Arial" w:eastAsia="Arial" w:hAnsi="Arial"/>
                <w:sz w:val="20"/>
                <w:szCs w:val="20"/>
                <w:color w:val="auto"/>
              </w:rPr>
              <w:t>Vice President, Internal Audit and Controls from 2018 to March 2023.</w:t>
            </w: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Christopher P. DeSantis</w:t>
            </w:r>
          </w:p>
        </w:tc>
        <w:tc>
          <w:tcPr>
            <w:tcW w:w="700" w:type="dxa"/>
            <w:vAlign w:val="bottom"/>
          </w:tcPr>
          <w:p>
            <w:pPr>
              <w:ind w:left="320"/>
              <w:spacing w:after="0"/>
              <w:rPr>
                <w:sz w:val="20"/>
                <w:szCs w:val="20"/>
                <w:color w:val="auto"/>
              </w:rPr>
            </w:pPr>
            <w:r>
              <w:rPr>
                <w:rFonts w:ascii="Arial" w:cs="Arial" w:eastAsia="Arial" w:hAnsi="Arial"/>
                <w:sz w:val="20"/>
                <w:szCs w:val="20"/>
                <w:color w:val="auto"/>
              </w:rPr>
              <w:t>62</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300" w:type="dxa"/>
            <w:vAlign w:val="bottom"/>
            <w:gridSpan w:val="6"/>
          </w:tcPr>
          <w:p>
            <w:pPr>
              <w:ind w:left="60"/>
              <w:spacing w:after="0"/>
              <w:rPr>
                <w:sz w:val="20"/>
                <w:szCs w:val="20"/>
                <w:color w:val="auto"/>
              </w:rPr>
            </w:pPr>
            <w:r>
              <w:rPr>
                <w:rFonts w:ascii="Arial" w:cs="Arial" w:eastAsia="Arial" w:hAnsi="Arial"/>
                <w:sz w:val="20"/>
                <w:szCs w:val="20"/>
                <w:color w:val="auto"/>
              </w:rPr>
              <w:t>Senior Vice President — Operations since October 2023</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6120" w:type="dxa"/>
            <w:vAlign w:val="bottom"/>
            <w:tcBorders>
              <w:bottom w:val="single" w:sz="8" w:color="0C3D25"/>
            </w:tcBorders>
            <w:gridSpan w:val="8"/>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Area Vice President — New England from 2009 to October 2023.</w:t>
            </w:r>
          </w:p>
        </w:tc>
        <w:tc>
          <w:tcPr>
            <w:tcW w:w="580" w:type="dxa"/>
            <w:vAlign w:val="bottom"/>
            <w:tcBorders>
              <w:bottom w:val="single" w:sz="8" w:color="0C3D25"/>
            </w:tcBorders>
          </w:tcPr>
          <w:p>
            <w:pPr>
              <w:spacing w:after="0"/>
              <w:rPr>
                <w:sz w:val="24"/>
                <w:szCs w:val="24"/>
                <w:color w:val="auto"/>
              </w:rPr>
            </w:pP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700" w:type="dxa"/>
            <w:vAlign w:val="bottom"/>
          </w:tcPr>
          <w:p>
            <w:pPr>
              <w:ind w:left="320"/>
              <w:spacing w:after="0"/>
              <w:rPr>
                <w:sz w:val="20"/>
                <w:szCs w:val="20"/>
                <w:color w:val="auto"/>
              </w:rPr>
            </w:pPr>
            <w:r>
              <w:rPr>
                <w:rFonts w:ascii="Arial" w:cs="Arial" w:eastAsia="Arial" w:hAnsi="Arial"/>
                <w:sz w:val="20"/>
                <w:szCs w:val="20"/>
                <w:color w:val="auto"/>
              </w:rPr>
              <w:t>53</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860" w:type="dxa"/>
            <w:vAlign w:val="bottom"/>
            <w:gridSpan w:val="7"/>
          </w:tcPr>
          <w:p>
            <w:pPr>
              <w:ind w:left="60"/>
              <w:spacing w:after="0"/>
              <w:rPr>
                <w:sz w:val="20"/>
                <w:szCs w:val="20"/>
                <w:color w:val="auto"/>
              </w:rPr>
            </w:pPr>
            <w:r>
              <w:rPr>
                <w:rFonts w:ascii="Arial" w:cs="Arial" w:eastAsia="Arial" w:hAnsi="Arial"/>
                <w:sz w:val="20"/>
                <w:szCs w:val="20"/>
                <w:color w:val="auto"/>
                <w:w w:val="99"/>
              </w:rPr>
              <w:t>Senior Vice President and Chief Sustainability Officer since 2021.</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5560" w:type="dxa"/>
            <w:vAlign w:val="bottom"/>
            <w:tcBorders>
              <w:bottom w:val="single" w:sz="8" w:color="0C3D25"/>
            </w:tcBorders>
            <w:gridSpan w:val="7"/>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Senior Vice President — Operations from 2019 to 2021.</w:t>
            </w:r>
          </w:p>
        </w:tc>
        <w:tc>
          <w:tcPr>
            <w:tcW w:w="560" w:type="dxa"/>
            <w:vAlign w:val="bottom"/>
            <w:tcBorders>
              <w:bottom w:val="single" w:sz="8" w:color="0C3D25"/>
            </w:tcBorders>
          </w:tcPr>
          <w:p>
            <w:pPr>
              <w:spacing w:after="0"/>
              <w:rPr>
                <w:sz w:val="24"/>
                <w:szCs w:val="24"/>
                <w:color w:val="auto"/>
              </w:rPr>
            </w:pPr>
          </w:p>
        </w:tc>
        <w:tc>
          <w:tcPr>
            <w:tcW w:w="580" w:type="dxa"/>
            <w:vAlign w:val="bottom"/>
            <w:tcBorders>
              <w:bottom w:val="single" w:sz="8" w:color="0C3D25"/>
            </w:tcBorders>
          </w:tcPr>
          <w:p>
            <w:pPr>
              <w:spacing w:after="0"/>
              <w:rPr>
                <w:sz w:val="24"/>
                <w:szCs w:val="24"/>
                <w:color w:val="auto"/>
              </w:rPr>
            </w:pP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John J. Morris, Jr.</w:t>
            </w:r>
          </w:p>
        </w:tc>
        <w:tc>
          <w:tcPr>
            <w:tcW w:w="700" w:type="dxa"/>
            <w:vAlign w:val="bottom"/>
          </w:tcPr>
          <w:p>
            <w:pPr>
              <w:ind w:left="320"/>
              <w:spacing w:after="0"/>
              <w:rPr>
                <w:sz w:val="20"/>
                <w:szCs w:val="20"/>
                <w:color w:val="auto"/>
              </w:rPr>
            </w:pPr>
            <w:r>
              <w:rPr>
                <w:rFonts w:ascii="Arial" w:cs="Arial" w:eastAsia="Arial" w:hAnsi="Arial"/>
                <w:sz w:val="20"/>
                <w:szCs w:val="20"/>
                <w:color w:val="auto"/>
              </w:rPr>
              <w:t>56</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300" w:type="dxa"/>
            <w:vAlign w:val="bottom"/>
            <w:gridSpan w:val="6"/>
          </w:tcPr>
          <w:p>
            <w:pPr>
              <w:ind w:left="60"/>
              <w:spacing w:after="0"/>
              <w:rPr>
                <w:sz w:val="20"/>
                <w:szCs w:val="20"/>
                <w:color w:val="auto"/>
              </w:rPr>
            </w:pPr>
            <w:r>
              <w:rPr>
                <w:rFonts w:ascii="Arial" w:cs="Arial" w:eastAsia="Arial" w:hAnsi="Arial"/>
                <w:sz w:val="20"/>
                <w:szCs w:val="20"/>
                <w:color w:val="auto"/>
              </w:rPr>
              <w:t>President and Chief Operating Officer since May 2025.</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260" w:type="dxa"/>
            <w:vAlign w:val="bottom"/>
            <w:tcBorders>
              <w:bottom w:val="single" w:sz="8" w:color="0C3D25"/>
            </w:tcBorders>
          </w:tcPr>
          <w:p>
            <w:pPr>
              <w:ind w:left="120"/>
              <w:spacing w:after="0"/>
              <w:rPr>
                <w:sz w:val="20"/>
                <w:szCs w:val="20"/>
                <w:color w:val="auto"/>
              </w:rPr>
            </w:pPr>
            <w:r>
              <w:rPr>
                <w:rFonts w:ascii="Arial" w:cs="Arial" w:eastAsia="Arial" w:hAnsi="Arial"/>
                <w:sz w:val="20"/>
                <w:szCs w:val="20"/>
                <w:color w:val="0C3D25"/>
              </w:rPr>
              <w:t>•</w:t>
            </w:r>
          </w:p>
        </w:tc>
        <w:tc>
          <w:tcPr>
            <w:tcW w:w="6720" w:type="dxa"/>
            <w:vAlign w:val="bottom"/>
            <w:tcBorders>
              <w:bottom w:val="single" w:sz="8" w:color="0C3D25"/>
            </w:tcBorders>
            <w:gridSpan w:val="9"/>
          </w:tcPr>
          <w:p>
            <w:pPr>
              <w:ind w:left="60"/>
              <w:spacing w:after="0"/>
              <w:rPr>
                <w:sz w:val="20"/>
                <w:szCs w:val="20"/>
                <w:color w:val="auto"/>
              </w:rPr>
            </w:pPr>
            <w:r>
              <w:rPr>
                <w:rFonts w:ascii="Arial" w:cs="Arial" w:eastAsia="Arial" w:hAnsi="Arial"/>
                <w:sz w:val="20"/>
                <w:szCs w:val="20"/>
                <w:color w:val="auto"/>
                <w:w w:val="96"/>
              </w:rPr>
              <w:t>Executive Vice President and Chief Operating Officer from 2019 to May 2025.</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700" w:type="dxa"/>
            <w:vAlign w:val="bottom"/>
          </w:tcPr>
          <w:p>
            <w:pPr>
              <w:ind w:left="320"/>
              <w:spacing w:after="0"/>
              <w:rPr>
                <w:sz w:val="20"/>
                <w:szCs w:val="20"/>
                <w:color w:val="auto"/>
              </w:rPr>
            </w:pPr>
            <w:r>
              <w:rPr>
                <w:rFonts w:ascii="Arial" w:cs="Arial" w:eastAsia="Arial" w:hAnsi="Arial"/>
                <w:sz w:val="20"/>
                <w:szCs w:val="20"/>
                <w:color w:val="auto"/>
              </w:rPr>
              <w:t>50</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300" w:type="dxa"/>
            <w:vAlign w:val="bottom"/>
            <w:gridSpan w:val="6"/>
          </w:tcPr>
          <w:p>
            <w:pPr>
              <w:ind w:left="60"/>
              <w:spacing w:after="0"/>
              <w:rPr>
                <w:sz w:val="20"/>
                <w:szCs w:val="20"/>
                <w:color w:val="auto"/>
              </w:rPr>
            </w:pPr>
            <w:r>
              <w:rPr>
                <w:rFonts w:ascii="Arial" w:cs="Arial" w:eastAsia="Arial" w:hAnsi="Arial"/>
                <w:sz w:val="20"/>
                <w:szCs w:val="20"/>
                <w:color w:val="auto"/>
              </w:rPr>
              <w:t>Executive Advisor from November 2025 to March 2026.</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gridSpan w:val="3"/>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Executive  Vice</w:t>
            </w:r>
          </w:p>
        </w:tc>
        <w:tc>
          <w:tcPr>
            <w:tcW w:w="1020" w:type="dxa"/>
            <w:vAlign w:val="bottom"/>
          </w:tcPr>
          <w:p>
            <w:pPr>
              <w:ind w:left="40"/>
              <w:spacing w:after="0"/>
              <w:rPr>
                <w:sz w:val="20"/>
                <w:szCs w:val="20"/>
                <w:color w:val="auto"/>
              </w:rPr>
            </w:pPr>
            <w:r>
              <w:rPr>
                <w:rFonts w:ascii="Arial" w:cs="Arial" w:eastAsia="Arial" w:hAnsi="Arial"/>
                <w:sz w:val="20"/>
                <w:szCs w:val="20"/>
                <w:color w:val="auto"/>
              </w:rPr>
              <w:t>President</w:t>
            </w:r>
          </w:p>
        </w:tc>
        <w:tc>
          <w:tcPr>
            <w:tcW w:w="1960" w:type="dxa"/>
            <w:vAlign w:val="bottom"/>
            <w:gridSpan w:val="2"/>
          </w:tcPr>
          <w:p>
            <w:pPr>
              <w:ind w:left="20"/>
              <w:spacing w:after="0"/>
              <w:rPr>
                <w:sz w:val="20"/>
                <w:szCs w:val="20"/>
                <w:color w:val="auto"/>
              </w:rPr>
            </w:pPr>
            <w:r>
              <w:rPr>
                <w:rFonts w:ascii="Arial" w:cs="Arial" w:eastAsia="Arial" w:hAnsi="Arial"/>
                <w:sz w:val="20"/>
                <w:szCs w:val="20"/>
                <w:color w:val="auto"/>
              </w:rPr>
              <w:t>and  Chief  Financial</w:t>
            </w:r>
          </w:p>
        </w:tc>
        <w:tc>
          <w:tcPr>
            <w:tcW w:w="800" w:type="dxa"/>
            <w:vAlign w:val="bottom"/>
          </w:tcPr>
          <w:p>
            <w:pPr>
              <w:ind w:left="80"/>
              <w:spacing w:after="0"/>
              <w:rPr>
                <w:sz w:val="20"/>
                <w:szCs w:val="20"/>
                <w:color w:val="auto"/>
              </w:rPr>
            </w:pPr>
            <w:r>
              <w:rPr>
                <w:rFonts w:ascii="Arial" w:cs="Arial" w:eastAsia="Arial" w:hAnsi="Arial"/>
                <w:sz w:val="20"/>
                <w:szCs w:val="20"/>
                <w:color w:val="auto"/>
              </w:rPr>
              <w:t>Officer</w:t>
            </w:r>
          </w:p>
        </w:tc>
        <w:tc>
          <w:tcPr>
            <w:tcW w:w="560" w:type="dxa"/>
            <w:vAlign w:val="bottom"/>
          </w:tcPr>
          <w:p>
            <w:pPr>
              <w:ind w:left="20"/>
              <w:spacing w:after="0"/>
              <w:rPr>
                <w:sz w:val="20"/>
                <w:szCs w:val="20"/>
                <w:color w:val="auto"/>
              </w:rPr>
            </w:pPr>
            <w:r>
              <w:rPr>
                <w:rFonts w:ascii="Arial" w:cs="Arial" w:eastAsia="Arial" w:hAnsi="Arial"/>
                <w:sz w:val="20"/>
                <w:szCs w:val="20"/>
                <w:color w:val="auto"/>
              </w:rPr>
              <w:t>from</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w w:val="98"/>
              </w:rPr>
              <w:t>2020</w:t>
            </w:r>
          </w:p>
        </w:tc>
        <w:tc>
          <w:tcPr>
            <w:tcW w:w="280" w:type="dxa"/>
            <w:vAlign w:val="bottom"/>
          </w:tcPr>
          <w:p>
            <w:pPr>
              <w:ind w:left="60"/>
              <w:spacing w:after="0"/>
              <w:rPr>
                <w:sz w:val="20"/>
                <w:szCs w:val="20"/>
                <w:color w:val="auto"/>
              </w:rPr>
            </w:pPr>
            <w:r>
              <w:rPr>
                <w:rFonts w:ascii="Arial" w:cs="Arial" w:eastAsia="Arial" w:hAnsi="Arial"/>
                <w:sz w:val="20"/>
                <w:szCs w:val="20"/>
                <w:color w:val="auto"/>
              </w:rPr>
              <w:t>to</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w w:val="97"/>
              </w:rPr>
              <w:t>November 2025.</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260" w:type="dxa"/>
            <w:vAlign w:val="bottom"/>
            <w:tcBorders>
              <w:bottom w:val="single" w:sz="8" w:color="0C3D25"/>
            </w:tcBorders>
          </w:tcPr>
          <w:p>
            <w:pPr>
              <w:ind w:left="120"/>
              <w:spacing w:after="0"/>
              <w:rPr>
                <w:sz w:val="20"/>
                <w:szCs w:val="20"/>
                <w:color w:val="auto"/>
              </w:rPr>
            </w:pPr>
            <w:r>
              <w:rPr>
                <w:rFonts w:ascii="Arial" w:cs="Arial" w:eastAsia="Arial" w:hAnsi="Arial"/>
                <w:sz w:val="20"/>
                <w:szCs w:val="20"/>
                <w:color w:val="0C3D25"/>
              </w:rPr>
              <w:t>•</w:t>
            </w:r>
          </w:p>
        </w:tc>
        <w:tc>
          <w:tcPr>
            <w:tcW w:w="5860" w:type="dxa"/>
            <w:vAlign w:val="bottom"/>
            <w:tcBorders>
              <w:bottom w:val="single" w:sz="8" w:color="0C3D25"/>
            </w:tcBorders>
            <w:gridSpan w:val="7"/>
          </w:tcPr>
          <w:p>
            <w:pPr>
              <w:ind w:left="60"/>
              <w:spacing w:after="0"/>
              <w:rPr>
                <w:sz w:val="20"/>
                <w:szCs w:val="20"/>
                <w:color w:val="auto"/>
              </w:rPr>
            </w:pPr>
            <w:r>
              <w:rPr>
                <w:rFonts w:ascii="Arial" w:cs="Arial" w:eastAsia="Arial" w:hAnsi="Arial"/>
                <w:sz w:val="20"/>
                <w:szCs w:val="20"/>
                <w:color w:val="auto"/>
                <w:w w:val="95"/>
              </w:rPr>
              <w:t>Senior Vice President and Chief Financial Officer from 2017 to 2020.</w:t>
            </w:r>
          </w:p>
        </w:tc>
        <w:tc>
          <w:tcPr>
            <w:tcW w:w="580" w:type="dxa"/>
            <w:vAlign w:val="bottom"/>
            <w:tcBorders>
              <w:bottom w:val="single" w:sz="8" w:color="0C3D25"/>
            </w:tcBorders>
          </w:tcPr>
          <w:p>
            <w:pPr>
              <w:spacing w:after="0"/>
              <w:rPr>
                <w:sz w:val="24"/>
                <w:szCs w:val="24"/>
                <w:color w:val="auto"/>
              </w:rPr>
            </w:pP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David L. Reed</w:t>
            </w:r>
          </w:p>
        </w:tc>
        <w:tc>
          <w:tcPr>
            <w:tcW w:w="700" w:type="dxa"/>
            <w:vAlign w:val="bottom"/>
          </w:tcPr>
          <w:p>
            <w:pPr>
              <w:ind w:left="320"/>
              <w:spacing w:after="0"/>
              <w:rPr>
                <w:sz w:val="20"/>
                <w:szCs w:val="20"/>
                <w:color w:val="auto"/>
              </w:rPr>
            </w:pPr>
            <w:r>
              <w:rPr>
                <w:rFonts w:ascii="Arial" w:cs="Arial" w:eastAsia="Arial" w:hAnsi="Arial"/>
                <w:sz w:val="20"/>
                <w:szCs w:val="20"/>
                <w:color w:val="auto"/>
              </w:rPr>
              <w:t>48</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6440" w:type="dxa"/>
            <w:vAlign w:val="bottom"/>
            <w:gridSpan w:val="8"/>
          </w:tcPr>
          <w:p>
            <w:pPr>
              <w:ind w:left="60"/>
              <w:spacing w:after="0"/>
              <w:rPr>
                <w:sz w:val="20"/>
                <w:szCs w:val="20"/>
                <w:color w:val="auto"/>
              </w:rPr>
            </w:pPr>
            <w:r>
              <w:rPr>
                <w:rFonts w:ascii="Arial" w:cs="Arial" w:eastAsia="Arial" w:hAnsi="Arial"/>
                <w:sz w:val="20"/>
                <w:szCs w:val="20"/>
                <w:color w:val="auto"/>
                <w:w w:val="95"/>
              </w:rPr>
              <w:t>Executive Vice President and Chief Financial Officer since November 2025.</w:t>
            </w:r>
          </w:p>
        </w:tc>
        <w:tc>
          <w:tcPr>
            <w:tcW w:w="280" w:type="dxa"/>
            <w:vAlign w:val="bottom"/>
          </w:tcPr>
          <w:p>
            <w:pPr>
              <w:spacing w:after="0"/>
              <w:rPr>
                <w:sz w:val="21"/>
                <w:szCs w:val="21"/>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Vice</w:t>
            </w:r>
          </w:p>
        </w:tc>
        <w:tc>
          <w:tcPr>
            <w:tcW w:w="1040" w:type="dxa"/>
            <w:vAlign w:val="bottom"/>
          </w:tcPr>
          <w:p>
            <w:pPr>
              <w:jc w:val="right"/>
              <w:ind w:right="7"/>
              <w:spacing w:after="0"/>
              <w:rPr>
                <w:sz w:val="20"/>
                <w:szCs w:val="20"/>
                <w:color w:val="auto"/>
              </w:rPr>
            </w:pPr>
            <w:r>
              <w:rPr>
                <w:rFonts w:ascii="Arial" w:cs="Arial" w:eastAsia="Arial" w:hAnsi="Arial"/>
                <w:sz w:val="20"/>
                <w:szCs w:val="20"/>
                <w:color w:val="auto"/>
              </w:rPr>
              <w:t>President,</w:t>
            </w:r>
          </w:p>
        </w:tc>
        <w:tc>
          <w:tcPr>
            <w:tcW w:w="2300" w:type="dxa"/>
            <w:vAlign w:val="bottom"/>
            <w:gridSpan w:val="2"/>
          </w:tcPr>
          <w:p>
            <w:pPr>
              <w:ind w:left="20"/>
              <w:spacing w:after="0"/>
              <w:rPr>
                <w:sz w:val="20"/>
                <w:szCs w:val="20"/>
                <w:color w:val="auto"/>
              </w:rPr>
            </w:pPr>
            <w:r>
              <w:rPr>
                <w:rFonts w:ascii="Arial" w:cs="Arial" w:eastAsia="Arial" w:hAnsi="Arial"/>
                <w:sz w:val="20"/>
                <w:szCs w:val="20"/>
                <w:color w:val="auto"/>
                <w:w w:val="98"/>
              </w:rPr>
              <w:t>Business Partner — West</w:t>
            </w:r>
          </w:p>
        </w:tc>
        <w:tc>
          <w:tcPr>
            <w:tcW w:w="1480" w:type="dxa"/>
            <w:vAlign w:val="bottom"/>
            <w:gridSpan w:val="2"/>
          </w:tcPr>
          <w:p>
            <w:pPr>
              <w:ind w:left="80"/>
              <w:spacing w:after="0"/>
              <w:rPr>
                <w:sz w:val="20"/>
                <w:szCs w:val="20"/>
                <w:color w:val="auto"/>
              </w:rPr>
            </w:pPr>
            <w:r>
              <w:rPr>
                <w:rFonts w:ascii="Arial" w:cs="Arial" w:eastAsia="Arial" w:hAnsi="Arial"/>
                <w:sz w:val="20"/>
                <w:szCs w:val="20"/>
                <w:color w:val="auto"/>
              </w:rPr>
              <w:t>Tier Operations</w:t>
            </w:r>
          </w:p>
        </w:tc>
        <w:tc>
          <w:tcPr>
            <w:tcW w:w="560" w:type="dxa"/>
            <w:vAlign w:val="bottom"/>
          </w:tcPr>
          <w:p>
            <w:pPr>
              <w:ind w:left="100"/>
              <w:spacing w:after="0"/>
              <w:rPr>
                <w:sz w:val="20"/>
                <w:szCs w:val="20"/>
                <w:color w:val="auto"/>
              </w:rPr>
            </w:pPr>
            <w:r>
              <w:rPr>
                <w:rFonts w:ascii="Arial" w:cs="Arial" w:eastAsia="Arial" w:hAnsi="Arial"/>
                <w:sz w:val="20"/>
                <w:szCs w:val="20"/>
                <w:color w:val="auto"/>
              </w:rPr>
              <w:t>from</w:t>
            </w:r>
          </w:p>
        </w:tc>
        <w:tc>
          <w:tcPr>
            <w:tcW w:w="580" w:type="dxa"/>
            <w:vAlign w:val="bottom"/>
          </w:tcPr>
          <w:p>
            <w:pPr>
              <w:jc w:val="right"/>
              <w:spacing w:after="0"/>
              <w:rPr>
                <w:sz w:val="20"/>
                <w:szCs w:val="20"/>
                <w:color w:val="auto"/>
              </w:rPr>
            </w:pPr>
            <w:r>
              <w:rPr>
                <w:rFonts w:ascii="Arial" w:cs="Arial" w:eastAsia="Arial" w:hAnsi="Arial"/>
                <w:sz w:val="20"/>
                <w:szCs w:val="20"/>
                <w:color w:val="auto"/>
              </w:rPr>
              <w:t>2023</w:t>
            </w:r>
          </w:p>
        </w:tc>
        <w:tc>
          <w:tcPr>
            <w:tcW w:w="280" w:type="dxa"/>
            <w:vAlign w:val="bottom"/>
          </w:tcPr>
          <w:p>
            <w:pPr>
              <w:ind w:left="60"/>
              <w:spacing w:after="0"/>
              <w:rPr>
                <w:sz w:val="20"/>
                <w:szCs w:val="20"/>
                <w:color w:val="auto"/>
              </w:rPr>
            </w:pPr>
            <w:r>
              <w:rPr>
                <w:rFonts w:ascii="Arial" w:cs="Arial" w:eastAsia="Arial" w:hAnsi="Arial"/>
                <w:sz w:val="20"/>
                <w:szCs w:val="20"/>
                <w:color w:val="auto"/>
              </w:rPr>
              <w:t>to</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rPr>
              <w:t>October 2025.</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260" w:type="dxa"/>
            <w:vAlign w:val="bottom"/>
            <w:tcBorders>
              <w:bottom w:val="single" w:sz="8" w:color="0C3D25"/>
            </w:tcBorders>
          </w:tcPr>
          <w:p>
            <w:pPr>
              <w:ind w:left="120"/>
              <w:spacing w:after="0"/>
              <w:rPr>
                <w:sz w:val="20"/>
                <w:szCs w:val="20"/>
                <w:color w:val="auto"/>
              </w:rPr>
            </w:pPr>
            <w:r>
              <w:rPr>
                <w:rFonts w:ascii="Arial" w:cs="Arial" w:eastAsia="Arial" w:hAnsi="Arial"/>
                <w:sz w:val="20"/>
                <w:szCs w:val="20"/>
                <w:color w:val="0C3D25"/>
              </w:rPr>
              <w:t>•</w:t>
            </w:r>
          </w:p>
        </w:tc>
        <w:tc>
          <w:tcPr>
            <w:tcW w:w="5860" w:type="dxa"/>
            <w:vAlign w:val="bottom"/>
            <w:tcBorders>
              <w:bottom w:val="single" w:sz="8" w:color="0C3D25"/>
            </w:tcBorders>
            <w:gridSpan w:val="7"/>
          </w:tcPr>
          <w:p>
            <w:pPr>
              <w:ind w:left="60"/>
              <w:spacing w:after="0"/>
              <w:rPr>
                <w:sz w:val="20"/>
                <w:szCs w:val="20"/>
                <w:color w:val="auto"/>
              </w:rPr>
            </w:pPr>
            <w:r>
              <w:rPr>
                <w:rFonts w:ascii="Arial" w:cs="Arial" w:eastAsia="Arial" w:hAnsi="Arial"/>
                <w:sz w:val="20"/>
                <w:szCs w:val="20"/>
                <w:color w:val="auto"/>
              </w:rPr>
              <w:t>Vice President and Treasurer from July 2017 to December 2022.</w:t>
            </w:r>
          </w:p>
        </w:tc>
        <w:tc>
          <w:tcPr>
            <w:tcW w:w="580" w:type="dxa"/>
            <w:vAlign w:val="bottom"/>
            <w:tcBorders>
              <w:bottom w:val="single" w:sz="8" w:color="0C3D25"/>
            </w:tcBorders>
          </w:tcPr>
          <w:p>
            <w:pPr>
              <w:spacing w:after="0"/>
              <w:rPr>
                <w:sz w:val="24"/>
                <w:szCs w:val="24"/>
                <w:color w:val="auto"/>
              </w:rPr>
            </w:pP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Donald J. Smith</w:t>
            </w:r>
          </w:p>
        </w:tc>
        <w:tc>
          <w:tcPr>
            <w:tcW w:w="700" w:type="dxa"/>
            <w:vAlign w:val="bottom"/>
          </w:tcPr>
          <w:p>
            <w:pPr>
              <w:ind w:left="320"/>
              <w:spacing w:after="0"/>
              <w:rPr>
                <w:sz w:val="20"/>
                <w:szCs w:val="20"/>
                <w:color w:val="auto"/>
              </w:rPr>
            </w:pPr>
            <w:r>
              <w:rPr>
                <w:rFonts w:ascii="Arial" w:cs="Arial" w:eastAsia="Arial" w:hAnsi="Arial"/>
                <w:sz w:val="20"/>
                <w:szCs w:val="20"/>
                <w:color w:val="auto"/>
              </w:rPr>
              <w:t>59</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300" w:type="dxa"/>
            <w:vAlign w:val="bottom"/>
            <w:gridSpan w:val="6"/>
          </w:tcPr>
          <w:p>
            <w:pPr>
              <w:ind w:left="60"/>
              <w:spacing w:after="0"/>
              <w:rPr>
                <w:sz w:val="20"/>
                <w:szCs w:val="20"/>
                <w:color w:val="auto"/>
              </w:rPr>
            </w:pPr>
            <w:r>
              <w:rPr>
                <w:rFonts w:ascii="Arial" w:cs="Arial" w:eastAsia="Arial" w:hAnsi="Arial"/>
                <w:sz w:val="20"/>
                <w:szCs w:val="20"/>
                <w:color w:val="auto"/>
              </w:rPr>
              <w:t>Senior Vice President — Operations since January 2023.</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260" w:type="dxa"/>
            <w:vAlign w:val="bottom"/>
            <w:tcBorders>
              <w:bottom w:val="single" w:sz="8" w:color="0C3D25"/>
            </w:tcBorders>
          </w:tcPr>
          <w:p>
            <w:pPr>
              <w:ind w:left="120"/>
              <w:spacing w:after="0"/>
              <w:rPr>
                <w:sz w:val="20"/>
                <w:szCs w:val="20"/>
                <w:color w:val="auto"/>
              </w:rPr>
            </w:pPr>
            <w:r>
              <w:rPr>
                <w:rFonts w:ascii="Arial" w:cs="Arial" w:eastAsia="Arial" w:hAnsi="Arial"/>
                <w:sz w:val="20"/>
                <w:szCs w:val="20"/>
                <w:color w:val="0C3D25"/>
              </w:rPr>
              <w:t>•</w:t>
            </w:r>
          </w:p>
        </w:tc>
        <w:tc>
          <w:tcPr>
            <w:tcW w:w="6720" w:type="dxa"/>
            <w:vAlign w:val="bottom"/>
            <w:tcBorders>
              <w:bottom w:val="single" w:sz="8" w:color="0C3D25"/>
            </w:tcBorders>
            <w:gridSpan w:val="9"/>
          </w:tcPr>
          <w:p>
            <w:pPr>
              <w:ind w:left="60"/>
              <w:spacing w:after="0"/>
              <w:rPr>
                <w:sz w:val="20"/>
                <w:szCs w:val="20"/>
                <w:color w:val="auto"/>
              </w:rPr>
            </w:pPr>
            <w:r>
              <w:rPr>
                <w:rFonts w:ascii="Arial" w:cs="Arial" w:eastAsia="Arial" w:hAnsi="Arial"/>
                <w:sz w:val="20"/>
                <w:szCs w:val="20"/>
                <w:color w:val="auto"/>
                <w:w w:val="95"/>
              </w:rPr>
              <w:t>Area Vice President — Texas &amp; Oklahoma Area from 2012 to December 2022.</w:t>
            </w:r>
          </w:p>
        </w:tc>
      </w:tr>
      <w:tr>
        <w:trPr>
          <w:trHeight w:val="247"/>
        </w:trPr>
        <w:tc>
          <w:tcPr>
            <w:tcW w:w="2380" w:type="dxa"/>
            <w:vAlign w:val="bottom"/>
          </w:tcPr>
          <w:p>
            <w:pPr>
              <w:ind w:left="60"/>
              <w:spacing w:after="0"/>
              <w:rPr>
                <w:sz w:val="20"/>
                <w:szCs w:val="20"/>
                <w:color w:val="auto"/>
              </w:rPr>
            </w:pPr>
            <w:r>
              <w:rPr>
                <w:rFonts w:ascii="Arial" w:cs="Arial" w:eastAsia="Arial" w:hAnsi="Arial"/>
                <w:sz w:val="20"/>
                <w:szCs w:val="20"/>
                <w:color w:val="auto"/>
              </w:rPr>
              <w:t>Kimberly G. Stith</w:t>
            </w:r>
          </w:p>
        </w:tc>
        <w:tc>
          <w:tcPr>
            <w:tcW w:w="700" w:type="dxa"/>
            <w:vAlign w:val="bottom"/>
          </w:tcPr>
          <w:p>
            <w:pPr>
              <w:ind w:left="320"/>
              <w:spacing w:after="0"/>
              <w:rPr>
                <w:sz w:val="20"/>
                <w:szCs w:val="20"/>
                <w:color w:val="auto"/>
              </w:rPr>
            </w:pPr>
            <w:r>
              <w:rPr>
                <w:rFonts w:ascii="Arial" w:cs="Arial" w:eastAsia="Arial" w:hAnsi="Arial"/>
                <w:sz w:val="20"/>
                <w:szCs w:val="20"/>
                <w:color w:val="auto"/>
              </w:rPr>
              <w:t>60</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6720" w:type="dxa"/>
            <w:vAlign w:val="bottom"/>
            <w:gridSpan w:val="9"/>
          </w:tcPr>
          <w:p>
            <w:pPr>
              <w:ind w:left="60"/>
              <w:spacing w:after="0"/>
              <w:rPr>
                <w:sz w:val="20"/>
                <w:szCs w:val="20"/>
                <w:color w:val="auto"/>
              </w:rPr>
            </w:pPr>
            <w:r>
              <w:rPr>
                <w:rFonts w:ascii="Arial" w:cs="Arial" w:eastAsia="Arial" w:hAnsi="Arial"/>
                <w:sz w:val="20"/>
                <w:szCs w:val="20"/>
                <w:color w:val="auto"/>
              </w:rPr>
              <w:t>Senior  Vice  President  and  Chief  Human  Resources  Officer  since</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w w:val="93"/>
              </w:rPr>
              <w:t>September 2024.</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6720" w:type="dxa"/>
            <w:vAlign w:val="bottom"/>
            <w:gridSpan w:val="9"/>
          </w:tcPr>
          <w:p>
            <w:pPr>
              <w:ind w:left="60"/>
              <w:spacing w:after="0"/>
              <w:rPr>
                <w:sz w:val="20"/>
                <w:szCs w:val="20"/>
                <w:color w:val="auto"/>
              </w:rPr>
            </w:pPr>
            <w:r>
              <w:rPr>
                <w:rFonts w:ascii="Arial" w:cs="Arial" w:eastAsia="Arial" w:hAnsi="Arial"/>
                <w:sz w:val="20"/>
                <w:szCs w:val="20"/>
                <w:color w:val="auto"/>
              </w:rPr>
              <w:t>Vice President, General Counsel — Employment &amp; Benefits from 2012 to</w:t>
            </w:r>
          </w:p>
        </w:tc>
      </w:tr>
      <w:tr>
        <w:trPr>
          <w:trHeight w:val="238"/>
        </w:trPr>
        <w:tc>
          <w:tcPr>
            <w:tcW w:w="2380" w:type="dxa"/>
            <w:vAlign w:val="bottom"/>
            <w:tcBorders>
              <w:bottom w:val="single" w:sz="8" w:color="0C3D25"/>
            </w:tcBorders>
          </w:tcPr>
          <w:p>
            <w:pPr>
              <w:spacing w:after="0"/>
              <w:rPr>
                <w:sz w:val="20"/>
                <w:szCs w:val="20"/>
                <w:color w:val="auto"/>
              </w:rPr>
            </w:pPr>
          </w:p>
        </w:tc>
        <w:tc>
          <w:tcPr>
            <w:tcW w:w="700" w:type="dxa"/>
            <w:vAlign w:val="bottom"/>
            <w:tcBorders>
              <w:bottom w:val="single" w:sz="8" w:color="0C3D25"/>
            </w:tcBorders>
          </w:tcPr>
          <w:p>
            <w:pPr>
              <w:spacing w:after="0"/>
              <w:rPr>
                <w:sz w:val="20"/>
                <w:szCs w:val="20"/>
                <w:color w:val="auto"/>
              </w:rPr>
            </w:pPr>
          </w:p>
        </w:tc>
        <w:tc>
          <w:tcPr>
            <w:tcW w:w="260" w:type="dxa"/>
            <w:vAlign w:val="bottom"/>
            <w:tcBorders>
              <w:bottom w:val="single" w:sz="8" w:color="0C3D25"/>
            </w:tcBorders>
          </w:tcPr>
          <w:p>
            <w:pPr>
              <w:spacing w:after="0"/>
              <w:rPr>
                <w:sz w:val="20"/>
                <w:szCs w:val="20"/>
                <w:color w:val="auto"/>
              </w:rPr>
            </w:pPr>
          </w:p>
        </w:tc>
        <w:tc>
          <w:tcPr>
            <w:tcW w:w="152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color w:val="auto"/>
                <w:w w:val="93"/>
              </w:rPr>
              <w:t>September 2024.</w:t>
            </w:r>
          </w:p>
        </w:tc>
        <w:tc>
          <w:tcPr>
            <w:tcW w:w="1020" w:type="dxa"/>
            <w:vAlign w:val="bottom"/>
            <w:tcBorders>
              <w:bottom w:val="single" w:sz="8" w:color="0C3D25"/>
            </w:tcBorders>
          </w:tcPr>
          <w:p>
            <w:pPr>
              <w:spacing w:after="0"/>
              <w:rPr>
                <w:sz w:val="20"/>
                <w:szCs w:val="20"/>
                <w:color w:val="auto"/>
              </w:rPr>
            </w:pPr>
          </w:p>
        </w:tc>
        <w:tc>
          <w:tcPr>
            <w:tcW w:w="1280" w:type="dxa"/>
            <w:vAlign w:val="bottom"/>
            <w:tcBorders>
              <w:bottom w:val="single" w:sz="8" w:color="0C3D25"/>
            </w:tcBorders>
          </w:tcPr>
          <w:p>
            <w:pPr>
              <w:spacing w:after="0"/>
              <w:rPr>
                <w:sz w:val="20"/>
                <w:szCs w:val="20"/>
                <w:color w:val="auto"/>
              </w:rPr>
            </w:pPr>
          </w:p>
        </w:tc>
        <w:tc>
          <w:tcPr>
            <w:tcW w:w="680" w:type="dxa"/>
            <w:vAlign w:val="bottom"/>
            <w:tcBorders>
              <w:bottom w:val="single" w:sz="8" w:color="0C3D25"/>
            </w:tcBorders>
          </w:tcPr>
          <w:p>
            <w:pPr>
              <w:spacing w:after="0"/>
              <w:rPr>
                <w:sz w:val="20"/>
                <w:szCs w:val="20"/>
                <w:color w:val="auto"/>
              </w:rPr>
            </w:pPr>
          </w:p>
        </w:tc>
        <w:tc>
          <w:tcPr>
            <w:tcW w:w="800" w:type="dxa"/>
            <w:vAlign w:val="bottom"/>
            <w:tcBorders>
              <w:bottom w:val="single" w:sz="8" w:color="0C3D25"/>
            </w:tcBorders>
          </w:tcPr>
          <w:p>
            <w:pPr>
              <w:spacing w:after="0"/>
              <w:rPr>
                <w:sz w:val="20"/>
                <w:szCs w:val="20"/>
                <w:color w:val="auto"/>
              </w:rPr>
            </w:pPr>
          </w:p>
        </w:tc>
        <w:tc>
          <w:tcPr>
            <w:tcW w:w="560" w:type="dxa"/>
            <w:vAlign w:val="bottom"/>
            <w:tcBorders>
              <w:bottom w:val="single" w:sz="8" w:color="0C3D25"/>
            </w:tcBorders>
          </w:tcPr>
          <w:p>
            <w:pPr>
              <w:spacing w:after="0"/>
              <w:rPr>
                <w:sz w:val="20"/>
                <w:szCs w:val="20"/>
                <w:color w:val="auto"/>
              </w:rPr>
            </w:pPr>
          </w:p>
        </w:tc>
        <w:tc>
          <w:tcPr>
            <w:tcW w:w="580" w:type="dxa"/>
            <w:vAlign w:val="bottom"/>
            <w:tcBorders>
              <w:bottom w:val="single" w:sz="8" w:color="0C3D25"/>
            </w:tcBorders>
          </w:tcPr>
          <w:p>
            <w:pPr>
              <w:spacing w:after="0"/>
              <w:rPr>
                <w:sz w:val="20"/>
                <w:szCs w:val="20"/>
                <w:color w:val="auto"/>
              </w:rPr>
            </w:pPr>
          </w:p>
        </w:tc>
        <w:tc>
          <w:tcPr>
            <w:tcW w:w="280" w:type="dxa"/>
            <w:vAlign w:val="bottom"/>
            <w:tcBorders>
              <w:bottom w:val="single" w:sz="8" w:color="0C3D25"/>
            </w:tcBorders>
          </w:tcPr>
          <w:p>
            <w:pPr>
              <w:spacing w:after="0"/>
              <w:rPr>
                <w:sz w:val="20"/>
                <w:szCs w:val="20"/>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Johnson Varkey</w:t>
            </w:r>
          </w:p>
        </w:tc>
        <w:tc>
          <w:tcPr>
            <w:tcW w:w="700" w:type="dxa"/>
            <w:vAlign w:val="bottom"/>
          </w:tcPr>
          <w:p>
            <w:pPr>
              <w:ind w:left="320"/>
              <w:spacing w:after="0"/>
              <w:rPr>
                <w:sz w:val="20"/>
                <w:szCs w:val="20"/>
                <w:color w:val="auto"/>
              </w:rPr>
            </w:pPr>
            <w:r>
              <w:rPr>
                <w:rFonts w:ascii="Arial" w:cs="Arial" w:eastAsia="Arial" w:hAnsi="Arial"/>
                <w:sz w:val="20"/>
                <w:szCs w:val="20"/>
                <w:color w:val="auto"/>
              </w:rPr>
              <w:t>54</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6440" w:type="dxa"/>
            <w:vAlign w:val="bottom"/>
            <w:gridSpan w:val="8"/>
          </w:tcPr>
          <w:p>
            <w:pPr>
              <w:ind w:left="60"/>
              <w:spacing w:after="0"/>
              <w:rPr>
                <w:sz w:val="20"/>
                <w:szCs w:val="20"/>
                <w:color w:val="auto"/>
              </w:rPr>
            </w:pPr>
            <w:r>
              <w:rPr>
                <w:rFonts w:ascii="Arial" w:cs="Arial" w:eastAsia="Arial" w:hAnsi="Arial"/>
                <w:sz w:val="20"/>
                <w:szCs w:val="20"/>
                <w:color w:val="auto"/>
                <w:w w:val="99"/>
              </w:rPr>
              <w:t>Senior Vice President and Chief Information Officer since January 2024.</w:t>
            </w:r>
          </w:p>
        </w:tc>
        <w:tc>
          <w:tcPr>
            <w:tcW w:w="280" w:type="dxa"/>
            <w:vAlign w:val="bottom"/>
          </w:tcPr>
          <w:p>
            <w:pPr>
              <w:spacing w:after="0"/>
              <w:rPr>
                <w:sz w:val="21"/>
                <w:szCs w:val="21"/>
                <w:color w:val="auto"/>
              </w:rPr>
            </w:pP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Vice</w:t>
            </w:r>
          </w:p>
        </w:tc>
        <w:tc>
          <w:tcPr>
            <w:tcW w:w="1040" w:type="dxa"/>
            <w:vAlign w:val="bottom"/>
          </w:tcPr>
          <w:p>
            <w:pPr>
              <w:jc w:val="right"/>
              <w:ind w:right="7"/>
              <w:spacing w:after="0"/>
              <w:rPr>
                <w:sz w:val="20"/>
                <w:szCs w:val="20"/>
                <w:color w:val="auto"/>
              </w:rPr>
            </w:pPr>
            <w:r>
              <w:rPr>
                <w:rFonts w:ascii="Arial" w:cs="Arial" w:eastAsia="Arial" w:hAnsi="Arial"/>
                <w:sz w:val="20"/>
                <w:szCs w:val="20"/>
                <w:color w:val="auto"/>
              </w:rPr>
              <w:t>President</w:t>
            </w:r>
          </w:p>
        </w:tc>
        <w:tc>
          <w:tcPr>
            <w:tcW w:w="1020" w:type="dxa"/>
            <w:vAlign w:val="bottom"/>
          </w:tcPr>
          <w:p>
            <w:pPr>
              <w:ind w:left="60"/>
              <w:spacing w:after="0"/>
              <w:rPr>
                <w:sz w:val="20"/>
                <w:szCs w:val="20"/>
                <w:color w:val="auto"/>
              </w:rPr>
            </w:pPr>
            <w:r>
              <w:rPr>
                <w:rFonts w:ascii="Arial" w:cs="Arial" w:eastAsia="Arial" w:hAnsi="Arial"/>
                <w:sz w:val="20"/>
                <w:szCs w:val="20"/>
                <w:color w:val="auto"/>
              </w:rPr>
              <w:t>and  Chief</w:t>
            </w:r>
          </w:p>
        </w:tc>
        <w:tc>
          <w:tcPr>
            <w:tcW w:w="1280" w:type="dxa"/>
            <w:vAlign w:val="bottom"/>
          </w:tcPr>
          <w:p>
            <w:pPr>
              <w:ind w:left="140"/>
              <w:spacing w:after="0"/>
              <w:rPr>
                <w:sz w:val="20"/>
                <w:szCs w:val="20"/>
                <w:color w:val="auto"/>
              </w:rPr>
            </w:pPr>
            <w:r>
              <w:rPr>
                <w:rFonts w:ascii="Arial" w:cs="Arial" w:eastAsia="Arial" w:hAnsi="Arial"/>
                <w:sz w:val="20"/>
                <w:szCs w:val="20"/>
                <w:color w:val="auto"/>
              </w:rPr>
              <w:t>Information</w:t>
            </w:r>
          </w:p>
        </w:tc>
        <w:tc>
          <w:tcPr>
            <w:tcW w:w="680" w:type="dxa"/>
            <w:vAlign w:val="bottom"/>
          </w:tcPr>
          <w:p>
            <w:pPr>
              <w:ind w:left="40"/>
              <w:spacing w:after="0"/>
              <w:rPr>
                <w:sz w:val="20"/>
                <w:szCs w:val="20"/>
                <w:color w:val="auto"/>
              </w:rPr>
            </w:pPr>
            <w:r>
              <w:rPr>
                <w:rFonts w:ascii="Arial" w:cs="Arial" w:eastAsia="Arial" w:hAnsi="Arial"/>
                <w:sz w:val="20"/>
                <w:szCs w:val="20"/>
                <w:color w:val="auto"/>
              </w:rPr>
              <w:t>Officer</w:t>
            </w:r>
          </w:p>
        </w:tc>
        <w:tc>
          <w:tcPr>
            <w:tcW w:w="1360" w:type="dxa"/>
            <w:vAlign w:val="bottom"/>
            <w:gridSpan w:val="2"/>
          </w:tcPr>
          <w:p>
            <w:pPr>
              <w:ind w:left="100"/>
              <w:spacing w:after="0"/>
              <w:rPr>
                <w:sz w:val="20"/>
                <w:szCs w:val="20"/>
                <w:color w:val="auto"/>
              </w:rPr>
            </w:pPr>
            <w:r>
              <w:rPr>
                <w:rFonts w:ascii="Arial" w:cs="Arial" w:eastAsia="Arial" w:hAnsi="Arial"/>
                <w:sz w:val="20"/>
                <w:szCs w:val="20"/>
                <w:color w:val="auto"/>
              </w:rPr>
              <w:t>from  March</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w w:val="98"/>
              </w:rPr>
              <w:t>2023</w:t>
            </w:r>
          </w:p>
        </w:tc>
        <w:tc>
          <w:tcPr>
            <w:tcW w:w="280" w:type="dxa"/>
            <w:vAlign w:val="bottom"/>
          </w:tcPr>
          <w:p>
            <w:pPr>
              <w:ind w:left="60"/>
              <w:spacing w:after="0"/>
              <w:rPr>
                <w:sz w:val="20"/>
                <w:szCs w:val="20"/>
                <w:color w:val="auto"/>
              </w:rPr>
            </w:pPr>
            <w:r>
              <w:rPr>
                <w:rFonts w:ascii="Arial" w:cs="Arial" w:eastAsia="Arial" w:hAnsi="Arial"/>
                <w:sz w:val="20"/>
                <w:szCs w:val="20"/>
                <w:color w:val="auto"/>
              </w:rPr>
              <w:t>to</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w w:val="97"/>
              </w:rPr>
              <w:t>December 2023.</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3"/>
        </w:trPr>
        <w:tc>
          <w:tcPr>
            <w:tcW w:w="2380" w:type="dxa"/>
            <w:vAlign w:val="bottom"/>
            <w:tcBorders>
              <w:bottom w:val="single" w:sz="8" w:color="0C3D25"/>
            </w:tcBorders>
          </w:tcPr>
          <w:p>
            <w:pPr>
              <w:spacing w:after="0"/>
              <w:rPr>
                <w:sz w:val="24"/>
                <w:szCs w:val="24"/>
                <w:color w:val="auto"/>
              </w:rPr>
            </w:pPr>
          </w:p>
        </w:tc>
        <w:tc>
          <w:tcPr>
            <w:tcW w:w="700" w:type="dxa"/>
            <w:vAlign w:val="bottom"/>
            <w:tcBorders>
              <w:bottom w:val="single" w:sz="8" w:color="0C3D25"/>
            </w:tcBorders>
          </w:tcPr>
          <w:p>
            <w:pPr>
              <w:spacing w:after="0"/>
              <w:rPr>
                <w:sz w:val="24"/>
                <w:szCs w:val="24"/>
                <w:color w:val="auto"/>
              </w:rPr>
            </w:pPr>
          </w:p>
        </w:tc>
        <w:tc>
          <w:tcPr>
            <w:tcW w:w="6700" w:type="dxa"/>
            <w:vAlign w:val="bottom"/>
            <w:tcBorders>
              <w:bottom w:val="single" w:sz="8" w:color="0C3D25"/>
            </w:tcBorders>
            <w:gridSpan w:val="9"/>
          </w:tcPr>
          <w:p>
            <w:pPr>
              <w:ind w:left="12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Vice President — Enterprise Digital Services from 2019 to March 2023.</w:t>
            </w:r>
          </w:p>
        </w:tc>
        <w:tc>
          <w:tcPr>
            <w:tcW w:w="280" w:type="dxa"/>
            <w:vAlign w:val="bottom"/>
            <w:tcBorders>
              <w:bottom w:val="single" w:sz="8" w:color="0C3D25"/>
            </w:tcBorders>
          </w:tcPr>
          <w:p>
            <w:pPr>
              <w:spacing w:after="0"/>
              <w:rPr>
                <w:sz w:val="24"/>
                <w:szCs w:val="24"/>
                <w:color w:val="auto"/>
              </w:rPr>
            </w:pP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Michael J. Watson</w:t>
            </w:r>
          </w:p>
        </w:tc>
        <w:tc>
          <w:tcPr>
            <w:tcW w:w="700" w:type="dxa"/>
            <w:vAlign w:val="bottom"/>
          </w:tcPr>
          <w:p>
            <w:pPr>
              <w:ind w:left="320"/>
              <w:spacing w:after="0"/>
              <w:rPr>
                <w:sz w:val="20"/>
                <w:szCs w:val="20"/>
                <w:color w:val="auto"/>
              </w:rPr>
            </w:pPr>
            <w:r>
              <w:rPr>
                <w:rFonts w:ascii="Arial" w:cs="Arial" w:eastAsia="Arial" w:hAnsi="Arial"/>
                <w:sz w:val="20"/>
                <w:szCs w:val="20"/>
                <w:color w:val="auto"/>
              </w:rPr>
              <w:t>56</w:t>
            </w:r>
          </w:p>
        </w:tc>
        <w:tc>
          <w:tcPr>
            <w:tcW w:w="260" w:type="dxa"/>
            <w:vAlign w:val="bottom"/>
          </w:tcPr>
          <w:p>
            <w:pPr>
              <w:ind w:left="120"/>
              <w:spacing w:after="0"/>
              <w:rPr>
                <w:sz w:val="20"/>
                <w:szCs w:val="20"/>
                <w:color w:val="auto"/>
              </w:rPr>
            </w:pPr>
            <w:r>
              <w:rPr>
                <w:rFonts w:ascii="Arial" w:cs="Arial" w:eastAsia="Arial" w:hAnsi="Arial"/>
                <w:sz w:val="20"/>
                <w:szCs w:val="20"/>
                <w:color w:val="0C3D25"/>
              </w:rPr>
              <w:t>•</w:t>
            </w:r>
          </w:p>
        </w:tc>
        <w:tc>
          <w:tcPr>
            <w:tcW w:w="5300" w:type="dxa"/>
            <w:vAlign w:val="bottom"/>
            <w:gridSpan w:val="6"/>
          </w:tcPr>
          <w:p>
            <w:pPr>
              <w:ind w:left="60"/>
              <w:spacing w:after="0"/>
              <w:rPr>
                <w:sz w:val="20"/>
                <w:szCs w:val="20"/>
                <w:color w:val="auto"/>
              </w:rPr>
            </w:pPr>
            <w:r>
              <w:rPr>
                <w:rFonts w:ascii="Arial" w:cs="Arial" w:eastAsia="Arial" w:hAnsi="Arial"/>
                <w:sz w:val="20"/>
                <w:szCs w:val="20"/>
                <w:color w:val="auto"/>
                <w:w w:val="95"/>
              </w:rPr>
              <w:t>Senior Vice President and Chief Customer Officer since 2018.</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
        </w:trPr>
        <w:tc>
          <w:tcPr>
            <w:tcW w:w="2380" w:type="dxa"/>
            <w:vAlign w:val="bottom"/>
            <w:tcBorders>
              <w:bottom w:val="single" w:sz="8" w:color="0C3D25"/>
            </w:tcBorders>
          </w:tcPr>
          <w:p>
            <w:pPr>
              <w:spacing w:after="0"/>
              <w:rPr>
                <w:sz w:val="2"/>
                <w:szCs w:val="2"/>
                <w:color w:val="auto"/>
              </w:rPr>
            </w:pPr>
          </w:p>
        </w:tc>
        <w:tc>
          <w:tcPr>
            <w:tcW w:w="700" w:type="dxa"/>
            <w:vAlign w:val="bottom"/>
            <w:tcBorders>
              <w:bottom w:val="single" w:sz="8" w:color="0C3D25"/>
            </w:tcBorders>
          </w:tcPr>
          <w:p>
            <w:pPr>
              <w:spacing w:after="0"/>
              <w:rPr>
                <w:sz w:val="2"/>
                <w:szCs w:val="2"/>
                <w:color w:val="auto"/>
              </w:rPr>
            </w:pPr>
          </w:p>
        </w:tc>
        <w:tc>
          <w:tcPr>
            <w:tcW w:w="260" w:type="dxa"/>
            <w:vAlign w:val="bottom"/>
            <w:tcBorders>
              <w:bottom w:val="single" w:sz="8" w:color="0C3D25"/>
            </w:tcBorders>
          </w:tcPr>
          <w:p>
            <w:pPr>
              <w:spacing w:after="0"/>
              <w:rPr>
                <w:sz w:val="2"/>
                <w:szCs w:val="2"/>
                <w:color w:val="auto"/>
              </w:rPr>
            </w:pPr>
          </w:p>
        </w:tc>
        <w:tc>
          <w:tcPr>
            <w:tcW w:w="48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c>
          <w:tcPr>
            <w:tcW w:w="1020" w:type="dxa"/>
            <w:vAlign w:val="bottom"/>
            <w:tcBorders>
              <w:bottom w:val="single" w:sz="8" w:color="0C3D25"/>
            </w:tcBorders>
          </w:tcPr>
          <w:p>
            <w:pPr>
              <w:spacing w:after="0"/>
              <w:rPr>
                <w:sz w:val="2"/>
                <w:szCs w:val="2"/>
                <w:color w:val="auto"/>
              </w:rPr>
            </w:pPr>
          </w:p>
        </w:tc>
        <w:tc>
          <w:tcPr>
            <w:tcW w:w="1280" w:type="dxa"/>
            <w:vAlign w:val="bottom"/>
            <w:tcBorders>
              <w:bottom w:val="single" w:sz="8" w:color="0C3D25"/>
            </w:tcBorders>
          </w:tcPr>
          <w:p>
            <w:pPr>
              <w:spacing w:after="0"/>
              <w:rPr>
                <w:sz w:val="2"/>
                <w:szCs w:val="2"/>
                <w:color w:val="auto"/>
              </w:rPr>
            </w:pPr>
          </w:p>
        </w:tc>
        <w:tc>
          <w:tcPr>
            <w:tcW w:w="680" w:type="dxa"/>
            <w:vAlign w:val="bottom"/>
            <w:tcBorders>
              <w:bottom w:val="single" w:sz="8" w:color="0C3D25"/>
            </w:tcBorders>
          </w:tcPr>
          <w:p>
            <w:pPr>
              <w:spacing w:after="0"/>
              <w:rPr>
                <w:sz w:val="2"/>
                <w:szCs w:val="2"/>
                <w:color w:val="auto"/>
              </w:rPr>
            </w:pPr>
          </w:p>
        </w:tc>
        <w:tc>
          <w:tcPr>
            <w:tcW w:w="800" w:type="dxa"/>
            <w:vAlign w:val="bottom"/>
            <w:tcBorders>
              <w:bottom w:val="single" w:sz="8" w:color="0C3D25"/>
            </w:tcBorders>
          </w:tcPr>
          <w:p>
            <w:pPr>
              <w:spacing w:after="0"/>
              <w:rPr>
                <w:sz w:val="2"/>
                <w:szCs w:val="2"/>
                <w:color w:val="auto"/>
              </w:rPr>
            </w:pPr>
          </w:p>
        </w:tc>
        <w:tc>
          <w:tcPr>
            <w:tcW w:w="560" w:type="dxa"/>
            <w:vAlign w:val="bottom"/>
            <w:tcBorders>
              <w:bottom w:val="single" w:sz="8" w:color="0C3D25"/>
            </w:tcBorders>
          </w:tcPr>
          <w:p>
            <w:pPr>
              <w:spacing w:after="0"/>
              <w:rPr>
                <w:sz w:val="2"/>
                <w:szCs w:val="2"/>
                <w:color w:val="auto"/>
              </w:rPr>
            </w:pPr>
          </w:p>
        </w:tc>
        <w:tc>
          <w:tcPr>
            <w:tcW w:w="580" w:type="dxa"/>
            <w:vAlign w:val="bottom"/>
            <w:tcBorders>
              <w:bottom w:val="single" w:sz="8" w:color="0C3D25"/>
            </w:tcBorders>
          </w:tcPr>
          <w:p>
            <w:pPr>
              <w:spacing w:after="0"/>
              <w:rPr>
                <w:sz w:val="2"/>
                <w:szCs w:val="2"/>
                <w:color w:val="auto"/>
              </w:rPr>
            </w:pPr>
          </w:p>
        </w:tc>
        <w:tc>
          <w:tcPr>
            <w:tcW w:w="280" w:type="dxa"/>
            <w:vAlign w:val="bottom"/>
            <w:tcBorders>
              <w:bottom w:val="single" w:sz="8" w:color="0C3D25"/>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060"/>
          </w:cols>
          <w:pgMar w:left="900" w:top="909" w:right="920" w:bottom="315"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type w:val="continuous"/>
        </w:sectPr>
      </w:pPr>
    </w:p>
    <w:bookmarkStart w:id="36" w:name="page37"/>
    <w:bookmarkEnd w:id="36"/>
    <w:p>
      <w:pPr>
        <w:spacing w:after="0"/>
        <w:rPr>
          <w:sz w:val="20"/>
          <w:szCs w:val="20"/>
          <w:color w:val="auto"/>
        </w:rPr>
      </w:pPr>
      <w:r>
        <w:rPr>
          <w:rFonts w:ascii="Arial" w:cs="Arial" w:eastAsia="Arial" w:hAnsi="Arial"/>
          <w:sz w:val="40"/>
          <w:szCs w:val="40"/>
          <w:color w:val="0C3D25"/>
        </w:rPr>
        <w:t>EXECUTIVE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Introduction</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2025, aligned with the Company’s 2025 financial goals and performance. The Compensation Discussion and Analysis helps readers better understand the information found in the Summary Compensation Table and other accompanying tables included in this Proxy Statement.</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Compensation Discussion and Analysis focuses on our executive pay program as it relates to the following executive officers during 2025, whom we refer to as the “named executive officers” or “named executives”:</w:t>
      </w:r>
    </w:p>
    <w:p>
      <w:pPr>
        <w:spacing w:after="0" w:line="121" w:lineRule="exact"/>
        <w:rPr>
          <w:sz w:val="20"/>
          <w:szCs w:val="20"/>
          <w:color w:val="auto"/>
        </w:rPr>
      </w:pPr>
    </w:p>
    <w:p>
      <w:pPr>
        <w:jc w:val="both"/>
        <w:ind w:left="600" w:hanging="203"/>
        <w:spacing w:after="0" w:line="249" w:lineRule="auto"/>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Mr. James C. Fish, Jr. — Chief Executive Officer since November 2016; Mr. Fish also served as President from November 2016 to May 2025, when he voluntarily resigned the position of President in connection with the promotion of Mr. Morris.</w:t>
      </w:r>
    </w:p>
    <w:p>
      <w:pPr>
        <w:spacing w:after="0" w:line="122"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Mr. David L. Reed — Executive Vice President and Chief Financial Officer since November 2025; Vice President and Business Partner — West Tier Operations from January 2023 to October 2025.</w:t>
      </w:r>
    </w:p>
    <w:p>
      <w:pPr>
        <w:spacing w:after="0" w:line="121" w:lineRule="exact"/>
        <w:rPr>
          <w:rFonts w:ascii="Arial" w:cs="Arial" w:eastAsia="Arial" w:hAnsi="Arial"/>
          <w:sz w:val="20"/>
          <w:szCs w:val="20"/>
          <w:color w:val="0C3D25"/>
        </w:rPr>
      </w:pPr>
    </w:p>
    <w:p>
      <w:pPr>
        <w:jc w:val="both"/>
        <w:ind w:left="600" w:hanging="203"/>
        <w:spacing w:after="0" w:line="249" w:lineRule="auto"/>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Ms. Devina A. Rankin — Executive Vice President and Chief Financial Officer from February 2020 until her voluntary resignation from her position on November 1, 2025; Ms. Rankin continued to serve as an Executive Advisor until March 13, 2026.</w:t>
      </w:r>
    </w:p>
    <w:p>
      <w:pPr>
        <w:spacing w:after="0" w:line="122"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Mr. John J. Morris, Jr. — President and Chief Operating Officer since May 2025; Executive Vice President and Chief Operating Officer from January 2019 to May 2025.</w:t>
      </w:r>
    </w:p>
    <w:p>
      <w:pPr>
        <w:spacing w:after="0" w:line="121" w:lineRule="exact"/>
        <w:rPr>
          <w:rFonts w:ascii="Arial" w:cs="Arial" w:eastAsia="Arial" w:hAnsi="Arial"/>
          <w:sz w:val="20"/>
          <w:szCs w:val="20"/>
          <w:color w:val="0C3D25"/>
        </w:rPr>
      </w:pPr>
    </w:p>
    <w:p>
      <w:pPr>
        <w:ind w:left="600" w:hanging="203"/>
        <w:spacing w:after="0"/>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Ms. Tara J. Hemmer — Senior Vice President and Chief Sustainability Officer since July 2021.</w:t>
      </w:r>
    </w:p>
    <w:p>
      <w:pPr>
        <w:spacing w:after="0" w:line="129"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14"/>
        </w:numPr>
        <w:rPr>
          <w:rFonts w:ascii="Arial" w:cs="Arial" w:eastAsia="Arial" w:hAnsi="Arial"/>
          <w:sz w:val="20"/>
          <w:szCs w:val="20"/>
          <w:color w:val="0C3D25"/>
        </w:rPr>
      </w:pPr>
      <w:r>
        <w:rPr>
          <w:rFonts w:ascii="Arial" w:cs="Arial" w:eastAsia="Arial" w:hAnsi="Arial"/>
          <w:sz w:val="20"/>
          <w:szCs w:val="20"/>
          <w:color w:val="auto"/>
        </w:rPr>
        <w:t>Mr. Rafael E. Carrasco — Senior Vice President — Enterprise Strategy since September 2023 and President — WM Healthcare Solutions since November 2024.</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Please see “Executive Compensation Decisions in Connection with Leadership Transitions” below for additional information. The named executives’ prior experience with the Company is detailed further under “Executive Officers” above.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Executive Summary</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enabled a people-first, technology-led focus to deliver on our brand promise, ALWAYS WORKING FOR A SUSTAINABLE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ectPr>
          <w:pgSz w:w="11880" w:h="15480" w:orient="portrait"/>
          <w:cols w:equalWidth="0" w:num="1">
            <w:col w:w="10060"/>
          </w:cols>
          <w:pgMar w:left="900" w:top="1131"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key structural elements and policies further the objective of our executive compensation program:</w:t>
      </w:r>
    </w:p>
    <w:p>
      <w:pPr>
        <w:spacing w:after="0" w:line="132" w:lineRule="exact"/>
        <w:rPr>
          <w:sz w:val="20"/>
          <w:szCs w:val="20"/>
          <w:color w:val="auto"/>
        </w:rPr>
      </w:pPr>
    </w:p>
    <w:p>
      <w:pPr>
        <w:jc w:val="both"/>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a substantial majority of executive compensation is linked to Company performance, through annual cash incentive performance criteria and long-term equity-based incentive awards. As a result, our executive compensation program provides for higher total compensation in periods of above-target Company performance, as we saw with respect to equity awards with a three-year performance period ended 2025;</w:t>
      </w:r>
    </w:p>
    <w:p>
      <w:pPr>
        <w:spacing w:after="0" w:line="123" w:lineRule="exact"/>
        <w:rPr>
          <w:rFonts w:ascii="Arial" w:cs="Arial" w:eastAsia="Arial" w:hAnsi="Arial"/>
          <w:sz w:val="20"/>
          <w:szCs w:val="20"/>
          <w:color w:val="0C3D25"/>
        </w:rPr>
      </w:pPr>
    </w:p>
    <w:p>
      <w:pPr>
        <w:jc w:val="both"/>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at target, 76% of total compensation of our Chief Executive Officer was tied to long-term equity awards, and a majority of total compensation of our other named executives, on average, was tied to long-term equity awards, which aligns executives’ interests with those of stockholders;</w:t>
      </w:r>
    </w:p>
    <w:p>
      <w:pPr>
        <w:spacing w:after="0" w:line="122" w:lineRule="exact"/>
        <w:rPr>
          <w:rFonts w:ascii="Arial" w:cs="Arial" w:eastAsia="Arial" w:hAnsi="Arial"/>
          <w:sz w:val="20"/>
          <w:szCs w:val="20"/>
          <w:color w:val="0C3D25"/>
        </w:rPr>
      </w:pPr>
    </w:p>
    <w:p>
      <w:pPr>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21" w:lineRule="exact"/>
        <w:rPr>
          <w:rFonts w:ascii="Arial" w:cs="Arial" w:eastAsia="Arial" w:hAnsi="Arial"/>
          <w:sz w:val="20"/>
          <w:szCs w:val="20"/>
          <w:color w:val="0C3D25"/>
        </w:rPr>
      </w:pPr>
    </w:p>
    <w:p>
      <w:pPr>
        <w:jc w:val="both"/>
        <w:ind w:left="600" w:hanging="203"/>
        <w:spacing w:after="0" w:line="306" w:lineRule="auto"/>
        <w:tabs>
          <w:tab w:leader="none" w:pos="600" w:val="left"/>
        </w:tabs>
        <w:numPr>
          <w:ilvl w:val="0"/>
          <w:numId w:val="15"/>
        </w:numPr>
        <w:rPr>
          <w:rFonts w:ascii="Arial" w:cs="Arial" w:eastAsia="Arial" w:hAnsi="Arial"/>
          <w:sz w:val="18"/>
          <w:szCs w:val="18"/>
          <w:color w:val="0C3D25"/>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4" w:lineRule="exact"/>
        <w:rPr>
          <w:rFonts w:ascii="Arial" w:cs="Arial" w:eastAsia="Arial" w:hAnsi="Arial"/>
          <w:sz w:val="18"/>
          <w:szCs w:val="18"/>
          <w:color w:val="0C3D25"/>
        </w:rPr>
      </w:pPr>
    </w:p>
    <w:p>
      <w:pPr>
        <w:jc w:val="both"/>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122" w:lineRule="exact"/>
        <w:rPr>
          <w:rFonts w:ascii="Arial" w:cs="Arial" w:eastAsia="Arial" w:hAnsi="Arial"/>
          <w:sz w:val="20"/>
          <w:szCs w:val="20"/>
          <w:color w:val="0C3D25"/>
        </w:rPr>
      </w:pPr>
    </w:p>
    <w:p>
      <w:pPr>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21" w:lineRule="exact"/>
        <w:rPr>
          <w:rFonts w:ascii="Arial" w:cs="Arial" w:eastAsia="Arial" w:hAnsi="Arial"/>
          <w:sz w:val="20"/>
          <w:szCs w:val="20"/>
          <w:color w:val="0C3D25"/>
        </w:rPr>
      </w:pPr>
    </w:p>
    <w:p>
      <w:pPr>
        <w:jc w:val="both"/>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23" w:lineRule="exact"/>
        <w:rPr>
          <w:rFonts w:ascii="Arial" w:cs="Arial" w:eastAsia="Arial" w:hAnsi="Arial"/>
          <w:sz w:val="20"/>
          <w:szCs w:val="20"/>
          <w:color w:val="0C3D25"/>
        </w:rPr>
      </w:pPr>
    </w:p>
    <w:p>
      <w:pPr>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our executive officer severance policy implemented a limitation on the amount of benefits the Company may provide to its executive officers under severance agreements (the “Severance Limitation Policy”); and</w:t>
      </w:r>
    </w:p>
    <w:p>
      <w:pPr>
        <w:spacing w:after="0" w:line="121" w:lineRule="exact"/>
        <w:rPr>
          <w:rFonts w:ascii="Arial" w:cs="Arial" w:eastAsia="Arial" w:hAnsi="Arial"/>
          <w:sz w:val="20"/>
          <w:szCs w:val="20"/>
          <w:color w:val="0C3D25"/>
        </w:rPr>
      </w:pPr>
    </w:p>
    <w:p>
      <w:pPr>
        <w:ind w:left="600" w:hanging="203"/>
        <w:spacing w:after="0" w:line="251" w:lineRule="auto"/>
        <w:tabs>
          <w:tab w:leader="none" w:pos="600" w:val="left"/>
        </w:tabs>
        <w:numPr>
          <w:ilvl w:val="0"/>
          <w:numId w:val="15"/>
        </w:numPr>
        <w:rPr>
          <w:rFonts w:ascii="Arial" w:cs="Arial" w:eastAsia="Arial" w:hAnsi="Arial"/>
          <w:sz w:val="20"/>
          <w:szCs w:val="20"/>
          <w:color w:val="0C3D25"/>
        </w:rPr>
      </w:pPr>
      <w:r>
        <w:rPr>
          <w:rFonts w:ascii="Arial" w:cs="Arial" w:eastAsia="Arial" w:hAnsi="Arial"/>
          <w:sz w:val="20"/>
          <w:szCs w:val="20"/>
          <w:color w:val="auto"/>
        </w:rPr>
        <w:t>the Company has adopted a policy that prohibits it from entering into agreements with executive officers that provide for certain death benefits or tax gross-up payments.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2025 Compensation Program Results and Company Performance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During 2025, we continued to focus on our priorities to advance our strategy — enhancing employee engagement, permanently reducing our cost to serve our customers through the use of technology and automation, investing in growth through our recycling and renewable energy businesses and integrating the Stericycle business. We continue to invest in our people through paying a competitive market wage, investing in our digital platform and providing training for our team members. We remain committed to our investment in recycling automation, which reduces costs and increases throughput, positioning us to overcome commodity price headwinds and deliver a differentiated service. As part of the ongoing integration of Stericycle, we achieved synergies by reducing costs of duplicative business processes, established a performance management approach aimed at accountability and continued to improve customer engagement, billing and collection processes to deliver cash flow.</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Following is a summary of the 2025 compensation program results. Incentive compensation measures presented in this proxy statement are defined differently than corresponding measures reported in the Company’s quarterly earnings press release. See Appendix B for additional information and reconciliations of non-GAAP measures to the most comparable GAAP measures.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Shareholder Return</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With respect to the half of the performance share units (“PSUs”) granted in 2023 with a three-year performance period ended December 31, 2025 that was subject to total shareholder return relative to the S&amp;P 500 (“TSR PSUs”), the performance of the Company’s Common Stock on this measure translated into a percentile rank relative to the S&amp;P 500 of 55.26%, resulting in a 121.03% payout on these PSUs in shares of Common Stock. This performance directly benefited our stockholders, delivering total shareholder return of 39.82% over the three-year performance period.</w:t>
      </w:r>
    </w:p>
    <w:p>
      <w:pPr>
        <w:spacing w:after="0" w:line="200" w:lineRule="exact"/>
        <w:rPr>
          <w:sz w:val="20"/>
          <w:szCs w:val="20"/>
          <w:color w:val="auto"/>
        </w:rPr>
      </w:pPr>
    </w:p>
    <w:p>
      <w:pPr>
        <w:spacing w:after="0" w:line="20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38" w:name="page39"/>
    <w:bookmarkEnd w:id="38"/>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 Generation</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2023, of $7.377 billion, exceeding the target performance level of $7.30 billion for the three-year performance period ended December 31, 2025. This performance resulted in a 110.93% payout on these PSUs in shares of Common Stock. The three-year cash flow targets established in 2023 were reflective of intentional increases in capital spending, beginning in 2022, to expand and accelerate our sustainability growth strategy, including significant multi-year investments in our renewable energy and recycling processing and sales businesses. Accordingly, as discussed in last year’s 2025 Compensation Program Preview, the performance results for the Cash Flow PSUs granted in 2023 exclude (i) the impact of $415 million of aggregate incremental sustainability growth investments in 2023, 2024 and 2025 that were not contemplated at the time this performance measure was established but were subsequently approved by our Board in furtherance of the Company’s strategy and (ii) the benefit from associated investment tax credits. The incremental cash flow generation from these strategic investments that were not contemplated at the time the performance measure was established did not materially impact the calculated results for executive compensation performance measures in 2025. Additionally, the calculation of performance on the cash flow measure excludes the following additional items that also were not contemplated at the time the performance measure was established: contributions from the acquired Stericycle business; transaction and integration costs related to the Stericycle acquisition; and benefits from bonus depreciation legislation. See “Named Executives’ 2025 Compensation Program and Results — Long-Term Equity Incentives — Payout on PSUs for the Performance Period Ended December 31, 2025” below and Appendix B for additional information about the calculation of these results. The robust cash flow generation of our business has allowed the Company to fulfill its priorities of investing in and growing the business, funding acquisitions with strong returns, and returning available cash to stockholders through dividend growth and Common Stock repurchases over the three-year performance period.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Cash Incentive Performance Measures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Company performance on annual cash incentive performance measures for named executive officers is set forth below. For additional information about the definition and calculation of these performance measures, see “Named Executives’ 2025 Compensation Program and Results — Annual Cash Incentive” below and Appendix B. Based on these financial results, the named executives earned an annual cash incentive payment for 2025 equal to 101.00% of target, before application of the sustainability modifier.</w:t>
      </w:r>
    </w:p>
    <w:p>
      <w:pPr>
        <w:spacing w:after="0" w:line="119" w:lineRule="exact"/>
        <w:rPr>
          <w:sz w:val="20"/>
          <w:szCs w:val="20"/>
          <w:color w:val="auto"/>
        </w:rPr>
      </w:pPr>
    </w:p>
    <w:p>
      <w:pPr>
        <w:jc w:val="both"/>
        <w:ind w:left="400"/>
        <w:spacing w:after="0" w:line="258" w:lineRule="auto"/>
        <w:rPr>
          <w:sz w:val="20"/>
          <w:szCs w:val="20"/>
          <w:color w:val="auto"/>
        </w:rPr>
      </w:pPr>
      <w:r>
        <w:rPr>
          <w:rFonts w:ascii="Arial" w:cs="Arial" w:eastAsia="Arial" w:hAnsi="Arial"/>
          <w:sz w:val="20"/>
          <w:szCs w:val="20"/>
          <w:b w:val="1"/>
          <w:bCs w:val="1"/>
          <w:i w:val="1"/>
          <w:iCs w:val="1"/>
          <w:color w:val="auto"/>
        </w:rPr>
        <w:t xml:space="preserve">Operating EBITDA </w:t>
      </w:r>
      <w:r>
        <w:rPr>
          <w:rFonts w:ascii="Arial" w:cs="Arial" w:eastAsia="Arial" w:hAnsi="Arial"/>
          <w:sz w:val="20"/>
          <w:szCs w:val="20"/>
          <w:color w:val="auto"/>
        </w:rPr>
        <w:t>(generally defined as the Company’s income from operations, excluding depreciation, depletion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amortization, “Restructuring” and “(Gain) Loss from Divestitures, Asset Impairments and Unusual Items, Net” reported in our Annual Report on Form 10-K, and also excluding the impacts of our recycling brokerage business) — </w:t>
      </w:r>
      <w:r>
        <w:rPr>
          <w:rFonts w:ascii="Arial" w:cs="Arial" w:eastAsia="Arial" w:hAnsi="Arial"/>
          <w:sz w:val="20"/>
          <w:szCs w:val="20"/>
          <w:i w:val="1"/>
          <w:iCs w:val="1"/>
          <w:color w:val="auto"/>
        </w:rPr>
        <w:t>$7.438 billion, yielding a payout of 95.94%</w:t>
      </w:r>
    </w:p>
    <w:p>
      <w:pPr>
        <w:spacing w:after="0" w:line="121" w:lineRule="exact"/>
        <w:rPr>
          <w:sz w:val="20"/>
          <w:szCs w:val="20"/>
          <w:color w:val="auto"/>
        </w:rPr>
      </w:pPr>
    </w:p>
    <w:p>
      <w:pPr>
        <w:jc w:val="both"/>
        <w:ind w:left="400"/>
        <w:spacing w:after="0" w:line="294" w:lineRule="auto"/>
        <w:rPr>
          <w:sz w:val="20"/>
          <w:szCs w:val="20"/>
          <w:color w:val="auto"/>
        </w:rPr>
      </w:pPr>
      <w:r>
        <w:rPr>
          <w:rFonts w:ascii="Arial" w:cs="Arial" w:eastAsia="Arial" w:hAnsi="Arial"/>
          <w:sz w:val="18"/>
          <w:szCs w:val="18"/>
          <w:b w:val="1"/>
          <w:bCs w:val="1"/>
          <w:i w:val="1"/>
          <w:iCs w:val="1"/>
          <w:color w:val="auto"/>
        </w:rPr>
        <w:t xml:space="preserve">Income from Operations, excluding Depreciation, Depletion and Amortization Margin (“Margin performance measure”) </w:t>
      </w:r>
      <w:r>
        <w:rPr>
          <w:rFonts w:ascii="Arial" w:cs="Arial" w:eastAsia="Arial" w:hAnsi="Arial"/>
          <w:sz w:val="18"/>
          <w:szCs w:val="18"/>
          <w:color w:val="auto"/>
        </w:rPr>
        <w:t>(generally defined as the Company’s income from operations, excluding depreciation, depletion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amortization and “Restructuring” and “(Gain) Loss from Divestitures, Asset Impairments and Unusual Items, Net” reported in our Annual Report on Form 10-K, as a percentage of revenue, also excluding the impacts of our recycling brokerage business from both income from operations and revenue) — </w:t>
      </w:r>
      <w:r>
        <w:rPr>
          <w:rFonts w:ascii="Arial" w:cs="Arial" w:eastAsia="Arial" w:hAnsi="Arial"/>
          <w:sz w:val="18"/>
          <w:szCs w:val="18"/>
          <w:i w:val="1"/>
          <w:iCs w:val="1"/>
          <w:color w:val="auto"/>
        </w:rPr>
        <w:t>30.4%, yielding a payout of 130.12%</w:t>
      </w:r>
    </w:p>
    <w:p>
      <w:pPr>
        <w:spacing w:after="0" w:line="89" w:lineRule="exact"/>
        <w:rPr>
          <w:sz w:val="20"/>
          <w:szCs w:val="20"/>
          <w:color w:val="auto"/>
        </w:rPr>
      </w:pPr>
    </w:p>
    <w:p>
      <w:pPr>
        <w:jc w:val="both"/>
        <w:ind w:left="400"/>
        <w:spacing w:after="0" w:line="286" w:lineRule="auto"/>
        <w:rPr>
          <w:sz w:val="20"/>
          <w:szCs w:val="20"/>
          <w:color w:val="auto"/>
        </w:rPr>
      </w:pPr>
      <w:r>
        <w:rPr>
          <w:rFonts w:ascii="Arial" w:cs="Arial" w:eastAsia="Arial" w:hAnsi="Arial"/>
          <w:sz w:val="19"/>
          <w:szCs w:val="19"/>
          <w:b w:val="1"/>
          <w:bCs w:val="1"/>
          <w:i w:val="1"/>
          <w:iCs w:val="1"/>
          <w:color w:val="auto"/>
        </w:rPr>
        <w:t xml:space="preserve">Internal Revenue Growth </w:t>
      </w:r>
      <w:r>
        <w:rPr>
          <w:rFonts w:ascii="Arial" w:cs="Arial" w:eastAsia="Arial" w:hAnsi="Arial"/>
          <w:sz w:val="19"/>
          <w:szCs w:val="19"/>
          <w:color w:val="auto"/>
        </w:rPr>
        <w:t>(defined as internal revenue growth from yield, plus internal revenue growth from volume,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at the consolidated level for the collection and disposal business) — </w:t>
      </w:r>
      <w:r>
        <w:rPr>
          <w:rFonts w:ascii="Arial" w:cs="Arial" w:eastAsia="Arial" w:hAnsi="Arial"/>
          <w:sz w:val="19"/>
          <w:szCs w:val="19"/>
          <w:i w:val="1"/>
          <w:iCs w:val="1"/>
          <w:color w:val="auto"/>
        </w:rPr>
        <w:t>3.97%, yielding a payout of 81.99%.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Sustainability Modifier to Annual Cash Incentive Awards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Since 2023, the MD&amp;C Committee has incorporated a sustainability modifier into the annual cash incentive program. Annual cash incentive payouts to executive officers for 2025 were eligible to be increased, or decreased, up to 10% depending on achievement calculated using a sustainability scorecard. The 2025 sustainability scorecard contained quantifiable performance measures in the areas of safety; employee engagement; circularity and climate. As discussed further below under “Named Executives’ 2025 Compensation Program and Results — Annual Cash Incentive,” the Company earned sufficient points on the sustainability scorecard to correlate to a 2% increase to the annual cash incentive payment for 2025 otherwise earned.</w:t>
      </w:r>
    </w:p>
    <w:p>
      <w:pPr>
        <w:spacing w:after="0" w:line="200" w:lineRule="exact"/>
        <w:rPr>
          <w:sz w:val="20"/>
          <w:szCs w:val="20"/>
          <w:color w:val="auto"/>
        </w:rPr>
      </w:pPr>
    </w:p>
    <w:p>
      <w:pPr>
        <w:spacing w:after="0" w:line="21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2025 Actual Performance and Compensation Payouts</w:t>
      </w:r>
    </w:p>
    <w:p>
      <w:pPr>
        <w:spacing w:after="0" w:line="165" w:lineRule="exact"/>
        <w:rPr>
          <w:sz w:val="20"/>
          <w:szCs w:val="20"/>
          <w:color w:val="auto"/>
        </w:rPr>
      </w:pPr>
    </w:p>
    <w:p>
      <w:pPr>
        <w:jc w:val="right"/>
        <w:ind w:right="700"/>
        <w:spacing w:after="0"/>
        <w:tabs>
          <w:tab w:leader="none" w:pos="2780" w:val="left"/>
        </w:tabs>
        <w:rPr>
          <w:sz w:val="20"/>
          <w:szCs w:val="20"/>
          <w:color w:val="auto"/>
        </w:rPr>
      </w:pPr>
      <w:r>
        <w:rPr>
          <w:rFonts w:ascii="Arial" w:cs="Arial" w:eastAsia="Arial" w:hAnsi="Arial"/>
          <w:sz w:val="16"/>
          <w:szCs w:val="16"/>
          <w:b w:val="1"/>
          <w:bCs w:val="1"/>
          <w:color w:val="auto"/>
        </w:rPr>
        <w:t>Annual Cash Incentive</w:t>
      </w:r>
      <w:r>
        <w:rPr>
          <w:sz w:val="20"/>
          <w:szCs w:val="20"/>
          <w:color w:val="auto"/>
        </w:rPr>
        <w:tab/>
      </w:r>
      <w:r>
        <w:rPr>
          <w:rFonts w:ascii="Arial" w:cs="Arial" w:eastAsia="Arial" w:hAnsi="Arial"/>
          <w:sz w:val="16"/>
          <w:szCs w:val="16"/>
          <w:b w:val="1"/>
          <w:bCs w:val="1"/>
          <w:color w:val="auto"/>
        </w:rPr>
        <w:t>Long-Term Performance Share Units</w:t>
      </w:r>
    </w:p>
    <w:p>
      <w:pPr>
        <w:sectPr>
          <w:pgSz w:w="11880" w:h="15480" w:orient="portrait"/>
          <w:cols w:equalWidth="0" w:num="1">
            <w:col w:w="10060"/>
          </w:cols>
          <w:pgMar w:left="900" w:top="513" w:right="920" w:bottom="315" w:gutter="0" w:footer="0" w:header="0"/>
        </w:sectPr>
      </w:pPr>
    </w:p>
    <w:p>
      <w:pPr>
        <w:spacing w:after="0" w:line="357"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860" w:type="dxa"/>
            <w:vAlign w:val="bottom"/>
            <w:tcBorders>
              <w:right w:val="single" w:sz="8" w:color="0C3D25"/>
            </w:tcBorders>
            <w:vMerge w:val="restart"/>
          </w:tcPr>
          <w:p>
            <w:pPr>
              <w:spacing w:after="0"/>
              <w:rPr>
                <w:sz w:val="20"/>
                <w:szCs w:val="20"/>
                <w:color w:val="auto"/>
              </w:rPr>
            </w:pPr>
            <w:r>
              <w:rPr>
                <w:rFonts w:ascii="Arial" w:cs="Arial" w:eastAsia="Arial" w:hAnsi="Arial"/>
                <w:sz w:val="14"/>
                <w:szCs w:val="14"/>
                <w:b w:val="1"/>
                <w:bCs w:val="1"/>
                <w:color w:val="auto"/>
              </w:rPr>
              <w:t>Maximum</w:t>
            </w:r>
          </w:p>
        </w:tc>
        <w:tc>
          <w:tcPr>
            <w:tcW w:w="1080" w:type="dxa"/>
            <w:vAlign w:val="bottom"/>
            <w:tcBorders>
              <w:top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4"/>
              </w:rPr>
              <w:t>$7.438B Actual</w:t>
            </w:r>
          </w:p>
        </w:tc>
        <w:tc>
          <w:tcPr>
            <w:tcW w:w="80" w:type="dxa"/>
            <w:vAlign w:val="bottom"/>
            <w:tcBorders>
              <w:right w:val="single" w:sz="8" w:color="0C3D25"/>
            </w:tcBorders>
          </w:tcPr>
          <w:p>
            <w:pPr>
              <w:spacing w:after="0"/>
              <w:rPr>
                <w:sz w:val="15"/>
                <w:szCs w:val="15"/>
                <w:color w:val="auto"/>
              </w:rPr>
            </w:pPr>
          </w:p>
        </w:tc>
        <w:tc>
          <w:tcPr>
            <w:tcW w:w="1280" w:type="dxa"/>
            <w:vAlign w:val="bottom"/>
            <w:tcBorders>
              <w:top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30.4% Actual 30.1%</w:t>
            </w:r>
          </w:p>
        </w:tc>
        <w:tc>
          <w:tcPr>
            <w:tcW w:w="100" w:type="dxa"/>
            <w:vAlign w:val="bottom"/>
            <w:tcBorders>
              <w:right w:val="single" w:sz="8" w:color="0C3D25"/>
            </w:tcBorders>
          </w:tcPr>
          <w:p>
            <w:pPr>
              <w:spacing w:after="0"/>
              <w:rPr>
                <w:sz w:val="15"/>
                <w:szCs w:val="15"/>
                <w:color w:val="auto"/>
              </w:rPr>
            </w:pPr>
          </w:p>
        </w:tc>
        <w:tc>
          <w:tcPr>
            <w:tcW w:w="1060" w:type="dxa"/>
            <w:vAlign w:val="bottom"/>
            <w:tcBorders>
              <w:top w:val="single" w:sz="8" w:color="0C3D25"/>
              <w:right w:val="single" w:sz="8" w:color="0C3D25"/>
            </w:tcBorders>
          </w:tcPr>
          <w:p>
            <w:pPr>
              <w:ind w:left="120"/>
              <w:spacing w:after="0"/>
              <w:rPr>
                <w:sz w:val="20"/>
                <w:szCs w:val="20"/>
                <w:color w:val="auto"/>
              </w:rPr>
            </w:pPr>
            <w:r>
              <w:rPr>
                <w:rFonts w:ascii="Arial" w:cs="Arial" w:eastAsia="Arial" w:hAnsi="Arial"/>
                <w:sz w:val="14"/>
                <w:szCs w:val="14"/>
                <w:b w:val="1"/>
                <w:bCs w:val="1"/>
                <w:color w:val="auto"/>
              </w:rPr>
              <w:t>3.97% Actual</w:t>
            </w:r>
          </w:p>
        </w:tc>
        <w:tc>
          <w:tcPr>
            <w:tcW w:w="80" w:type="dxa"/>
            <w:vAlign w:val="bottom"/>
            <w:tcBorders>
              <w:right w:val="single" w:sz="8" w:color="0C3D25"/>
            </w:tcBorders>
          </w:tcPr>
          <w:p>
            <w:pPr>
              <w:spacing w:after="0"/>
              <w:rPr>
                <w:sz w:val="15"/>
                <w:szCs w:val="15"/>
                <w:color w:val="auto"/>
              </w:rPr>
            </w:pPr>
          </w:p>
        </w:tc>
        <w:tc>
          <w:tcPr>
            <w:tcW w:w="1260" w:type="dxa"/>
            <w:vAlign w:val="bottom"/>
            <w:tcBorders>
              <w:top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4"/>
              </w:rPr>
              <w:t>Combined Results:</w:t>
            </w:r>
          </w:p>
        </w:tc>
        <w:tc>
          <w:tcPr>
            <w:tcW w:w="0" w:type="dxa"/>
            <w:vAlign w:val="bottom"/>
          </w:tcPr>
          <w:p>
            <w:pPr>
              <w:spacing w:after="0"/>
              <w:rPr>
                <w:sz w:val="1"/>
                <w:szCs w:val="1"/>
                <w:color w:val="auto"/>
              </w:rPr>
            </w:pPr>
          </w:p>
        </w:tc>
      </w:tr>
      <w:tr>
        <w:trPr>
          <w:trHeight w:val="168"/>
        </w:trPr>
        <w:tc>
          <w:tcPr>
            <w:tcW w:w="860" w:type="dxa"/>
            <w:vAlign w:val="bottom"/>
            <w:tcBorders>
              <w:right w:val="single" w:sz="8" w:color="0C3D25"/>
            </w:tcBorders>
            <w:vMerge w:val="continue"/>
          </w:tcPr>
          <w:p>
            <w:pPr>
              <w:spacing w:after="0"/>
              <w:rPr>
                <w:sz w:val="14"/>
                <w:szCs w:val="14"/>
                <w:color w:val="auto"/>
              </w:rPr>
            </w:pPr>
          </w:p>
        </w:tc>
        <w:tc>
          <w:tcPr>
            <w:tcW w:w="108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4"/>
              </w:rPr>
              <w:t>$7.476B Target</w:t>
            </w:r>
          </w:p>
        </w:tc>
        <w:tc>
          <w:tcPr>
            <w:tcW w:w="80" w:type="dxa"/>
            <w:vAlign w:val="bottom"/>
            <w:tcBorders>
              <w:right w:val="single" w:sz="8" w:color="0C3D25"/>
            </w:tcBorders>
          </w:tcPr>
          <w:p>
            <w:pPr>
              <w:spacing w:after="0"/>
              <w:rPr>
                <w:sz w:val="14"/>
                <w:szCs w:val="14"/>
                <w:color w:val="auto"/>
              </w:rPr>
            </w:pPr>
          </w:p>
        </w:tc>
        <w:tc>
          <w:tcPr>
            <w:tcW w:w="128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tcBorders>
              <w:right w:val="single" w:sz="8" w:color="0C3D25"/>
            </w:tcBorders>
          </w:tcPr>
          <w:p>
            <w:pPr>
              <w:spacing w:after="0"/>
              <w:rPr>
                <w:sz w:val="14"/>
                <w:szCs w:val="14"/>
                <w:color w:val="auto"/>
              </w:rPr>
            </w:pPr>
          </w:p>
        </w:tc>
        <w:tc>
          <w:tcPr>
            <w:tcW w:w="1060" w:type="dxa"/>
            <w:vAlign w:val="bottom"/>
            <w:tcBorders>
              <w:right w:val="single" w:sz="8" w:color="0C3D25"/>
            </w:tcBorders>
          </w:tcPr>
          <w:p>
            <w:pPr>
              <w:ind w:left="120"/>
              <w:spacing w:after="0"/>
              <w:rPr>
                <w:sz w:val="20"/>
                <w:szCs w:val="20"/>
                <w:color w:val="auto"/>
              </w:rPr>
            </w:pPr>
            <w:r>
              <w:rPr>
                <w:rFonts w:ascii="Arial" w:cs="Arial" w:eastAsia="Arial" w:hAnsi="Arial"/>
                <w:sz w:val="14"/>
                <w:szCs w:val="14"/>
                <w:b w:val="1"/>
                <w:bCs w:val="1"/>
                <w:color w:val="auto"/>
              </w:rPr>
              <w:t>4.60% Target</w:t>
            </w:r>
          </w:p>
        </w:tc>
        <w:tc>
          <w:tcPr>
            <w:tcW w:w="80" w:type="dxa"/>
            <w:vAlign w:val="bottom"/>
            <w:tcBorders>
              <w:right w:val="single" w:sz="8" w:color="0C3D25"/>
            </w:tcBorders>
          </w:tcPr>
          <w:p>
            <w:pPr>
              <w:spacing w:after="0"/>
              <w:rPr>
                <w:sz w:val="14"/>
                <w:szCs w:val="14"/>
                <w:color w:val="auto"/>
              </w:rPr>
            </w:pPr>
          </w:p>
        </w:tc>
        <w:tc>
          <w:tcPr>
            <w:tcW w:w="126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1"/>
              </w:rPr>
              <w:t>(Financial</w:t>
            </w:r>
          </w:p>
        </w:tc>
        <w:tc>
          <w:tcPr>
            <w:tcW w:w="0" w:type="dxa"/>
            <w:vAlign w:val="bottom"/>
          </w:tcPr>
          <w:p>
            <w:pPr>
              <w:spacing w:after="0"/>
              <w:rPr>
                <w:sz w:val="1"/>
                <w:szCs w:val="1"/>
                <w:color w:val="auto"/>
              </w:rPr>
            </w:pPr>
          </w:p>
        </w:tc>
      </w:tr>
      <w:tr>
        <w:trPr>
          <w:trHeight w:val="190"/>
        </w:trPr>
        <w:tc>
          <w:tcPr>
            <w:tcW w:w="860" w:type="dxa"/>
            <w:vAlign w:val="bottom"/>
            <w:tcBorders>
              <w:right w:val="single" w:sz="8" w:color="0C3D25"/>
            </w:tcBorders>
          </w:tcPr>
          <w:p>
            <w:pPr>
              <w:spacing w:after="0"/>
              <w:rPr>
                <w:sz w:val="16"/>
                <w:szCs w:val="16"/>
                <w:color w:val="auto"/>
              </w:rPr>
            </w:pPr>
          </w:p>
        </w:tc>
        <w:tc>
          <w:tcPr>
            <w:tcW w:w="1080" w:type="dxa"/>
            <w:vAlign w:val="bottom"/>
            <w:tcBorders>
              <w:bottom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80" w:type="dxa"/>
            <w:vAlign w:val="bottom"/>
            <w:tcBorders>
              <w:right w:val="single" w:sz="8" w:color="0C3D25"/>
            </w:tcBorders>
          </w:tcPr>
          <w:p>
            <w:pPr>
              <w:spacing w:after="0"/>
              <w:rPr>
                <w:sz w:val="16"/>
                <w:szCs w:val="16"/>
                <w:color w:val="auto"/>
              </w:rPr>
            </w:pPr>
          </w:p>
        </w:tc>
        <w:tc>
          <w:tcPr>
            <w:tcW w:w="1280" w:type="dxa"/>
            <w:vAlign w:val="bottom"/>
            <w:tcBorders>
              <w:bottom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(25% weight)</w:t>
            </w:r>
          </w:p>
        </w:tc>
        <w:tc>
          <w:tcPr>
            <w:tcW w:w="100" w:type="dxa"/>
            <w:vAlign w:val="bottom"/>
            <w:tcBorders>
              <w:right w:val="single" w:sz="8" w:color="0C3D25"/>
            </w:tcBorders>
          </w:tcPr>
          <w:p>
            <w:pPr>
              <w:spacing w:after="0"/>
              <w:rPr>
                <w:sz w:val="16"/>
                <w:szCs w:val="16"/>
                <w:color w:val="auto"/>
              </w:rPr>
            </w:pPr>
          </w:p>
        </w:tc>
        <w:tc>
          <w:tcPr>
            <w:tcW w:w="1060" w:type="dxa"/>
            <w:vAlign w:val="bottom"/>
            <w:tcBorders>
              <w:bottom w:val="single" w:sz="8" w:color="0C3D25"/>
              <w:right w:val="single" w:sz="8" w:color="0C3D25"/>
            </w:tcBorders>
          </w:tcPr>
          <w:p>
            <w:pPr>
              <w:ind w:left="120"/>
              <w:spacing w:after="0"/>
              <w:rPr>
                <w:sz w:val="20"/>
                <w:szCs w:val="20"/>
                <w:color w:val="auto"/>
              </w:rPr>
            </w:pPr>
            <w:r>
              <w:rPr>
                <w:rFonts w:ascii="Arial" w:cs="Arial" w:eastAsia="Arial" w:hAnsi="Arial"/>
                <w:sz w:val="14"/>
                <w:szCs w:val="14"/>
                <w:b w:val="1"/>
                <w:bCs w:val="1"/>
                <w:color w:val="auto"/>
              </w:rPr>
              <w:t>(25% weight)</w:t>
            </w:r>
          </w:p>
        </w:tc>
        <w:tc>
          <w:tcPr>
            <w:tcW w:w="80" w:type="dxa"/>
            <w:vAlign w:val="bottom"/>
            <w:tcBorders>
              <w:right w:val="single" w:sz="8" w:color="0C3D25"/>
            </w:tcBorders>
          </w:tcPr>
          <w:p>
            <w:pPr>
              <w:spacing w:after="0"/>
              <w:rPr>
                <w:sz w:val="16"/>
                <w:szCs w:val="16"/>
                <w:color w:val="auto"/>
              </w:rPr>
            </w:pPr>
          </w:p>
        </w:tc>
        <w:tc>
          <w:tcPr>
            <w:tcW w:w="126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right w:val="single" w:sz="8" w:color="0C3D25"/>
            </w:tcBorders>
          </w:tcPr>
          <w:p>
            <w:pPr>
              <w:spacing w:after="0"/>
              <w:rPr>
                <w:sz w:val="13"/>
                <w:szCs w:val="13"/>
                <w:color w:val="auto"/>
              </w:rPr>
            </w:pPr>
          </w:p>
        </w:tc>
        <w:tc>
          <w:tcPr>
            <w:tcW w:w="1260" w:type="dxa"/>
            <w:vAlign w:val="bottom"/>
            <w:tcBorders>
              <w:right w:val="single" w:sz="8" w:color="0C3D25"/>
            </w:tcBorders>
          </w:tcPr>
          <w:p>
            <w:pPr>
              <w:jc w:val="center"/>
              <w:spacing w:after="0" w:line="153" w:lineRule="exact"/>
              <w:rPr>
                <w:sz w:val="20"/>
                <w:szCs w:val="20"/>
                <w:color w:val="auto"/>
              </w:rPr>
            </w:pPr>
            <w:r>
              <w:rPr>
                <w:rFonts w:ascii="Arial" w:cs="Arial" w:eastAsia="Arial" w:hAnsi="Arial"/>
                <w:sz w:val="14"/>
                <w:szCs w:val="14"/>
                <w:b w:val="1"/>
                <w:bCs w:val="1"/>
                <w:color w:val="auto"/>
                <w:w w:val="93"/>
              </w:rPr>
              <w:t>Payout of 101%,</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right w:val="single" w:sz="8" w:color="0C3D25"/>
            </w:tcBorders>
          </w:tcPr>
          <w:p>
            <w:pPr>
              <w:spacing w:after="0"/>
              <w:rPr>
                <w:sz w:val="14"/>
                <w:szCs w:val="14"/>
                <w:color w:val="auto"/>
              </w:rPr>
            </w:pPr>
          </w:p>
        </w:tc>
        <w:tc>
          <w:tcPr>
            <w:tcW w:w="126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Sustainability</w:t>
            </w: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right w:val="single" w:sz="8" w:color="0C3D25"/>
            </w:tcBorders>
          </w:tcPr>
          <w:p>
            <w:pPr>
              <w:spacing w:after="0"/>
              <w:rPr>
                <w:sz w:val="17"/>
                <w:szCs w:val="17"/>
                <w:color w:val="auto"/>
              </w:rPr>
            </w:pPr>
          </w:p>
        </w:tc>
        <w:tc>
          <w:tcPr>
            <w:tcW w:w="1260" w:type="dxa"/>
            <w:vAlign w:val="bottom"/>
            <w:tcBorders>
              <w:bottom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Modifier of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-676275</wp:posOffset>
            </wp:positionV>
            <wp:extent cx="5761990" cy="2326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2">
                      <a:extLst>
                        <a:ext uri="{28A0092B-C50C-407E-A947-70E740481C1C}"/>
                      </a:extLst>
                    </a:blip>
                    <a:srcRect/>
                    <a:stretch>
                      <a:fillRect/>
                    </a:stretch>
                  </pic:blipFill>
                  <pic:spPr bwMode="auto">
                    <a:xfrm>
                      <a:off x="0" y="0"/>
                      <a:ext cx="5761990" cy="2326640"/>
                    </a:xfrm>
                    <a:prstGeom prst="rect">
                      <a:avLst/>
                    </a:prstGeom>
                    <a:noFill/>
                  </pic:spPr>
                </pic:pic>
              </a:graphicData>
            </a:graphic>
          </wp:anchor>
        </w:drawing>
      </w:r>
    </w:p>
    <w:p>
      <w:pPr>
        <w:spacing w:after="0" w:line="299"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80" w:type="dxa"/>
            <w:vAlign w:val="bottom"/>
          </w:tcPr>
          <w:p>
            <w:pPr>
              <w:jc w:val="right"/>
              <w:ind w:right="2620"/>
              <w:spacing w:after="0"/>
              <w:rPr>
                <w:sz w:val="20"/>
                <w:szCs w:val="20"/>
                <w:color w:val="auto"/>
              </w:rPr>
            </w:pPr>
            <w:r>
              <w:rPr>
                <w:rFonts w:ascii="Arial" w:cs="Arial" w:eastAsia="Arial" w:hAnsi="Arial"/>
                <w:sz w:val="16"/>
                <w:szCs w:val="16"/>
                <w:b w:val="1"/>
                <w:bCs w:val="1"/>
                <w:color w:val="auto"/>
              </w:rPr>
              <w:t>130.12%</w:t>
            </w:r>
          </w:p>
        </w:tc>
        <w:tc>
          <w:tcPr>
            <w:tcW w:w="0" w:type="dxa"/>
            <w:vAlign w:val="bottom"/>
          </w:tcPr>
          <w:p>
            <w:pPr>
              <w:spacing w:after="0"/>
              <w:rPr>
                <w:sz w:val="1"/>
                <w:szCs w:val="1"/>
                <w:color w:val="auto"/>
              </w:rPr>
            </w:pPr>
          </w:p>
        </w:tc>
      </w:tr>
      <w:tr>
        <w:trPr>
          <w:trHeight w:val="197"/>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6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36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FFFFFF"/>
              </w:rPr>
              <w:t>103.02%</w:t>
            </w:r>
          </w:p>
        </w:tc>
        <w:tc>
          <w:tcPr>
            <w:tcW w:w="0" w:type="dxa"/>
            <w:vAlign w:val="bottom"/>
          </w:tcPr>
          <w:p>
            <w:pPr>
              <w:spacing w:after="0"/>
              <w:rPr>
                <w:sz w:val="1"/>
                <w:szCs w:val="1"/>
                <w:color w:val="auto"/>
              </w:rPr>
            </w:pPr>
          </w:p>
        </w:tc>
      </w:tr>
      <w:tr>
        <w:trPr>
          <w:trHeight w:val="170"/>
        </w:trPr>
        <w:tc>
          <w:tcPr>
            <w:tcW w:w="18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95.94%</w:t>
            </w: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800" w:type="dxa"/>
            <w:vAlign w:val="bottom"/>
            <w:gridSpan w:val="2"/>
            <w:vMerge w:val="continue"/>
          </w:tcPr>
          <w:p>
            <w:pPr>
              <w:spacing w:after="0"/>
              <w:rPr>
                <w:sz w:val="6"/>
                <w:szCs w:val="6"/>
                <w:color w:val="auto"/>
              </w:rPr>
            </w:pPr>
          </w:p>
        </w:tc>
        <w:tc>
          <w:tcPr>
            <w:tcW w:w="3680" w:type="dxa"/>
            <w:vAlign w:val="bottom"/>
            <w:vMerge w:val="restart"/>
          </w:tcPr>
          <w:p>
            <w:pPr>
              <w:jc w:val="right"/>
              <w:ind w:right="1420"/>
              <w:spacing w:after="0"/>
              <w:rPr>
                <w:sz w:val="20"/>
                <w:szCs w:val="20"/>
                <w:color w:val="auto"/>
              </w:rPr>
            </w:pPr>
            <w:r>
              <w:rPr>
                <w:rFonts w:ascii="Arial" w:cs="Arial" w:eastAsia="Arial" w:hAnsi="Arial"/>
                <w:sz w:val="16"/>
                <w:szCs w:val="16"/>
                <w:b w:val="1"/>
                <w:bCs w:val="1"/>
                <w:color w:val="auto"/>
              </w:rPr>
              <w:t>81.99%</w:t>
            </w: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6"/>
        </w:trPr>
        <w:tc>
          <w:tcPr>
            <w:tcW w:w="1200" w:type="dxa"/>
            <w:vAlign w:val="bottom"/>
            <w:tcBorders>
              <w:top w:val="single" w:sz="8" w:color="0C3D25"/>
              <w:left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4"/>
              </w:rPr>
              <w:t>55.26th Percentile</w:t>
            </w:r>
          </w:p>
        </w:tc>
        <w:tc>
          <w:tcPr>
            <w:tcW w:w="200" w:type="dxa"/>
            <w:vAlign w:val="bottom"/>
            <w:tcBorders>
              <w:right w:val="single" w:sz="8" w:color="0C3D25"/>
            </w:tcBorders>
          </w:tcPr>
          <w:p>
            <w:pPr>
              <w:spacing w:after="0"/>
              <w:rPr>
                <w:sz w:val="17"/>
                <w:szCs w:val="17"/>
                <w:color w:val="auto"/>
              </w:rPr>
            </w:pPr>
          </w:p>
        </w:tc>
        <w:tc>
          <w:tcPr>
            <w:tcW w:w="1100" w:type="dxa"/>
            <w:vAlign w:val="bottom"/>
            <w:tcBorders>
              <w:top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$7.377B Actual</w:t>
            </w:r>
          </w:p>
        </w:tc>
        <w:tc>
          <w:tcPr>
            <w:tcW w:w="280" w:type="dxa"/>
            <w:vAlign w:val="bottom"/>
            <w:tcBorders>
              <w:right w:val="single" w:sz="8" w:color="0C3D25"/>
            </w:tcBorders>
          </w:tcPr>
          <w:p>
            <w:pPr>
              <w:spacing w:after="0"/>
              <w:rPr>
                <w:sz w:val="17"/>
                <w:szCs w:val="17"/>
                <w:color w:val="auto"/>
              </w:rPr>
            </w:pPr>
          </w:p>
        </w:tc>
        <w:tc>
          <w:tcPr>
            <w:tcW w:w="1020" w:type="dxa"/>
            <w:vAlign w:val="bottom"/>
            <w:tcBorders>
              <w:top w:val="single" w:sz="8" w:color="0C3D25"/>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10"/>
        </w:trPr>
        <w:tc>
          <w:tcPr>
            <w:tcW w:w="1200" w:type="dxa"/>
            <w:vAlign w:val="bottom"/>
            <w:tcBorders>
              <w:left w:val="single" w:sz="8" w:color="0C3D25"/>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Borders>
              <w:right w:val="single" w:sz="8" w:color="0C3D25"/>
            </w:tcBorders>
          </w:tcPr>
          <w:p>
            <w:pPr>
              <w:spacing w:after="0"/>
              <w:rPr>
                <w:sz w:val="9"/>
                <w:szCs w:val="9"/>
                <w:color w:val="auto"/>
              </w:rPr>
            </w:pPr>
          </w:p>
        </w:tc>
        <w:tc>
          <w:tcPr>
            <w:tcW w:w="1100" w:type="dxa"/>
            <w:vAlign w:val="bottom"/>
            <w:tcBorders>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2"/>
              </w:rPr>
              <w:t>$7.300B Target</w:t>
            </w:r>
          </w:p>
        </w:tc>
        <w:tc>
          <w:tcPr>
            <w:tcW w:w="280" w:type="dxa"/>
            <w:vAlign w:val="bottom"/>
            <w:tcBorders>
              <w:right w:val="single" w:sz="8" w:color="0C3D25"/>
            </w:tcBorders>
          </w:tcPr>
          <w:p>
            <w:pPr>
              <w:spacing w:after="0"/>
              <w:rPr>
                <w:sz w:val="9"/>
                <w:szCs w:val="9"/>
                <w:color w:val="auto"/>
              </w:rPr>
            </w:pPr>
          </w:p>
        </w:tc>
        <w:tc>
          <w:tcPr>
            <w:tcW w:w="1020" w:type="dxa"/>
            <w:vAlign w:val="bottom"/>
            <w:tcBorders>
              <w:right w:val="single" w:sz="8" w:color="0C3D2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200" w:type="dxa"/>
            <w:vAlign w:val="bottom"/>
            <w:tcBorders>
              <w:left w:val="single" w:sz="8" w:color="0C3D25"/>
              <w:right w:val="single" w:sz="8" w:color="0C3D25"/>
            </w:tcBorders>
            <w:vMerge w:val="continue"/>
          </w:tcPr>
          <w:p>
            <w:pPr>
              <w:spacing w:after="0"/>
              <w:rPr>
                <w:sz w:val="5"/>
                <w:szCs w:val="5"/>
                <w:color w:val="auto"/>
              </w:rPr>
            </w:pPr>
          </w:p>
        </w:tc>
        <w:tc>
          <w:tcPr>
            <w:tcW w:w="200" w:type="dxa"/>
            <w:vAlign w:val="bottom"/>
            <w:tcBorders>
              <w:right w:val="single" w:sz="8" w:color="0C3D25"/>
            </w:tcBorders>
          </w:tcPr>
          <w:p>
            <w:pPr>
              <w:spacing w:after="0"/>
              <w:rPr>
                <w:sz w:val="5"/>
                <w:szCs w:val="5"/>
                <w:color w:val="auto"/>
              </w:rPr>
            </w:pPr>
          </w:p>
        </w:tc>
        <w:tc>
          <w:tcPr>
            <w:tcW w:w="1100" w:type="dxa"/>
            <w:vAlign w:val="bottom"/>
            <w:tcBorders>
              <w:right w:val="single" w:sz="8" w:color="0C3D25"/>
            </w:tcBorders>
            <w:vMerge w:val="continue"/>
          </w:tcPr>
          <w:p>
            <w:pPr>
              <w:spacing w:after="0"/>
              <w:rPr>
                <w:sz w:val="5"/>
                <w:szCs w:val="5"/>
                <w:color w:val="auto"/>
              </w:rPr>
            </w:pPr>
          </w:p>
        </w:tc>
        <w:tc>
          <w:tcPr>
            <w:tcW w:w="280" w:type="dxa"/>
            <w:vAlign w:val="bottom"/>
            <w:tcBorders>
              <w:right w:val="single" w:sz="8" w:color="0C3D25"/>
            </w:tcBorders>
          </w:tcPr>
          <w:p>
            <w:pPr>
              <w:spacing w:after="0"/>
              <w:rPr>
                <w:sz w:val="5"/>
                <w:szCs w:val="5"/>
                <w:color w:val="auto"/>
              </w:rPr>
            </w:pPr>
          </w:p>
        </w:tc>
        <w:tc>
          <w:tcPr>
            <w:tcW w:w="1020" w:type="dxa"/>
            <w:vAlign w:val="bottom"/>
            <w:tcBorders>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4"/>
              </w:rPr>
              <w:t>Results</w:t>
            </w:r>
          </w:p>
        </w:tc>
        <w:tc>
          <w:tcPr>
            <w:tcW w:w="0" w:type="dxa"/>
            <w:vAlign w:val="bottom"/>
          </w:tcPr>
          <w:p>
            <w:pPr>
              <w:spacing w:after="0"/>
              <w:rPr>
                <w:sz w:val="1"/>
                <w:szCs w:val="1"/>
                <w:color w:val="auto"/>
              </w:rPr>
            </w:pPr>
          </w:p>
        </w:tc>
      </w:tr>
      <w:tr>
        <w:trPr>
          <w:trHeight w:val="134"/>
        </w:trPr>
        <w:tc>
          <w:tcPr>
            <w:tcW w:w="1200" w:type="dxa"/>
            <w:vAlign w:val="bottom"/>
            <w:tcBorders>
              <w:left w:val="single" w:sz="8" w:color="0C3D25"/>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2"/>
              </w:rPr>
              <w:t>50th Percentile</w:t>
            </w:r>
          </w:p>
        </w:tc>
        <w:tc>
          <w:tcPr>
            <w:tcW w:w="200" w:type="dxa"/>
            <w:vAlign w:val="bottom"/>
            <w:tcBorders>
              <w:right w:val="single" w:sz="8" w:color="0C3D25"/>
            </w:tcBorders>
          </w:tcPr>
          <w:p>
            <w:pPr>
              <w:spacing w:after="0"/>
              <w:rPr>
                <w:sz w:val="11"/>
                <w:szCs w:val="11"/>
                <w:color w:val="auto"/>
              </w:rPr>
            </w:pPr>
          </w:p>
        </w:tc>
        <w:tc>
          <w:tcPr>
            <w:tcW w:w="1100" w:type="dxa"/>
            <w:vAlign w:val="bottom"/>
            <w:tcBorders>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280" w:type="dxa"/>
            <w:vAlign w:val="bottom"/>
            <w:tcBorders>
              <w:right w:val="single" w:sz="8" w:color="0C3D25"/>
            </w:tcBorders>
          </w:tcPr>
          <w:p>
            <w:pPr>
              <w:spacing w:after="0"/>
              <w:rPr>
                <w:sz w:val="11"/>
                <w:szCs w:val="11"/>
                <w:color w:val="auto"/>
              </w:rPr>
            </w:pPr>
          </w:p>
        </w:tc>
        <w:tc>
          <w:tcPr>
            <w:tcW w:w="1020" w:type="dxa"/>
            <w:vAlign w:val="bottom"/>
            <w:tcBorders>
              <w:right w:val="single" w:sz="8" w:color="0C3D25"/>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00" w:type="dxa"/>
            <w:vAlign w:val="bottom"/>
            <w:tcBorders>
              <w:left w:val="single" w:sz="8" w:color="0C3D25"/>
              <w:right w:val="single" w:sz="8" w:color="0C3D25"/>
            </w:tcBorders>
            <w:vMerge w:val="continue"/>
          </w:tcPr>
          <w:p>
            <w:pPr>
              <w:spacing w:after="0"/>
              <w:rPr>
                <w:sz w:val="2"/>
                <w:szCs w:val="2"/>
                <w:color w:val="auto"/>
              </w:rPr>
            </w:pPr>
          </w:p>
        </w:tc>
        <w:tc>
          <w:tcPr>
            <w:tcW w:w="200" w:type="dxa"/>
            <w:vAlign w:val="bottom"/>
            <w:tcBorders>
              <w:right w:val="single" w:sz="8" w:color="0C3D25"/>
            </w:tcBorders>
          </w:tcPr>
          <w:p>
            <w:pPr>
              <w:spacing w:after="0"/>
              <w:rPr>
                <w:sz w:val="2"/>
                <w:szCs w:val="2"/>
                <w:color w:val="auto"/>
              </w:rPr>
            </w:pPr>
          </w:p>
        </w:tc>
        <w:tc>
          <w:tcPr>
            <w:tcW w:w="1100" w:type="dxa"/>
            <w:vAlign w:val="bottom"/>
            <w:tcBorders>
              <w:right w:val="single" w:sz="8" w:color="0C3D25"/>
            </w:tcBorders>
            <w:vMerge w:val="continue"/>
          </w:tcPr>
          <w:p>
            <w:pPr>
              <w:spacing w:after="0"/>
              <w:rPr>
                <w:sz w:val="2"/>
                <w:szCs w:val="2"/>
                <w:color w:val="auto"/>
              </w:rPr>
            </w:pPr>
          </w:p>
        </w:tc>
        <w:tc>
          <w:tcPr>
            <w:tcW w:w="280" w:type="dxa"/>
            <w:vAlign w:val="bottom"/>
            <w:tcBorders>
              <w:right w:val="single" w:sz="8" w:color="0C3D25"/>
            </w:tcBorders>
          </w:tcPr>
          <w:p>
            <w:pPr>
              <w:spacing w:after="0"/>
              <w:rPr>
                <w:sz w:val="2"/>
                <w:szCs w:val="2"/>
                <w:color w:val="auto"/>
              </w:rPr>
            </w:pPr>
          </w:p>
        </w:tc>
        <w:tc>
          <w:tcPr>
            <w:tcW w:w="1020" w:type="dxa"/>
            <w:vAlign w:val="bottom"/>
            <w:tcBorders>
              <w:right w:val="single" w:sz="8" w:color="0C3D2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1200" w:type="dxa"/>
            <w:vAlign w:val="bottom"/>
            <w:tcBorders>
              <w:left w:val="single" w:sz="8" w:color="0C3D25"/>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0" w:type="dxa"/>
            <w:vAlign w:val="bottom"/>
            <w:tcBorders>
              <w:right w:val="single" w:sz="8" w:color="0C3D25"/>
            </w:tcBorders>
          </w:tcPr>
          <w:p>
            <w:pPr>
              <w:spacing w:after="0"/>
              <w:rPr>
                <w:sz w:val="6"/>
                <w:szCs w:val="6"/>
                <w:color w:val="auto"/>
              </w:rPr>
            </w:pPr>
          </w:p>
        </w:tc>
        <w:tc>
          <w:tcPr>
            <w:tcW w:w="1100" w:type="dxa"/>
            <w:vAlign w:val="bottom"/>
            <w:tcBorders>
              <w:bottom w:val="single" w:sz="8" w:color="0C3D25"/>
              <w:right w:val="single" w:sz="8" w:color="0C3D25"/>
            </w:tcBorders>
          </w:tcPr>
          <w:p>
            <w:pPr>
              <w:spacing w:after="0"/>
              <w:rPr>
                <w:sz w:val="6"/>
                <w:szCs w:val="6"/>
                <w:color w:val="auto"/>
              </w:rPr>
            </w:pPr>
          </w:p>
        </w:tc>
        <w:tc>
          <w:tcPr>
            <w:tcW w:w="280" w:type="dxa"/>
            <w:vAlign w:val="bottom"/>
            <w:tcBorders>
              <w:right w:val="single" w:sz="8" w:color="0C3D25"/>
            </w:tcBorders>
          </w:tcPr>
          <w:p>
            <w:pPr>
              <w:spacing w:after="0"/>
              <w:rPr>
                <w:sz w:val="6"/>
                <w:szCs w:val="6"/>
                <w:color w:val="auto"/>
              </w:rPr>
            </w:pPr>
          </w:p>
        </w:tc>
        <w:tc>
          <w:tcPr>
            <w:tcW w:w="1020" w:type="dxa"/>
            <w:vAlign w:val="bottom"/>
            <w:tcBorders>
              <w:bottom w:val="single" w:sz="8" w:color="0C3D25"/>
              <w:right w:val="single" w:sz="8" w:color="0C3D25"/>
            </w:tcBorders>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200" w:type="dxa"/>
            <w:vAlign w:val="bottom"/>
            <w:tcBorders>
              <w:left w:val="single" w:sz="8" w:color="0C3D25"/>
              <w:right w:val="single" w:sz="8" w:color="0C3D25"/>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200" w:type="dxa"/>
            <w:vAlign w:val="bottom"/>
            <w:tcBorders>
              <w:left w:val="single" w:sz="8" w:color="0C3D25"/>
              <w:bottom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0"/>
        <w:spacing w:after="0"/>
        <w:tabs>
          <w:tab w:leader="none" w:pos="1600" w:val="left"/>
          <w:tab w:leader="none" w:pos="2940" w:val="left"/>
        </w:tabs>
        <w:rPr>
          <w:sz w:val="20"/>
          <w:szCs w:val="20"/>
          <w:color w:val="auto"/>
        </w:rPr>
      </w:pPr>
      <w:r>
        <w:rPr>
          <w:rFonts w:ascii="Arial" w:cs="Arial" w:eastAsia="Arial" w:hAnsi="Arial"/>
          <w:sz w:val="32"/>
          <w:szCs w:val="32"/>
          <w:b w:val="1"/>
          <w:bCs w:val="1"/>
          <w:color w:val="000000"/>
          <w:vertAlign w:val="superscript"/>
        </w:rPr>
        <w:t>121.03%</w:t>
      </w:r>
      <w:r>
        <w:rPr>
          <w:sz w:val="20"/>
          <w:szCs w:val="20"/>
          <w:color w:val="auto"/>
        </w:rPr>
        <w:tab/>
      </w:r>
      <w:r>
        <w:rPr>
          <w:rFonts w:ascii="Arial" w:cs="Arial" w:eastAsia="Arial" w:hAnsi="Arial"/>
          <w:sz w:val="32"/>
          <w:szCs w:val="32"/>
          <w:b w:val="1"/>
          <w:bCs w:val="1"/>
          <w:color w:val="auto"/>
          <w:vertAlign w:val="subscript"/>
        </w:rPr>
        <w:t>110.93%</w:t>
      </w:r>
      <w:r>
        <w:rPr>
          <w:sz w:val="20"/>
          <w:szCs w:val="20"/>
          <w:color w:val="auto"/>
        </w:rPr>
        <w:tab/>
      </w:r>
      <w:r>
        <w:rPr>
          <w:rFonts w:ascii="Arial" w:cs="Arial" w:eastAsia="Arial" w:hAnsi="Arial"/>
          <w:sz w:val="16"/>
          <w:szCs w:val="16"/>
          <w:b w:val="1"/>
          <w:bCs w:val="1"/>
          <w:color w:val="FFFFFF"/>
        </w:rPr>
        <w:t>115.99%</w:t>
      </w:r>
    </w:p>
    <w:p>
      <w:pPr>
        <w:spacing w:after="0" w:line="707" w:lineRule="exact"/>
        <w:rPr>
          <w:sz w:val="20"/>
          <w:szCs w:val="20"/>
          <w:color w:val="auto"/>
        </w:rPr>
      </w:pPr>
    </w:p>
    <w:p>
      <w:pPr>
        <w:sectPr>
          <w:pgSz w:w="11880" w:h="15480" w:orient="portrait"/>
          <w:cols w:equalWidth="0" w:num="2">
            <w:col w:w="5940" w:space="80"/>
            <w:col w:w="40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Threshold</w:t>
      </w:r>
    </w:p>
    <w:p>
      <w:pPr>
        <w:spacing w:after="0" w:line="31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auto"/>
              </w:rPr>
              <w:t>Operating EBITDA</w:t>
            </w:r>
          </w:p>
        </w:tc>
        <w:tc>
          <w:tcPr>
            <w:tcW w:w="1060" w:type="dxa"/>
            <w:vAlign w:val="bottom"/>
          </w:tcPr>
          <w:p>
            <w:pPr>
              <w:ind w:left="240"/>
              <w:spacing w:after="0"/>
              <w:rPr>
                <w:sz w:val="20"/>
                <w:szCs w:val="20"/>
                <w:color w:val="auto"/>
              </w:rPr>
            </w:pPr>
            <w:r>
              <w:rPr>
                <w:rFonts w:ascii="Arial" w:cs="Arial" w:eastAsia="Arial" w:hAnsi="Arial"/>
                <w:sz w:val="14"/>
                <w:szCs w:val="14"/>
                <w:color w:val="auto"/>
              </w:rPr>
              <w:t>Margin</w:t>
            </w:r>
          </w:p>
        </w:tc>
        <w:tc>
          <w:tcPr>
            <w:tcW w:w="1220" w:type="dxa"/>
            <w:vAlign w:val="bottom"/>
          </w:tcPr>
          <w:p>
            <w:pPr>
              <w:jc w:val="center"/>
              <w:ind w:left="30"/>
              <w:spacing w:after="0"/>
              <w:rPr>
                <w:sz w:val="20"/>
                <w:szCs w:val="20"/>
                <w:color w:val="auto"/>
              </w:rPr>
            </w:pPr>
            <w:r>
              <w:rPr>
                <w:rFonts w:ascii="Arial" w:cs="Arial" w:eastAsia="Arial" w:hAnsi="Arial"/>
                <w:sz w:val="14"/>
                <w:szCs w:val="14"/>
                <w:color w:val="auto"/>
              </w:rPr>
              <w:t>Internal</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Annual Cash</w:t>
            </w:r>
          </w:p>
        </w:tc>
        <w:tc>
          <w:tcPr>
            <w:tcW w:w="1360" w:type="dxa"/>
            <w:vAlign w:val="bottom"/>
          </w:tcPr>
          <w:p>
            <w:pPr>
              <w:jc w:val="center"/>
              <w:spacing w:after="0"/>
              <w:rPr>
                <w:sz w:val="20"/>
                <w:szCs w:val="20"/>
                <w:color w:val="auto"/>
              </w:rPr>
            </w:pPr>
            <w:r>
              <w:rPr>
                <w:rFonts w:ascii="Arial" w:cs="Arial" w:eastAsia="Arial" w:hAnsi="Arial"/>
                <w:sz w:val="14"/>
                <w:szCs w:val="14"/>
                <w:color w:val="auto"/>
              </w:rPr>
              <w:t>Relative TSR</w:t>
            </w:r>
          </w:p>
        </w:tc>
        <w:tc>
          <w:tcPr>
            <w:tcW w:w="1300" w:type="dxa"/>
            <w:vAlign w:val="bottom"/>
          </w:tcPr>
          <w:p>
            <w:pPr>
              <w:ind w:left="300"/>
              <w:spacing w:after="0"/>
              <w:rPr>
                <w:sz w:val="20"/>
                <w:szCs w:val="20"/>
                <w:color w:val="auto"/>
              </w:rPr>
            </w:pPr>
            <w:r>
              <w:rPr>
                <w:rFonts w:ascii="Arial" w:cs="Arial" w:eastAsia="Arial" w:hAnsi="Arial"/>
                <w:sz w:val="14"/>
                <w:szCs w:val="14"/>
                <w:color w:val="auto"/>
              </w:rPr>
              <w:t>Cash Flow</w:t>
            </w:r>
          </w:p>
        </w:tc>
        <w:tc>
          <w:tcPr>
            <w:tcW w:w="1040" w:type="dxa"/>
            <w:vAlign w:val="bottom"/>
          </w:tcPr>
          <w:p>
            <w:pPr>
              <w:jc w:val="center"/>
              <w:ind w:left="250"/>
              <w:spacing w:after="0"/>
              <w:rPr>
                <w:sz w:val="20"/>
                <w:szCs w:val="20"/>
                <w:color w:val="auto"/>
              </w:rPr>
            </w:pPr>
            <w:r>
              <w:rPr>
                <w:rFonts w:ascii="Arial" w:cs="Arial" w:eastAsia="Arial" w:hAnsi="Arial"/>
                <w:sz w:val="14"/>
                <w:szCs w:val="14"/>
                <w:color w:val="auto"/>
                <w:w w:val="99"/>
              </w:rPr>
              <w:t>PSU Award</w:t>
            </w:r>
          </w:p>
        </w:tc>
      </w:tr>
      <w:tr>
        <w:trPr>
          <w:trHeight w:val="175"/>
        </w:trPr>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left="30"/>
              <w:spacing w:after="0"/>
              <w:rPr>
                <w:sz w:val="20"/>
                <w:szCs w:val="20"/>
                <w:color w:val="auto"/>
              </w:rPr>
            </w:pPr>
            <w:r>
              <w:rPr>
                <w:rFonts w:ascii="Arial" w:cs="Arial" w:eastAsia="Arial" w:hAnsi="Arial"/>
                <w:sz w:val="14"/>
                <w:szCs w:val="14"/>
                <w:color w:val="auto"/>
                <w:w w:val="99"/>
              </w:rPr>
              <w:t>Revenue</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Incentive</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(S&amp;P 500)</w:t>
            </w:r>
          </w:p>
        </w:tc>
        <w:tc>
          <w:tcPr>
            <w:tcW w:w="1300" w:type="dxa"/>
            <w:vAlign w:val="bottom"/>
          </w:tcPr>
          <w:p>
            <w:pPr>
              <w:ind w:left="300"/>
              <w:spacing w:after="0"/>
              <w:rPr>
                <w:sz w:val="20"/>
                <w:szCs w:val="20"/>
                <w:color w:val="auto"/>
              </w:rPr>
            </w:pPr>
            <w:r>
              <w:rPr>
                <w:rFonts w:ascii="Arial" w:cs="Arial" w:eastAsia="Arial" w:hAnsi="Arial"/>
                <w:sz w:val="14"/>
                <w:szCs w:val="14"/>
                <w:color w:val="auto"/>
              </w:rPr>
              <w:t>Generation</w:t>
            </w:r>
          </w:p>
        </w:tc>
        <w:tc>
          <w:tcPr>
            <w:tcW w:w="1040" w:type="dxa"/>
            <w:vAlign w:val="bottom"/>
          </w:tcPr>
          <w:p>
            <w:pPr>
              <w:jc w:val="center"/>
              <w:ind w:left="230"/>
              <w:spacing w:after="0"/>
              <w:rPr>
                <w:sz w:val="20"/>
                <w:szCs w:val="20"/>
                <w:color w:val="auto"/>
              </w:rPr>
            </w:pPr>
            <w:r>
              <w:rPr>
                <w:rFonts w:ascii="Arial" w:cs="Arial" w:eastAsia="Arial" w:hAnsi="Arial"/>
                <w:sz w:val="14"/>
                <w:szCs w:val="14"/>
                <w:color w:val="auto"/>
                <w:w w:val="96"/>
              </w:rPr>
              <w:t>Payout</w:t>
            </w:r>
          </w:p>
        </w:tc>
      </w:tr>
      <w:tr>
        <w:trPr>
          <w:trHeight w:val="184"/>
        </w:trPr>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jc w:val="center"/>
              <w:ind w:left="30"/>
              <w:spacing w:after="0"/>
              <w:rPr>
                <w:sz w:val="20"/>
                <w:szCs w:val="20"/>
                <w:color w:val="auto"/>
              </w:rPr>
            </w:pPr>
            <w:r>
              <w:rPr>
                <w:rFonts w:ascii="Arial" w:cs="Arial" w:eastAsia="Arial" w:hAnsi="Arial"/>
                <w:sz w:val="14"/>
                <w:szCs w:val="14"/>
                <w:color w:val="auto"/>
                <w:w w:val="97"/>
              </w:rPr>
              <w:t>Growth</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Award Payout</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In 2025, each of the executive compensation incentive awards continued to demonstrate strong alignment between executive pay and Company performance. The payouts on the PSUs granted in 2023 correlate with strong cash flow generation and total shareholder return over the three-year performance period. Additionally, the combined results on our annual cash incentive performance measures are reflective of another year of strong business growth and overall financial performance. In particular, Margin performance measure results exceeded target as the Company focused on high-quality revenue growth and cost optimization. Internal revenue growth results were below target performance level, largely due to variability in volume trends across markets and lower volume in the residential and commercial collection businesses. The Company’s incentive compensation results evidence that our executives have taken the right actions to deliver on operational, strategic and financial priorities. Management continues to successfully develop and advance strategic initiatives to grow our business while driving efficiencies. As a result, both stockholders and executives were rewarded by results on executive compensation financial performance measures in 2025, coupled with positive results on the sustainability scorecard.</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Executive Compensation Decisions in Connection with Leadership Transitions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May 2025, Mr. Morris was promoted to President and Chief Operating Officer, reporting to Chief Executive Officer Mr. Fish, and Mr. Fish voluntarily resigned the position of President. In connection with Mr. Morris’s promotion, his annual base salary was increased to $1.0 million, and his target annual cash incentive was increased to 125% of his base salary in effect at year end. Additionally, on May 20, 2025, Mr. Morris received a grant of 4,585 RSUs with a target award value of $1.05 million that vest ratably in three annual increments, beginning on the first anniversary of the date of grant. The award was intended to bridge the difference between his annual long-term equity incentive award granted in February 2025 and his go-forward target long-term equity incentive award as President, pro-rated for the 2025 time period in role.</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August 2025, Ms. Rankin gave notice of her decision to resign from her position as Executive Vice President and Chief Financial Officer to dedicate focus to her long-standing passions for education and not-for-profit service, following her admirable career spanning 23 years of dedicated service to the Company, including nearly nine years as Chief Financial Officer. Ms. Rankin’s resignation from her position as an executive officer was effective November 1, 2025. Ms. Rankin remained employed as an Executive Advisor at her prior base salary until March 13, 2026 to ensure an effective transition of her responsibilities. Upon her departure from the Company, Ms. Rankin received a cash service gift of $45,000 and a previously-disclosed cash bonus of $1 million in recognition of the value delivered to Company stockholders as a result of her leadership in completing the orderly transition of the Chief Financial Officer role to her successor and her important</w:t>
      </w:r>
    </w:p>
    <w:p>
      <w:pPr>
        <w:spacing w:after="0" w:line="39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0" w:name="page41"/>
    <w:bookmarkEnd w:id="40"/>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contributions toward the integration of the Company’s Healthcare Solutions business. The Company will also make a $10,000 donation to a charity of her choice. Her unvested equity awards were treated under the voluntary termination provisions of the applicable award agreements and were forfeited.</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Also in August 2025, the Company announced that Mr. Reed would succeed Ms. Rankin as Executive Vice President and Chief Financial Officer. In connection with his promotion, Mr. Reed’s annual base salary was increased to $700,000, and his target annual cash incentive was increased to 100% of his base salary, with the impact of such increase on the total annual cash incentive payout for 2025 to be applied on a pro-rata basis for the time period following his promotion. Additionally, on November 3, 2025, Mr. Reed received a grant of 2,628 RSUs with a target award value of $565,000 that vest ratably in three annual increments, beginning on the first anniversary of the date of grant. The award was intended to bridge the difference between his annual long-term equity incentive award granted in February 2025 and his go-forward target long-term equity incentive award as Chief Financial Officer, pro-rated for the 2025 time period in role.</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When establishing compensation increases in connection with the promotions of Mr. Morris and Mr. Reed, the MD&amp;C Committee considered the responsibilities of the position, the compensation level of applicable predecessors and the competitive analysis prepared when 2025 executive compensation was established. In particular, the promotional grants of RSUs were made in light of increased responsibilities, in order to encourage and reward long-term performance, and in order to promote retention and increase alignment with stockholders.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On September 2, 2025, Ms. Hemmer received a grant of 9,130 RSUs with a target award value of $2.1 million, of which 50% vest on the second anniversary of the date of grant and 50% on the third anniversary of date of grant. This award reflects the MD&amp;C Committee’s desire to retain Ms. Hemmer and promote stability in our leadership team in light of the leadership transitions identified above.</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Consideration of Stockholder Advisory Vote</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When establishing 2025 compensation for the named executives, the MD&amp;C Committee noted the results of the 2024 advisory stockholder vote on executive compensation, with approximately 93% of shares present and entitled to vote at the 2024 Annual Meeting voting in favor of the Company’s executive compensation. Accordingly, the results of the stockholder advisory vote did not cause the MD&amp;C Committee to make any changes to executive compensation practices for 2025, although the MD&amp;C Committee does consider feedback received by the Company through stockholder engagement throughout the year.</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2026 Compensation Program Preview</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2026 long-term incentive program design for executive officers, comprised of stock options and PSUs, consistent with prior years.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Beginning in 2024, the MD&amp;C Committee revised the definition of cash flow generation for purposes of the Cash Flow PSUs to proactively address considerations related to the Company’s growth through strategic investments and acquisitions. Consistent with the terms of the award agreement, for purposes of the Cash Flow PSUs with a performance period ended December 31, 2026, calculated results will exclude certain impacts from discrete growth capital investment projects made to support the long-term organic growth of the business that were not planned for when the performance measures were established and impacts and costs from the acquisition of Stericycle, which also were not contemplated when the performance measures were established. The MD&amp;C Committee believes that these exclusions are supportive of positive actions by management to advance sustainable growth.</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has approved an annual cash incentive program for 2026 with the same performance measures and weighting as the 2025 annual cash incentive program, except that the income from operations margin performance measure historically included in the program will replace the Margin performance measure, maintaining its 25% weighting. Use of the Margin performance measure in 2025 was a temporary change, primarily in response to our acquisition of Stericycle and to remove variability caused by Stericycle purchase price accounting that has now normalized.</w:t>
      </w:r>
    </w:p>
    <w:p>
      <w:pPr>
        <w:spacing w:after="0" w:line="200" w:lineRule="exact"/>
        <w:rPr>
          <w:sz w:val="20"/>
          <w:szCs w:val="20"/>
          <w:color w:val="auto"/>
        </w:rPr>
      </w:pPr>
    </w:p>
    <w:p>
      <w:pPr>
        <w:spacing w:after="0" w:line="224"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MD&amp;C Committee has also approved continued use of a sustainability modifier applicable to this program. Annual cash incentive payouts to executive officers for 2026 may be increased, or decreased, up to 10% depending on achievement calculated using the 2026 sustainability scorecard. The 2026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2025, the MD&amp;C Committee’s independent compensation consultant, Frederic W. Cook &amp; Co., Inc. (“FW Cook”), assisted the MD&amp;C Committee with a refreshed comprehensive analysis of the Company’s methodology for identifying potential peer companies for compensation purposes. As a result of that analysis, the MD&amp;C Committee approved the compensation peer group listed below for purposes of developing 2026 executive compensation. The changes to the peer group were intended to better position the Company near the market median for revenue and market capitalization in light of the increased scale of the business following the Stericycle acquisition.</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20"/>
                <w:szCs w:val="20"/>
                <w:color w:val="auto"/>
              </w:rPr>
              <w:t>3M</w:t>
            </w:r>
          </w:p>
        </w:tc>
        <w:tc>
          <w:tcPr>
            <w:tcW w:w="1880" w:type="dxa"/>
            <w:vAlign w:val="bottom"/>
          </w:tcPr>
          <w:p>
            <w:pPr>
              <w:ind w:left="140"/>
              <w:spacing w:after="0"/>
              <w:rPr>
                <w:sz w:val="20"/>
                <w:szCs w:val="20"/>
                <w:color w:val="auto"/>
              </w:rPr>
            </w:pPr>
            <w:r>
              <w:rPr>
                <w:rFonts w:ascii="Arial" w:cs="Arial" w:eastAsia="Arial" w:hAnsi="Arial"/>
                <w:sz w:val="20"/>
                <w:szCs w:val="20"/>
                <w:color w:val="auto"/>
              </w:rPr>
              <w:t>Cummins</w:t>
            </w:r>
          </w:p>
        </w:tc>
        <w:tc>
          <w:tcPr>
            <w:tcW w:w="2040" w:type="dxa"/>
            <w:vAlign w:val="bottom"/>
          </w:tcPr>
          <w:p>
            <w:pPr>
              <w:ind w:left="280"/>
              <w:spacing w:after="0"/>
              <w:rPr>
                <w:sz w:val="20"/>
                <w:szCs w:val="20"/>
                <w:color w:val="auto"/>
              </w:rPr>
            </w:pPr>
            <w:r>
              <w:rPr>
                <w:rFonts w:ascii="Arial" w:cs="Arial" w:eastAsia="Arial" w:hAnsi="Arial"/>
                <w:sz w:val="20"/>
                <w:szCs w:val="20"/>
                <w:color w:val="auto"/>
              </w:rPr>
              <w:t>Grainger (WW)</w:t>
            </w:r>
          </w:p>
        </w:tc>
        <w:tc>
          <w:tcPr>
            <w:tcW w:w="2060" w:type="dxa"/>
            <w:vAlign w:val="bottom"/>
          </w:tcPr>
          <w:p>
            <w:pPr>
              <w:ind w:left="280"/>
              <w:spacing w:after="0"/>
              <w:rPr>
                <w:sz w:val="20"/>
                <w:szCs w:val="20"/>
                <w:color w:val="auto"/>
              </w:rPr>
            </w:pPr>
            <w:r>
              <w:rPr>
                <w:rFonts w:ascii="Arial" w:cs="Arial" w:eastAsia="Arial" w:hAnsi="Arial"/>
                <w:sz w:val="20"/>
                <w:szCs w:val="20"/>
                <w:color w:val="auto"/>
              </w:rPr>
              <w:t>Parker-Hannifin</w:t>
            </w:r>
          </w:p>
        </w:tc>
        <w:tc>
          <w:tcPr>
            <w:tcW w:w="1920" w:type="dxa"/>
            <w:vAlign w:val="bottom"/>
          </w:tcPr>
          <w:p>
            <w:pPr>
              <w:ind w:left="260"/>
              <w:spacing w:after="0"/>
              <w:rPr>
                <w:sz w:val="20"/>
                <w:szCs w:val="20"/>
                <w:color w:val="auto"/>
              </w:rPr>
            </w:pPr>
            <w:r>
              <w:rPr>
                <w:rFonts w:ascii="Arial" w:cs="Arial" w:eastAsia="Arial" w:hAnsi="Arial"/>
                <w:sz w:val="20"/>
                <w:szCs w:val="20"/>
                <w:color w:val="auto"/>
                <w:w w:val="92"/>
              </w:rPr>
              <w:t>Trane Technologies</w:t>
            </w:r>
          </w:p>
        </w:tc>
      </w:tr>
      <w:tr>
        <w:trPr>
          <w:trHeight w:val="239"/>
        </w:trPr>
        <w:tc>
          <w:tcPr>
            <w:tcW w:w="1900" w:type="dxa"/>
            <w:vAlign w:val="bottom"/>
          </w:tcPr>
          <w:p>
            <w:pPr>
              <w:spacing w:after="0"/>
              <w:rPr>
                <w:sz w:val="20"/>
                <w:szCs w:val="20"/>
                <w:color w:val="auto"/>
              </w:rPr>
            </w:pPr>
            <w:r>
              <w:rPr>
                <w:rFonts w:ascii="Arial" w:cs="Arial" w:eastAsia="Arial" w:hAnsi="Arial"/>
                <w:sz w:val="20"/>
                <w:szCs w:val="20"/>
                <w:color w:val="auto"/>
              </w:rPr>
              <w:t>CSX</w:t>
            </w:r>
          </w:p>
        </w:tc>
        <w:tc>
          <w:tcPr>
            <w:tcW w:w="1880" w:type="dxa"/>
            <w:vAlign w:val="bottom"/>
          </w:tcPr>
          <w:p>
            <w:pPr>
              <w:ind w:left="140"/>
              <w:spacing w:after="0"/>
              <w:rPr>
                <w:sz w:val="20"/>
                <w:szCs w:val="20"/>
                <w:color w:val="auto"/>
              </w:rPr>
            </w:pPr>
            <w:r>
              <w:rPr>
                <w:rFonts w:ascii="Arial" w:cs="Arial" w:eastAsia="Arial" w:hAnsi="Arial"/>
                <w:sz w:val="20"/>
                <w:szCs w:val="20"/>
                <w:color w:val="auto"/>
              </w:rPr>
              <w:t>Duke Energy</w:t>
            </w:r>
          </w:p>
        </w:tc>
        <w:tc>
          <w:tcPr>
            <w:tcW w:w="2040" w:type="dxa"/>
            <w:vAlign w:val="bottom"/>
          </w:tcPr>
          <w:p>
            <w:pPr>
              <w:ind w:left="280"/>
              <w:spacing w:after="0"/>
              <w:rPr>
                <w:sz w:val="20"/>
                <w:szCs w:val="20"/>
                <w:color w:val="auto"/>
              </w:rPr>
            </w:pPr>
            <w:r>
              <w:rPr>
                <w:rFonts w:ascii="Arial" w:cs="Arial" w:eastAsia="Arial" w:hAnsi="Arial"/>
                <w:sz w:val="20"/>
                <w:szCs w:val="20"/>
                <w:color w:val="auto"/>
              </w:rPr>
              <w:t>Johnson Controls</w:t>
            </w:r>
          </w:p>
        </w:tc>
        <w:tc>
          <w:tcPr>
            <w:tcW w:w="2060" w:type="dxa"/>
            <w:vAlign w:val="bottom"/>
          </w:tcPr>
          <w:p>
            <w:pPr>
              <w:ind w:left="280"/>
              <w:spacing w:after="0"/>
              <w:rPr>
                <w:sz w:val="20"/>
                <w:szCs w:val="20"/>
                <w:color w:val="auto"/>
              </w:rPr>
            </w:pPr>
            <w:r>
              <w:rPr>
                <w:rFonts w:ascii="Arial" w:cs="Arial" w:eastAsia="Arial" w:hAnsi="Arial"/>
                <w:sz w:val="20"/>
                <w:szCs w:val="20"/>
                <w:color w:val="auto"/>
              </w:rPr>
              <w:t>Republic Services</w:t>
            </w:r>
          </w:p>
        </w:tc>
        <w:tc>
          <w:tcPr>
            <w:tcW w:w="1920" w:type="dxa"/>
            <w:vAlign w:val="bottom"/>
          </w:tcPr>
          <w:p>
            <w:pPr>
              <w:ind w:left="260"/>
              <w:spacing w:after="0"/>
              <w:rPr>
                <w:sz w:val="20"/>
                <w:szCs w:val="20"/>
                <w:color w:val="auto"/>
              </w:rPr>
            </w:pPr>
            <w:r>
              <w:rPr>
                <w:rFonts w:ascii="Arial" w:cs="Arial" w:eastAsia="Arial" w:hAnsi="Arial"/>
                <w:sz w:val="20"/>
                <w:szCs w:val="20"/>
                <w:color w:val="auto"/>
              </w:rPr>
              <w:t>UPS</w:t>
            </w:r>
          </w:p>
        </w:tc>
      </w:tr>
      <w:tr>
        <w:trPr>
          <w:trHeight w:val="239"/>
        </w:trPr>
        <w:tc>
          <w:tcPr>
            <w:tcW w:w="1900" w:type="dxa"/>
            <w:vAlign w:val="bottom"/>
          </w:tcPr>
          <w:p>
            <w:pPr>
              <w:spacing w:after="0"/>
              <w:rPr>
                <w:sz w:val="20"/>
                <w:szCs w:val="20"/>
                <w:color w:val="auto"/>
              </w:rPr>
            </w:pPr>
            <w:r>
              <w:rPr>
                <w:rFonts w:ascii="Arial" w:cs="Arial" w:eastAsia="Arial" w:hAnsi="Arial"/>
                <w:sz w:val="20"/>
                <w:szCs w:val="20"/>
                <w:color w:val="auto"/>
              </w:rPr>
              <w:t>Carrier Global</w:t>
            </w:r>
          </w:p>
        </w:tc>
        <w:tc>
          <w:tcPr>
            <w:tcW w:w="1880" w:type="dxa"/>
            <w:vAlign w:val="bottom"/>
          </w:tcPr>
          <w:p>
            <w:pPr>
              <w:ind w:left="140"/>
              <w:spacing w:after="0"/>
              <w:rPr>
                <w:sz w:val="20"/>
                <w:szCs w:val="20"/>
                <w:color w:val="auto"/>
              </w:rPr>
            </w:pPr>
            <w:r>
              <w:rPr>
                <w:rFonts w:ascii="Arial" w:cs="Arial" w:eastAsia="Arial" w:hAnsi="Arial"/>
                <w:sz w:val="20"/>
                <w:szCs w:val="20"/>
                <w:color w:val="auto"/>
              </w:rPr>
              <w:t>Eaton</w:t>
            </w:r>
          </w:p>
        </w:tc>
        <w:tc>
          <w:tcPr>
            <w:tcW w:w="2040" w:type="dxa"/>
            <w:vAlign w:val="bottom"/>
          </w:tcPr>
          <w:p>
            <w:pPr>
              <w:ind w:left="280"/>
              <w:spacing w:after="0"/>
              <w:rPr>
                <w:sz w:val="20"/>
                <w:szCs w:val="20"/>
                <w:color w:val="auto"/>
              </w:rPr>
            </w:pPr>
            <w:r>
              <w:rPr>
                <w:rFonts w:ascii="Arial" w:cs="Arial" w:eastAsia="Arial" w:hAnsi="Arial"/>
                <w:sz w:val="20"/>
                <w:szCs w:val="20"/>
                <w:color w:val="auto"/>
              </w:rPr>
              <w:t>International</w:t>
            </w:r>
          </w:p>
        </w:tc>
        <w:tc>
          <w:tcPr>
            <w:tcW w:w="2060" w:type="dxa"/>
            <w:vAlign w:val="bottom"/>
          </w:tcPr>
          <w:p>
            <w:pPr>
              <w:ind w:left="280"/>
              <w:spacing w:after="0"/>
              <w:rPr>
                <w:sz w:val="20"/>
                <w:szCs w:val="20"/>
                <w:color w:val="auto"/>
              </w:rPr>
            </w:pPr>
            <w:r>
              <w:rPr>
                <w:rFonts w:ascii="Arial" w:cs="Arial" w:eastAsia="Arial" w:hAnsi="Arial"/>
                <w:sz w:val="20"/>
                <w:szCs w:val="20"/>
                <w:color w:val="auto"/>
              </w:rPr>
              <w:t>Schlumberger</w:t>
            </w:r>
          </w:p>
        </w:tc>
        <w:tc>
          <w:tcPr>
            <w:tcW w:w="1920" w:type="dxa"/>
            <w:vAlign w:val="bottom"/>
          </w:tcPr>
          <w:p>
            <w:pPr>
              <w:ind w:left="260"/>
              <w:spacing w:after="0"/>
              <w:rPr>
                <w:sz w:val="20"/>
                <w:szCs w:val="20"/>
                <w:color w:val="auto"/>
              </w:rPr>
            </w:pPr>
            <w:r>
              <w:rPr>
                <w:rFonts w:ascii="Arial" w:cs="Arial" w:eastAsia="Arial" w:hAnsi="Arial"/>
                <w:sz w:val="20"/>
                <w:szCs w:val="20"/>
                <w:color w:val="auto"/>
              </w:rPr>
              <w:t>Union Pacific</w:t>
            </w:r>
          </w:p>
        </w:tc>
      </w:tr>
      <w:tr>
        <w:trPr>
          <w:trHeight w:val="239"/>
        </w:trPr>
        <w:tc>
          <w:tcPr>
            <w:tcW w:w="1900" w:type="dxa"/>
            <w:vAlign w:val="bottom"/>
          </w:tcPr>
          <w:p>
            <w:pPr>
              <w:spacing w:after="0"/>
              <w:rPr>
                <w:sz w:val="20"/>
                <w:szCs w:val="20"/>
                <w:color w:val="auto"/>
              </w:rPr>
            </w:pPr>
            <w:r>
              <w:rPr>
                <w:rFonts w:ascii="Arial" w:cs="Arial" w:eastAsia="Arial" w:hAnsi="Arial"/>
                <w:sz w:val="20"/>
                <w:szCs w:val="20"/>
                <w:color w:val="auto"/>
              </w:rPr>
              <w:t>Cintas</w:t>
            </w:r>
          </w:p>
        </w:tc>
        <w:tc>
          <w:tcPr>
            <w:tcW w:w="1880" w:type="dxa"/>
            <w:vAlign w:val="bottom"/>
          </w:tcPr>
          <w:p>
            <w:pPr>
              <w:ind w:left="140"/>
              <w:spacing w:after="0"/>
              <w:rPr>
                <w:sz w:val="20"/>
                <w:szCs w:val="20"/>
                <w:color w:val="auto"/>
              </w:rPr>
            </w:pPr>
            <w:r>
              <w:rPr>
                <w:rFonts w:ascii="Arial" w:cs="Arial" w:eastAsia="Arial" w:hAnsi="Arial"/>
                <w:sz w:val="20"/>
                <w:szCs w:val="20"/>
                <w:color w:val="auto"/>
              </w:rPr>
              <w:t>Emerson Electric</w:t>
            </w:r>
          </w:p>
        </w:tc>
        <w:tc>
          <w:tcPr>
            <w:tcW w:w="2040" w:type="dxa"/>
            <w:vAlign w:val="bottom"/>
          </w:tcPr>
          <w:p>
            <w:pPr>
              <w:ind w:left="280"/>
              <w:spacing w:after="0"/>
              <w:rPr>
                <w:sz w:val="20"/>
                <w:szCs w:val="20"/>
                <w:color w:val="auto"/>
              </w:rPr>
            </w:pPr>
            <w:r>
              <w:rPr>
                <w:rFonts w:ascii="Arial" w:cs="Arial" w:eastAsia="Arial" w:hAnsi="Arial"/>
                <w:sz w:val="20"/>
                <w:szCs w:val="20"/>
                <w:color w:val="auto"/>
              </w:rPr>
              <w:t>NextEra Energy</w:t>
            </w:r>
          </w:p>
        </w:tc>
        <w:tc>
          <w:tcPr>
            <w:tcW w:w="2060" w:type="dxa"/>
            <w:vAlign w:val="bottom"/>
          </w:tcPr>
          <w:p>
            <w:pPr>
              <w:ind w:left="280"/>
              <w:spacing w:after="0"/>
              <w:rPr>
                <w:sz w:val="20"/>
                <w:szCs w:val="20"/>
                <w:color w:val="auto"/>
              </w:rPr>
            </w:pPr>
            <w:r>
              <w:rPr>
                <w:rFonts w:ascii="Arial" w:cs="Arial" w:eastAsia="Arial" w:hAnsi="Arial"/>
                <w:sz w:val="20"/>
                <w:szCs w:val="20"/>
                <w:color w:val="auto"/>
              </w:rPr>
              <w:t>Southern</w:t>
            </w:r>
          </w:p>
        </w:tc>
        <w:tc>
          <w:tcPr>
            <w:tcW w:w="1920" w:type="dxa"/>
            <w:vAlign w:val="bottom"/>
          </w:tcPr>
          <w:p>
            <w:pPr>
              <w:ind w:left="260"/>
              <w:spacing w:after="0"/>
              <w:rPr>
                <w:sz w:val="20"/>
                <w:szCs w:val="20"/>
                <w:color w:val="auto"/>
              </w:rPr>
            </w:pPr>
            <w:r>
              <w:rPr>
                <w:rFonts w:ascii="Arial" w:cs="Arial" w:eastAsia="Arial" w:hAnsi="Arial"/>
                <w:sz w:val="20"/>
                <w:szCs w:val="20"/>
                <w:color w:val="auto"/>
              </w:rPr>
              <w:t>United Rentals</w:t>
            </w:r>
          </w:p>
        </w:tc>
      </w:tr>
      <w:tr>
        <w:trPr>
          <w:trHeight w:val="239"/>
        </w:trPr>
        <w:tc>
          <w:tcPr>
            <w:tcW w:w="1900" w:type="dxa"/>
            <w:vAlign w:val="bottom"/>
          </w:tcPr>
          <w:p>
            <w:pPr>
              <w:spacing w:after="0"/>
              <w:rPr>
                <w:sz w:val="20"/>
                <w:szCs w:val="20"/>
                <w:color w:val="auto"/>
              </w:rPr>
            </w:pPr>
            <w:r>
              <w:rPr>
                <w:rFonts w:ascii="Arial" w:cs="Arial" w:eastAsia="Arial" w:hAnsi="Arial"/>
                <w:sz w:val="20"/>
                <w:szCs w:val="20"/>
                <w:color w:val="auto"/>
              </w:rPr>
              <w:t>Constellation Energy</w:t>
            </w:r>
          </w:p>
        </w:tc>
        <w:tc>
          <w:tcPr>
            <w:tcW w:w="1880" w:type="dxa"/>
            <w:vAlign w:val="bottom"/>
          </w:tcPr>
          <w:p>
            <w:pPr>
              <w:ind w:left="140"/>
              <w:spacing w:after="0"/>
              <w:rPr>
                <w:sz w:val="20"/>
                <w:szCs w:val="20"/>
                <w:color w:val="auto"/>
              </w:rPr>
            </w:pPr>
            <w:r>
              <w:rPr>
                <w:rFonts w:ascii="Arial" w:cs="Arial" w:eastAsia="Arial" w:hAnsi="Arial"/>
                <w:sz w:val="20"/>
                <w:szCs w:val="20"/>
                <w:color w:val="auto"/>
              </w:rPr>
              <w:t>FedEx</w:t>
            </w:r>
          </w:p>
        </w:tc>
        <w:tc>
          <w:tcPr>
            <w:tcW w:w="2040" w:type="dxa"/>
            <w:vAlign w:val="bottom"/>
          </w:tcPr>
          <w:p>
            <w:pPr>
              <w:ind w:left="280"/>
              <w:spacing w:after="0"/>
              <w:rPr>
                <w:sz w:val="20"/>
                <w:szCs w:val="20"/>
                <w:color w:val="auto"/>
              </w:rPr>
            </w:pPr>
            <w:r>
              <w:rPr>
                <w:rFonts w:ascii="Arial" w:cs="Arial" w:eastAsia="Arial" w:hAnsi="Arial"/>
                <w:sz w:val="20"/>
                <w:szCs w:val="20"/>
                <w:color w:val="auto"/>
              </w:rPr>
              <w:t>Norfolk Southern</w:t>
            </w:r>
          </w:p>
        </w:tc>
        <w:tc>
          <w:tcPr>
            <w:tcW w:w="2060" w:type="dxa"/>
            <w:vAlign w:val="bottom"/>
          </w:tcPr>
          <w:p>
            <w:pPr>
              <w:ind w:left="280"/>
              <w:spacing w:after="0"/>
              <w:rPr>
                <w:sz w:val="20"/>
                <w:szCs w:val="20"/>
                <w:color w:val="auto"/>
              </w:rPr>
            </w:pPr>
            <w:r>
              <w:rPr>
                <w:rFonts w:ascii="Arial" w:cs="Arial" w:eastAsia="Arial" w:hAnsi="Arial"/>
                <w:sz w:val="20"/>
                <w:szCs w:val="20"/>
                <w:color w:val="auto"/>
              </w:rPr>
              <w:t>Sysco</w:t>
            </w:r>
          </w:p>
        </w:tc>
        <w:tc>
          <w:tcPr>
            <w:tcW w:w="1920" w:type="dxa"/>
            <w:vAlign w:val="bottom"/>
          </w:tcPr>
          <w:p>
            <w:pPr>
              <w:ind w:left="260"/>
              <w:spacing w:after="0"/>
              <w:rPr>
                <w:sz w:val="20"/>
                <w:szCs w:val="20"/>
                <w:color w:val="auto"/>
              </w:rPr>
            </w:pPr>
            <w:r>
              <w:rPr>
                <w:rFonts w:ascii="Arial" w:cs="Arial" w:eastAsia="Arial" w:hAnsi="Arial"/>
                <w:sz w:val="20"/>
                <w:szCs w:val="20"/>
                <w:color w:val="auto"/>
                <w:w w:val="94"/>
              </w:rPr>
              <w:t>Waste Connections</w:t>
            </w:r>
          </w:p>
        </w:tc>
      </w:tr>
      <w:tr>
        <w:trPr>
          <w:trHeight w:val="239"/>
        </w:trPr>
        <w:tc>
          <w:tcPr>
            <w:tcW w:w="1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40" w:type="dxa"/>
            <w:vAlign w:val="bottom"/>
          </w:tcPr>
          <w:p>
            <w:pPr>
              <w:ind w:left="280"/>
              <w:spacing w:after="0"/>
              <w:rPr>
                <w:sz w:val="20"/>
                <w:szCs w:val="20"/>
                <w:color w:val="auto"/>
              </w:rPr>
            </w:pPr>
            <w:r>
              <w:rPr>
                <w:rFonts w:ascii="Arial" w:cs="Arial" w:eastAsia="Arial" w:hAnsi="Arial"/>
                <w:sz w:val="20"/>
                <w:szCs w:val="20"/>
                <w:color w:val="auto"/>
              </w:rPr>
              <w:t>PACCAR</w:t>
            </w:r>
          </w:p>
        </w:tc>
        <w:tc>
          <w:tcPr>
            <w:tcW w:w="206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Our Compensation Philosophy for Named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compensation philosophy is designed to:</w:t>
      </w:r>
    </w:p>
    <w:p>
      <w:pPr>
        <w:spacing w:after="0" w:line="129" w:lineRule="exact"/>
        <w:rPr>
          <w:sz w:val="20"/>
          <w:szCs w:val="20"/>
          <w:color w:val="auto"/>
        </w:rPr>
      </w:pPr>
    </w:p>
    <w:p>
      <w:pPr>
        <w:ind w:left="600" w:hanging="203"/>
        <w:spacing w:after="0"/>
        <w:tabs>
          <w:tab w:leader="none" w:pos="600" w:val="left"/>
        </w:tabs>
        <w:numPr>
          <w:ilvl w:val="0"/>
          <w:numId w:val="16"/>
        </w:numPr>
        <w:rPr>
          <w:rFonts w:ascii="Arial" w:cs="Arial" w:eastAsia="Arial" w:hAnsi="Arial"/>
          <w:sz w:val="20"/>
          <w:szCs w:val="20"/>
          <w:color w:val="0C3D25"/>
        </w:rPr>
      </w:pPr>
      <w:r>
        <w:rPr>
          <w:rFonts w:ascii="Arial" w:cs="Arial" w:eastAsia="Arial" w:hAnsi="Arial"/>
          <w:sz w:val="20"/>
          <w:szCs w:val="20"/>
          <w:color w:val="auto"/>
        </w:rPr>
        <w:t>Attract and retain exceptional employees through competitive compensation opportunities;</w:t>
      </w:r>
    </w:p>
    <w:p>
      <w:pPr>
        <w:spacing w:after="0" w:line="129"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16"/>
        </w:numPr>
        <w:rPr>
          <w:rFonts w:ascii="Arial" w:cs="Arial" w:eastAsia="Arial" w:hAnsi="Arial"/>
          <w:sz w:val="20"/>
          <w:szCs w:val="20"/>
          <w:color w:val="0C3D25"/>
        </w:rPr>
      </w:pPr>
      <w:r>
        <w:rPr>
          <w:rFonts w:ascii="Arial" w:cs="Arial" w:eastAsia="Arial" w:hAnsi="Arial"/>
          <w:sz w:val="20"/>
          <w:szCs w:val="20"/>
          <w:color w:val="auto"/>
        </w:rPr>
        <w:t>Encourage and reward performance through substantial at-risk performance-based compensation, while discouraging excessive risk-taking behavior; and</w:t>
      </w:r>
    </w:p>
    <w:p>
      <w:pPr>
        <w:spacing w:after="0" w:line="121"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16"/>
        </w:numPr>
        <w:rPr>
          <w:rFonts w:ascii="Arial" w:cs="Arial" w:eastAsia="Arial" w:hAnsi="Arial"/>
          <w:sz w:val="20"/>
          <w:szCs w:val="20"/>
          <w:color w:val="0C3D25"/>
        </w:rPr>
      </w:pPr>
      <w:r>
        <w:rPr>
          <w:rFonts w:ascii="Arial" w:cs="Arial" w:eastAsia="Arial" w:hAnsi="Arial"/>
          <w:sz w:val="20"/>
          <w:szCs w:val="20"/>
          <w:color w:val="auto"/>
        </w:rPr>
        <w:t>Align our decision makers’ long-term interests with those of our stockholders through emphasis on equity ownership.</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Additionally, our compensation philosophy is intended to encourage executives to embrace the Company’s strategy and to lead the Company in setting aspirations that will continue to drive exemplary performance.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targets total direct compensation within a competitive range of the market median for the executive officer team, as a whole. Individual decisions on pay positioning consider factors such as Company performance, market conditions, and individual factors, such as time in role, individual performance, criticality of the position, and incumbent-specific qualifications. In making these determinations, total direct compensation consists of base salary, target annual cash incentive, and the annualized grant date fair value of long-term equity incentive awards.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61"/>
        </w:trPr>
        <w:tc>
          <w:tcPr>
            <w:tcW w:w="16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420" w:type="dxa"/>
            <w:vAlign w:val="bottom"/>
          </w:tcPr>
          <w:p>
            <w:pPr>
              <w:ind w:left="2160"/>
              <w:spacing w:after="0"/>
              <w:rPr>
                <w:sz w:val="20"/>
                <w:szCs w:val="20"/>
                <w:color w:val="auto"/>
              </w:rPr>
            </w:pPr>
            <w:r>
              <w:rPr>
                <w:rFonts w:ascii="Arial" w:cs="Arial" w:eastAsia="Arial" w:hAnsi="Arial"/>
                <w:sz w:val="22"/>
                <w:szCs w:val="22"/>
                <w:b w:val="1"/>
                <w:bCs w:val="1"/>
                <w:color w:val="auto"/>
                <w:w w:val="72"/>
              </w:rPr>
              <w:t>EXECUTIVE COMPENSATION</w:t>
            </w:r>
          </w:p>
        </w:tc>
        <w:tc>
          <w:tcPr>
            <w:tcW w:w="0" w:type="dxa"/>
            <w:vAlign w:val="bottom"/>
          </w:tcPr>
          <w:p>
            <w:pPr>
              <w:spacing w:after="0"/>
              <w:rPr>
                <w:sz w:val="1"/>
                <w:szCs w:val="1"/>
                <w:color w:val="auto"/>
              </w:rPr>
            </w:pPr>
          </w:p>
        </w:tc>
      </w:tr>
      <w:tr>
        <w:trPr>
          <w:trHeight w:val="437"/>
        </w:trPr>
        <w:tc>
          <w:tcPr>
            <w:tcW w:w="10060" w:type="dxa"/>
            <w:vAlign w:val="bottom"/>
            <w:gridSpan w:val="4"/>
          </w:tcPr>
          <w:p>
            <w:pPr>
              <w:spacing w:after="0"/>
              <w:rPr>
                <w:sz w:val="20"/>
                <w:szCs w:val="20"/>
                <w:color w:val="auto"/>
              </w:rPr>
            </w:pPr>
            <w:r>
              <w:rPr>
                <w:rFonts w:ascii="Arial" w:cs="Arial" w:eastAsia="Arial" w:hAnsi="Arial"/>
                <w:sz w:val="22"/>
                <w:szCs w:val="22"/>
                <w:b w:val="1"/>
                <w:bCs w:val="1"/>
                <w:color w:val="0C3D25"/>
              </w:rPr>
              <w:t>Overview of Elements of Our 2025 Executive Compensation Program</w:t>
            </w:r>
          </w:p>
        </w:tc>
        <w:tc>
          <w:tcPr>
            <w:tcW w:w="0" w:type="dxa"/>
            <w:vAlign w:val="bottom"/>
          </w:tcPr>
          <w:p>
            <w:pPr>
              <w:spacing w:after="0"/>
              <w:rPr>
                <w:sz w:val="1"/>
                <w:szCs w:val="1"/>
                <w:color w:val="auto"/>
              </w:rPr>
            </w:pPr>
          </w:p>
        </w:tc>
      </w:tr>
      <w:tr>
        <w:trPr>
          <w:trHeight w:val="324"/>
        </w:trPr>
        <w:tc>
          <w:tcPr>
            <w:tcW w:w="162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Timing</w:t>
            </w:r>
          </w:p>
        </w:tc>
        <w:tc>
          <w:tcPr>
            <w:tcW w:w="1620" w:type="dxa"/>
            <w:vAlign w:val="bottom"/>
            <w:tcBorders>
              <w:bottom w:val="single" w:sz="8" w:color="0C3D25"/>
            </w:tcBorders>
          </w:tcPr>
          <w:p>
            <w:pPr>
              <w:ind w:left="120"/>
              <w:spacing w:after="0"/>
              <w:rPr>
                <w:sz w:val="20"/>
                <w:szCs w:val="20"/>
                <w:color w:val="auto"/>
              </w:rPr>
            </w:pPr>
            <w:r>
              <w:rPr>
                <w:rFonts w:ascii="Arial" w:cs="Arial" w:eastAsia="Arial" w:hAnsi="Arial"/>
                <w:sz w:val="16"/>
                <w:szCs w:val="16"/>
                <w:b w:val="1"/>
                <w:bCs w:val="1"/>
                <w:color w:val="0C3D25"/>
              </w:rPr>
              <w:t>Component</w:t>
            </w:r>
          </w:p>
        </w:tc>
        <w:tc>
          <w:tcPr>
            <w:tcW w:w="2400" w:type="dxa"/>
            <w:vAlign w:val="bottom"/>
            <w:tcBorders>
              <w:bottom w:val="single" w:sz="8" w:color="0C3D25"/>
            </w:tcBorders>
          </w:tcPr>
          <w:p>
            <w:pPr>
              <w:ind w:left="180"/>
              <w:spacing w:after="0"/>
              <w:rPr>
                <w:sz w:val="20"/>
                <w:szCs w:val="20"/>
                <w:color w:val="auto"/>
              </w:rPr>
            </w:pPr>
            <w:r>
              <w:rPr>
                <w:rFonts w:ascii="Arial" w:cs="Arial" w:eastAsia="Arial" w:hAnsi="Arial"/>
                <w:sz w:val="16"/>
                <w:szCs w:val="16"/>
                <w:b w:val="1"/>
                <w:bCs w:val="1"/>
                <w:color w:val="0C3D25"/>
              </w:rPr>
              <w:t>Purpose</w:t>
            </w:r>
          </w:p>
        </w:tc>
        <w:tc>
          <w:tcPr>
            <w:tcW w:w="4420" w:type="dxa"/>
            <w:vAlign w:val="bottom"/>
            <w:tcBorders>
              <w:bottom w:val="single" w:sz="8" w:color="0C3D25"/>
            </w:tcBorders>
          </w:tcPr>
          <w:p>
            <w:pPr>
              <w:ind w:left="120"/>
              <w:spacing w:after="0"/>
              <w:rPr>
                <w:sz w:val="20"/>
                <w:szCs w:val="20"/>
                <w:color w:val="auto"/>
              </w:rPr>
            </w:pPr>
            <w:r>
              <w:rPr>
                <w:rFonts w:ascii="Arial" w:cs="Arial" w:eastAsia="Arial" w:hAnsi="Arial"/>
                <w:sz w:val="16"/>
                <w:szCs w:val="16"/>
                <w:b w:val="1"/>
                <w:bCs w:val="1"/>
                <w:color w:val="0C3D25"/>
              </w:rPr>
              <w:t>Key Features</w:t>
            </w:r>
          </w:p>
        </w:tc>
        <w:tc>
          <w:tcPr>
            <w:tcW w:w="0" w:type="dxa"/>
            <w:vAlign w:val="bottom"/>
          </w:tcPr>
          <w:p>
            <w:pPr>
              <w:spacing w:after="0"/>
              <w:rPr>
                <w:sz w:val="1"/>
                <w:szCs w:val="1"/>
                <w:color w:val="auto"/>
              </w:rPr>
            </w:pPr>
          </w:p>
        </w:tc>
      </w:tr>
      <w:tr>
        <w:trPr>
          <w:trHeight w:val="182"/>
        </w:trPr>
        <w:tc>
          <w:tcPr>
            <w:tcW w:w="162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Current</w:t>
            </w:r>
          </w:p>
        </w:tc>
        <w:tc>
          <w:tcPr>
            <w:tcW w:w="1620" w:type="dxa"/>
            <w:vAlign w:val="bottom"/>
          </w:tcPr>
          <w:p>
            <w:pPr>
              <w:ind w:left="120"/>
              <w:spacing w:after="0" w:line="182" w:lineRule="exact"/>
              <w:rPr>
                <w:sz w:val="20"/>
                <w:szCs w:val="20"/>
                <w:color w:val="auto"/>
              </w:rPr>
            </w:pPr>
            <w:r>
              <w:rPr>
                <w:rFonts w:ascii="Arial" w:cs="Arial" w:eastAsia="Arial" w:hAnsi="Arial"/>
                <w:sz w:val="16"/>
                <w:szCs w:val="16"/>
                <w:color w:val="auto"/>
              </w:rPr>
              <w:t>Base Salary</w:t>
            </w:r>
          </w:p>
        </w:tc>
        <w:tc>
          <w:tcPr>
            <w:tcW w:w="2400" w:type="dxa"/>
            <w:vAlign w:val="bottom"/>
          </w:tcPr>
          <w:p>
            <w:pPr>
              <w:ind w:left="180"/>
              <w:spacing w:after="0" w:line="182" w:lineRule="exact"/>
              <w:rPr>
                <w:sz w:val="20"/>
                <w:szCs w:val="20"/>
                <w:color w:val="auto"/>
              </w:rPr>
            </w:pPr>
            <w:r>
              <w:rPr>
                <w:rFonts w:ascii="Arial" w:cs="Arial" w:eastAsia="Arial" w:hAnsi="Arial"/>
                <w:sz w:val="16"/>
                <w:szCs w:val="16"/>
                <w:color w:val="auto"/>
              </w:rPr>
              <w:t>To attract and retain</w:t>
            </w:r>
          </w:p>
        </w:tc>
        <w:tc>
          <w:tcPr>
            <w:tcW w:w="4420" w:type="dxa"/>
            <w:vAlign w:val="bottom"/>
          </w:tcPr>
          <w:p>
            <w:pPr>
              <w:ind w:left="120"/>
              <w:spacing w:after="0" w:line="182" w:lineRule="exact"/>
              <w:rPr>
                <w:sz w:val="20"/>
                <w:szCs w:val="20"/>
                <w:color w:val="auto"/>
              </w:rPr>
            </w:pPr>
            <w:r>
              <w:rPr>
                <w:rFonts w:ascii="Arial" w:cs="Arial" w:eastAsia="Arial" w:hAnsi="Arial"/>
                <w:sz w:val="16"/>
                <w:szCs w:val="16"/>
                <w:color w:val="auto"/>
              </w:rPr>
              <w:t>Adjustments to base salary primarily consider competitive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executives with a competitive</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market data and the executive’s tenure, individual</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0C3D25"/>
            </w:tcBorders>
          </w:tcPr>
          <w:p>
            <w:pPr>
              <w:spacing w:after="0"/>
              <w:rPr>
                <w:sz w:val="15"/>
                <w:szCs w:val="15"/>
                <w:color w:val="auto"/>
              </w:rPr>
            </w:pPr>
          </w:p>
        </w:tc>
        <w:tc>
          <w:tcPr>
            <w:tcW w:w="1620" w:type="dxa"/>
            <w:vAlign w:val="bottom"/>
            <w:tcBorders>
              <w:bottom w:val="single" w:sz="8" w:color="0C3D25"/>
            </w:tcBorders>
          </w:tcPr>
          <w:p>
            <w:pPr>
              <w:spacing w:after="0"/>
              <w:rPr>
                <w:sz w:val="15"/>
                <w:szCs w:val="15"/>
                <w:color w:val="auto"/>
              </w:rPr>
            </w:pPr>
          </w:p>
        </w:tc>
        <w:tc>
          <w:tcPr>
            <w:tcW w:w="2400" w:type="dxa"/>
            <w:vAlign w:val="bottom"/>
            <w:tcBorders>
              <w:bottom w:val="single" w:sz="8" w:color="0C3D25"/>
            </w:tcBorders>
          </w:tcPr>
          <w:p>
            <w:pPr>
              <w:ind w:left="180"/>
              <w:spacing w:after="0" w:line="181" w:lineRule="exact"/>
              <w:rPr>
                <w:sz w:val="20"/>
                <w:szCs w:val="20"/>
                <w:color w:val="auto"/>
              </w:rPr>
            </w:pPr>
            <w:r>
              <w:rPr>
                <w:rFonts w:ascii="Arial" w:cs="Arial" w:eastAsia="Arial" w:hAnsi="Arial"/>
                <w:sz w:val="16"/>
                <w:szCs w:val="16"/>
                <w:color w:val="auto"/>
              </w:rPr>
              <w:t>level of regular income</w:t>
            </w:r>
          </w:p>
        </w:tc>
        <w:tc>
          <w:tcPr>
            <w:tcW w:w="4420" w:type="dxa"/>
            <w:vAlign w:val="bottom"/>
            <w:tcBorders>
              <w:bottom w:val="single" w:sz="8" w:color="0C3D25"/>
            </w:tcBorders>
          </w:tcPr>
          <w:p>
            <w:pPr>
              <w:ind w:left="120"/>
              <w:spacing w:after="0" w:line="181" w:lineRule="exact"/>
              <w:rPr>
                <w:sz w:val="20"/>
                <w:szCs w:val="20"/>
                <w:color w:val="auto"/>
              </w:rPr>
            </w:pPr>
            <w:r>
              <w:rPr>
                <w:rFonts w:ascii="Arial" w:cs="Arial" w:eastAsia="Arial" w:hAnsi="Arial"/>
                <w:sz w:val="16"/>
                <w:szCs w:val="16"/>
                <w:color w:val="auto"/>
              </w:rPr>
              <w:t>performance and responsibilities.</w:t>
            </w:r>
          </w:p>
        </w:tc>
        <w:tc>
          <w:tcPr>
            <w:tcW w:w="0" w:type="dxa"/>
            <w:vAlign w:val="bottom"/>
          </w:tcPr>
          <w:p>
            <w:pPr>
              <w:spacing w:after="0"/>
              <w:rPr>
                <w:sz w:val="1"/>
                <w:szCs w:val="1"/>
                <w:color w:val="auto"/>
              </w:rPr>
            </w:pPr>
          </w:p>
        </w:tc>
      </w:tr>
      <w:tr>
        <w:trPr>
          <w:trHeight w:val="170"/>
        </w:trPr>
        <w:tc>
          <w:tcPr>
            <w:tcW w:w="1620" w:type="dxa"/>
            <w:vAlign w:val="bottom"/>
          </w:tcPr>
          <w:p>
            <w:pPr>
              <w:ind w:left="60"/>
              <w:spacing w:after="0" w:line="170" w:lineRule="exact"/>
              <w:rPr>
                <w:sz w:val="20"/>
                <w:szCs w:val="20"/>
                <w:color w:val="auto"/>
              </w:rPr>
            </w:pPr>
            <w:r>
              <w:rPr>
                <w:rFonts w:ascii="Arial" w:cs="Arial" w:eastAsia="Arial" w:hAnsi="Arial"/>
                <w:sz w:val="16"/>
                <w:szCs w:val="16"/>
                <w:b w:val="1"/>
                <w:bCs w:val="1"/>
                <w:color w:val="auto"/>
              </w:rPr>
              <w:t>Short-Term</w:t>
            </w:r>
          </w:p>
        </w:tc>
        <w:tc>
          <w:tcPr>
            <w:tcW w:w="1620" w:type="dxa"/>
            <w:vAlign w:val="bottom"/>
          </w:tcPr>
          <w:p>
            <w:pPr>
              <w:ind w:left="120"/>
              <w:spacing w:after="0" w:line="170" w:lineRule="exact"/>
              <w:rPr>
                <w:sz w:val="20"/>
                <w:szCs w:val="20"/>
                <w:color w:val="auto"/>
              </w:rPr>
            </w:pPr>
            <w:r>
              <w:rPr>
                <w:rFonts w:ascii="Arial" w:cs="Arial" w:eastAsia="Arial" w:hAnsi="Arial"/>
                <w:sz w:val="16"/>
                <w:szCs w:val="16"/>
                <w:color w:val="auto"/>
              </w:rPr>
              <w:t>Annual Cash</w:t>
            </w:r>
          </w:p>
        </w:tc>
        <w:tc>
          <w:tcPr>
            <w:tcW w:w="2400" w:type="dxa"/>
            <w:vAlign w:val="bottom"/>
          </w:tcPr>
          <w:p>
            <w:pPr>
              <w:ind w:left="180"/>
              <w:spacing w:after="0" w:line="170" w:lineRule="exact"/>
              <w:rPr>
                <w:sz w:val="20"/>
                <w:szCs w:val="20"/>
                <w:color w:val="auto"/>
              </w:rPr>
            </w:pPr>
            <w:r>
              <w:rPr>
                <w:rFonts w:ascii="Arial" w:cs="Arial" w:eastAsia="Arial" w:hAnsi="Arial"/>
                <w:sz w:val="16"/>
                <w:szCs w:val="16"/>
                <w:color w:val="auto"/>
              </w:rPr>
              <w:t>To encourage and reward</w:t>
            </w:r>
          </w:p>
        </w:tc>
        <w:tc>
          <w:tcPr>
            <w:tcW w:w="4420" w:type="dxa"/>
            <w:vAlign w:val="bottom"/>
          </w:tcPr>
          <w:p>
            <w:pPr>
              <w:ind w:left="120"/>
              <w:spacing w:after="0" w:line="170" w:lineRule="exact"/>
              <w:rPr>
                <w:sz w:val="20"/>
                <w:szCs w:val="20"/>
                <w:color w:val="auto"/>
              </w:rPr>
            </w:pPr>
            <w:r>
              <w:rPr>
                <w:rFonts w:ascii="Arial" w:cs="Arial" w:eastAsia="Arial" w:hAnsi="Arial"/>
                <w:sz w:val="16"/>
                <w:szCs w:val="16"/>
                <w:color w:val="auto"/>
              </w:rPr>
              <w:t>Cash incentives are targeted at a percentage of base salary</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20" w:type="dxa"/>
            <w:vAlign w:val="bottom"/>
          </w:tcPr>
          <w:p>
            <w:pPr>
              <w:ind w:left="120"/>
              <w:spacing w:after="0" w:line="179" w:lineRule="exact"/>
              <w:rPr>
                <w:sz w:val="20"/>
                <w:szCs w:val="20"/>
                <w:color w:val="auto"/>
              </w:rPr>
            </w:pPr>
            <w:r>
              <w:rPr>
                <w:rFonts w:ascii="Arial" w:cs="Arial" w:eastAsia="Arial" w:hAnsi="Arial"/>
                <w:sz w:val="16"/>
                <w:szCs w:val="16"/>
                <w:color w:val="auto"/>
              </w:rPr>
              <w:t>Incentive</w:t>
            </w: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contributions to our annual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and range from zero to 200% of target based on the following</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Incentive</w:t>
            </w: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financial objectives through</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performance-based</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C3D25"/>
              </w:rPr>
              <w:t xml:space="preserve">• </w:t>
            </w:r>
            <w:r>
              <w:rPr>
                <w:rFonts w:ascii="Arial" w:cs="Arial" w:eastAsia="Arial" w:hAnsi="Arial"/>
                <w:sz w:val="16"/>
                <w:szCs w:val="16"/>
                <w:color w:val="000000"/>
              </w:rPr>
              <w:t>Operating EBITDA — designed to encourage balanced</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compensation subject to</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280"/>
              <w:spacing w:after="0" w:line="179" w:lineRule="exact"/>
              <w:rPr>
                <w:sz w:val="20"/>
                <w:szCs w:val="20"/>
                <w:color w:val="auto"/>
              </w:rPr>
            </w:pPr>
            <w:r>
              <w:rPr>
                <w:rFonts w:ascii="Arial" w:cs="Arial" w:eastAsia="Arial" w:hAnsi="Arial"/>
                <w:sz w:val="16"/>
                <w:szCs w:val="16"/>
                <w:color w:val="auto"/>
              </w:rPr>
              <w:t>growth and profitability and assess the financial outcome</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challenging, yet attainable,</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auto"/>
              </w:rPr>
              <w:t>from execution of strategic priorities (weighted 50%);</w:t>
            </w: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objective and transparent</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6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0C3D25"/>
              </w:rPr>
              <w:t xml:space="preserve">• </w:t>
            </w:r>
            <w:r>
              <w:rPr>
                <w:rFonts w:ascii="Arial" w:cs="Arial" w:eastAsia="Arial" w:hAnsi="Arial"/>
                <w:sz w:val="16"/>
                <w:szCs w:val="16"/>
                <w:color w:val="000000"/>
              </w:rPr>
              <w:t>Margin performance measure — designed to motivate</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metrics</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280"/>
              <w:spacing w:after="0" w:line="179" w:lineRule="exact"/>
              <w:rPr>
                <w:sz w:val="20"/>
                <w:szCs w:val="20"/>
                <w:color w:val="auto"/>
              </w:rPr>
            </w:pPr>
            <w:r>
              <w:rPr>
                <w:rFonts w:ascii="Arial" w:cs="Arial" w:eastAsia="Arial" w:hAnsi="Arial"/>
                <w:sz w:val="16"/>
                <w:szCs w:val="16"/>
                <w:color w:val="auto"/>
              </w:rPr>
              <w:t>pursuit of high margin revenue growth while also</w:t>
            </w: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controlling costs and operating efficiently (weighted 25%);</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0C3D25"/>
                <w:w w:val="98"/>
              </w:rPr>
              <w:t xml:space="preserve">• </w:t>
            </w:r>
            <w:r>
              <w:rPr>
                <w:rFonts w:ascii="Arial" w:cs="Arial" w:eastAsia="Arial" w:hAnsi="Arial"/>
                <w:sz w:val="16"/>
                <w:szCs w:val="16"/>
                <w:color w:val="000000"/>
                <w:w w:val="98"/>
              </w:rPr>
              <w:t>Internal Revenue Growth — targeted at executing on pricing</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strategy and appropriate volume growth aligned with</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auto"/>
              </w:rPr>
              <w:t>strategic growth goals (weighted 25%).</w:t>
            </w: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Payouts of cash incentives based on the performance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6"/>
              </w:rPr>
              <w:t>measures above can be increased or decreased by up to 10%,</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depending on achievement calculated using the sustainability</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scorecard.</w:t>
            </w: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8"/>
              </w:rPr>
              <w:t>The MD&amp;C Committee has discretion to increase or decrease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an individual’s cash incentive payment by up to 25% based on</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0C3D25"/>
            </w:tcBorders>
          </w:tcPr>
          <w:p>
            <w:pPr>
              <w:spacing w:after="0"/>
              <w:rPr>
                <w:sz w:val="15"/>
                <w:szCs w:val="15"/>
                <w:color w:val="auto"/>
              </w:rPr>
            </w:pPr>
          </w:p>
        </w:tc>
        <w:tc>
          <w:tcPr>
            <w:tcW w:w="1620" w:type="dxa"/>
            <w:vAlign w:val="bottom"/>
            <w:tcBorders>
              <w:bottom w:val="single" w:sz="8" w:color="0C3D25"/>
            </w:tcBorders>
          </w:tcPr>
          <w:p>
            <w:pPr>
              <w:spacing w:after="0"/>
              <w:rPr>
                <w:sz w:val="15"/>
                <w:szCs w:val="15"/>
                <w:color w:val="auto"/>
              </w:rPr>
            </w:pPr>
          </w:p>
        </w:tc>
        <w:tc>
          <w:tcPr>
            <w:tcW w:w="2400" w:type="dxa"/>
            <w:vAlign w:val="bottom"/>
            <w:tcBorders>
              <w:bottom w:val="single" w:sz="8" w:color="0C3D25"/>
            </w:tcBorders>
          </w:tcPr>
          <w:p>
            <w:pPr>
              <w:spacing w:after="0"/>
              <w:rPr>
                <w:sz w:val="15"/>
                <w:szCs w:val="15"/>
                <w:color w:val="auto"/>
              </w:rPr>
            </w:pPr>
          </w:p>
        </w:tc>
        <w:tc>
          <w:tcPr>
            <w:tcW w:w="4420" w:type="dxa"/>
            <w:vAlign w:val="bottom"/>
            <w:tcBorders>
              <w:bottom w:val="single" w:sz="8" w:color="0C3D25"/>
            </w:tcBorders>
          </w:tcPr>
          <w:p>
            <w:pPr>
              <w:ind w:left="120"/>
              <w:spacing w:after="0" w:line="181" w:lineRule="exact"/>
              <w:rPr>
                <w:sz w:val="20"/>
                <w:szCs w:val="20"/>
                <w:color w:val="auto"/>
              </w:rPr>
            </w:pPr>
            <w:r>
              <w:rPr>
                <w:rFonts w:ascii="Arial" w:cs="Arial" w:eastAsia="Arial" w:hAnsi="Arial"/>
                <w:sz w:val="16"/>
                <w:szCs w:val="16"/>
                <w:color w:val="auto"/>
              </w:rPr>
              <w:t>individual performance.</w:t>
            </w:r>
          </w:p>
        </w:tc>
        <w:tc>
          <w:tcPr>
            <w:tcW w:w="0" w:type="dxa"/>
            <w:vAlign w:val="bottom"/>
          </w:tcPr>
          <w:p>
            <w:pPr>
              <w:spacing w:after="0"/>
              <w:rPr>
                <w:sz w:val="1"/>
                <w:szCs w:val="1"/>
                <w:color w:val="auto"/>
              </w:rPr>
            </w:pPr>
          </w:p>
        </w:tc>
      </w:tr>
      <w:tr>
        <w:trPr>
          <w:trHeight w:val="170"/>
        </w:trPr>
        <w:tc>
          <w:tcPr>
            <w:tcW w:w="162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Long-Term</w:t>
            </w:r>
          </w:p>
        </w:tc>
        <w:tc>
          <w:tcPr>
            <w:tcW w:w="1620" w:type="dxa"/>
            <w:vAlign w:val="bottom"/>
          </w:tcPr>
          <w:p>
            <w:pPr>
              <w:ind w:left="120"/>
              <w:spacing w:after="0" w:line="171" w:lineRule="exact"/>
              <w:rPr>
                <w:sz w:val="20"/>
                <w:szCs w:val="20"/>
                <w:color w:val="auto"/>
              </w:rPr>
            </w:pPr>
            <w:r>
              <w:rPr>
                <w:rFonts w:ascii="Arial" w:cs="Arial" w:eastAsia="Arial" w:hAnsi="Arial"/>
                <w:sz w:val="16"/>
                <w:szCs w:val="16"/>
                <w:color w:val="auto"/>
              </w:rPr>
              <w:t>Performance Share</w:t>
            </w:r>
          </w:p>
        </w:tc>
        <w:tc>
          <w:tcPr>
            <w:tcW w:w="2400" w:type="dxa"/>
            <w:vAlign w:val="bottom"/>
          </w:tcPr>
          <w:p>
            <w:pPr>
              <w:ind w:left="180"/>
              <w:spacing w:after="0" w:line="171" w:lineRule="exact"/>
              <w:rPr>
                <w:sz w:val="20"/>
                <w:szCs w:val="20"/>
                <w:color w:val="auto"/>
              </w:rPr>
            </w:pPr>
            <w:r>
              <w:rPr>
                <w:rFonts w:ascii="Arial" w:cs="Arial" w:eastAsia="Arial" w:hAnsi="Arial"/>
                <w:sz w:val="16"/>
                <w:szCs w:val="16"/>
                <w:color w:val="auto"/>
              </w:rPr>
              <w:t>To encourage and reward</w:t>
            </w:r>
          </w:p>
        </w:tc>
        <w:tc>
          <w:tcPr>
            <w:tcW w:w="4420" w:type="dxa"/>
            <w:vAlign w:val="bottom"/>
          </w:tcPr>
          <w:p>
            <w:pPr>
              <w:ind w:left="120"/>
              <w:spacing w:after="0" w:line="171" w:lineRule="exact"/>
              <w:rPr>
                <w:sz w:val="20"/>
                <w:szCs w:val="20"/>
                <w:color w:val="auto"/>
              </w:rPr>
            </w:pPr>
            <w:r>
              <w:rPr>
                <w:rFonts w:ascii="Arial" w:cs="Arial" w:eastAsia="Arial" w:hAnsi="Arial"/>
                <w:sz w:val="16"/>
                <w:szCs w:val="16"/>
                <w:color w:val="auto"/>
              </w:rPr>
              <w:t>Number of shares delivered range from zero to 200% of the</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20" w:type="dxa"/>
            <w:vAlign w:val="bottom"/>
          </w:tcPr>
          <w:p>
            <w:pPr>
              <w:ind w:left="120"/>
              <w:spacing w:after="0" w:line="179" w:lineRule="exact"/>
              <w:rPr>
                <w:sz w:val="20"/>
                <w:szCs w:val="20"/>
                <w:color w:val="auto"/>
              </w:rPr>
            </w:pPr>
            <w:r>
              <w:rPr>
                <w:rFonts w:ascii="Arial" w:cs="Arial" w:eastAsia="Arial" w:hAnsi="Arial"/>
                <w:sz w:val="16"/>
                <w:szCs w:val="16"/>
                <w:color w:val="auto"/>
              </w:rPr>
              <w:t>Units</w:t>
            </w: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building long-term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initial target grant based on performance over a three-year</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Incentives</w:t>
            </w: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value through successful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period.</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strategy execution;</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Payout on half of each executive’s PSUs granted in 2025 is</w:t>
            </w:r>
          </w:p>
        </w:tc>
        <w:tc>
          <w:tcPr>
            <w:tcW w:w="0" w:type="dxa"/>
            <w:vAlign w:val="bottom"/>
          </w:tcPr>
          <w:p>
            <w:pPr>
              <w:spacing w:after="0"/>
              <w:rPr>
                <w:sz w:val="1"/>
                <w:szCs w:val="1"/>
                <w:color w:val="auto"/>
              </w:rPr>
            </w:pPr>
          </w:p>
        </w:tc>
      </w:tr>
      <w:tr>
        <w:trPr>
          <w:trHeight w:val="56"/>
        </w:trPr>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retain executives; and</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dependent on cash flow generation, defined as net cash flow</w:t>
            </w: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rPr>
              <w:t>provided by operating activities, less capital expenditures,</w:t>
            </w: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To increase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with certain exclusions, which continues our focus on capital</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alignment through executives’</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discipline, while also aligning the Company with stockholders’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stock ownership</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free cash flow expectations. We refer to these as Cash Flow</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 on the remaining half of the PSUs granted in 2025 is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dependent on total shareholder return relative to other</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companies in the S&amp;P 500 over the three-year performance</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period. We refer to these as TSR PSUs.</w:t>
            </w: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7"/>
              </w:rPr>
              <w:t>PSUs earn dividend equivalents that are paid at the end of the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period based on the number of shares earned.</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Recipients can defer the receipt of shares, in which case such</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shares of Common Stock will be paid out, without interest, at</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Borders>
              <w:bottom w:val="single" w:sz="8" w:color="0C3D25"/>
            </w:tcBorders>
          </w:tcPr>
          <w:p>
            <w:pPr>
              <w:spacing w:after="0"/>
              <w:rPr>
                <w:sz w:val="15"/>
                <w:szCs w:val="15"/>
                <w:color w:val="auto"/>
              </w:rPr>
            </w:pPr>
          </w:p>
        </w:tc>
        <w:tc>
          <w:tcPr>
            <w:tcW w:w="2400" w:type="dxa"/>
            <w:vAlign w:val="bottom"/>
            <w:tcBorders>
              <w:bottom w:val="single" w:sz="8" w:color="0C3D25"/>
            </w:tcBorders>
          </w:tcPr>
          <w:p>
            <w:pPr>
              <w:spacing w:after="0"/>
              <w:rPr>
                <w:sz w:val="15"/>
                <w:szCs w:val="15"/>
                <w:color w:val="auto"/>
              </w:rPr>
            </w:pPr>
          </w:p>
        </w:tc>
        <w:tc>
          <w:tcPr>
            <w:tcW w:w="4420" w:type="dxa"/>
            <w:vAlign w:val="bottom"/>
            <w:tcBorders>
              <w:bottom w:val="single" w:sz="8" w:color="0C3D25"/>
            </w:tcBorders>
          </w:tcPr>
          <w:p>
            <w:pPr>
              <w:ind w:left="120"/>
              <w:spacing w:after="0" w:line="180" w:lineRule="exact"/>
              <w:rPr>
                <w:sz w:val="20"/>
                <w:szCs w:val="20"/>
                <w:color w:val="auto"/>
              </w:rPr>
            </w:pPr>
            <w:r>
              <w:rPr>
                <w:rFonts w:ascii="Arial" w:cs="Arial" w:eastAsia="Arial" w:hAnsi="Arial"/>
                <w:sz w:val="16"/>
                <w:szCs w:val="16"/>
                <w:color w:val="auto"/>
              </w:rPr>
              <w:t>the end of the deferral period.</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620" w:type="dxa"/>
            <w:vAlign w:val="bottom"/>
          </w:tcPr>
          <w:p>
            <w:pPr>
              <w:ind w:left="120"/>
              <w:spacing w:after="0" w:line="171" w:lineRule="exact"/>
              <w:rPr>
                <w:sz w:val="20"/>
                <w:szCs w:val="20"/>
                <w:color w:val="auto"/>
              </w:rPr>
            </w:pPr>
            <w:r>
              <w:rPr>
                <w:rFonts w:ascii="Arial" w:cs="Arial" w:eastAsia="Arial" w:hAnsi="Arial"/>
                <w:sz w:val="16"/>
                <w:szCs w:val="16"/>
                <w:color w:val="auto"/>
              </w:rPr>
              <w:t>Stock Options</w:t>
            </w:r>
          </w:p>
        </w:tc>
        <w:tc>
          <w:tcPr>
            <w:tcW w:w="2400" w:type="dxa"/>
            <w:vAlign w:val="bottom"/>
          </w:tcPr>
          <w:p>
            <w:pPr>
              <w:ind w:left="180"/>
              <w:spacing w:after="0" w:line="171" w:lineRule="exact"/>
              <w:rPr>
                <w:sz w:val="20"/>
                <w:szCs w:val="20"/>
                <w:color w:val="auto"/>
              </w:rPr>
            </w:pPr>
            <w:r>
              <w:rPr>
                <w:rFonts w:ascii="Arial" w:cs="Arial" w:eastAsia="Arial" w:hAnsi="Arial"/>
                <w:sz w:val="16"/>
                <w:szCs w:val="16"/>
                <w:color w:val="auto"/>
              </w:rPr>
              <w:t>To support the growth element</w:t>
            </w:r>
          </w:p>
        </w:tc>
        <w:tc>
          <w:tcPr>
            <w:tcW w:w="4420" w:type="dxa"/>
            <w:vAlign w:val="bottom"/>
          </w:tcPr>
          <w:p>
            <w:pPr>
              <w:ind w:left="120"/>
              <w:spacing w:after="0" w:line="171" w:lineRule="exact"/>
              <w:rPr>
                <w:sz w:val="20"/>
                <w:szCs w:val="20"/>
                <w:color w:val="auto"/>
              </w:rPr>
            </w:pPr>
            <w:r>
              <w:rPr>
                <w:rFonts w:ascii="Arial" w:cs="Arial" w:eastAsia="Arial" w:hAnsi="Arial"/>
                <w:sz w:val="16"/>
                <w:szCs w:val="16"/>
                <w:color w:val="auto"/>
              </w:rPr>
              <w:t>Stock options granted in 2025 vest ratably in three annual</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of the Company’s strategy and</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increments, beginning on the first anniversary of the date of</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encourage and reward stock</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grant.</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price appreciation over the</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The option exercise price is the average of the high and low</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long-term;</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market price of our Common Stock on the date of grant.</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retain executives; and</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Stock options have a term of 10 years.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increase stockholder</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alignment through executives’</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Borders>
              <w:bottom w:val="single" w:sz="8" w:color="0C3D25"/>
            </w:tcBorders>
          </w:tcPr>
          <w:p>
            <w:pPr>
              <w:spacing w:after="0"/>
              <w:rPr>
                <w:sz w:val="15"/>
                <w:szCs w:val="15"/>
                <w:color w:val="auto"/>
              </w:rPr>
            </w:pPr>
          </w:p>
        </w:tc>
        <w:tc>
          <w:tcPr>
            <w:tcW w:w="2400" w:type="dxa"/>
            <w:vAlign w:val="bottom"/>
            <w:tcBorders>
              <w:bottom w:val="single" w:sz="8" w:color="0C3D25"/>
            </w:tcBorders>
          </w:tcPr>
          <w:p>
            <w:pPr>
              <w:ind w:left="180"/>
              <w:spacing w:after="0" w:line="180" w:lineRule="exact"/>
              <w:rPr>
                <w:sz w:val="20"/>
                <w:szCs w:val="20"/>
                <w:color w:val="auto"/>
              </w:rPr>
            </w:pPr>
            <w:r>
              <w:rPr>
                <w:rFonts w:ascii="Arial" w:cs="Arial" w:eastAsia="Arial" w:hAnsi="Arial"/>
                <w:sz w:val="16"/>
                <w:szCs w:val="16"/>
                <w:color w:val="auto"/>
              </w:rPr>
              <w:t>stock ownership</w:t>
            </w:r>
          </w:p>
        </w:tc>
        <w:tc>
          <w:tcPr>
            <w:tcW w:w="4420" w:type="dxa"/>
            <w:vAlign w:val="bottom"/>
            <w:tcBorders>
              <w:bottom w:val="single" w:sz="8" w:color="0C3D25"/>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620" w:type="dxa"/>
            <w:vAlign w:val="bottom"/>
          </w:tcPr>
          <w:p>
            <w:pPr>
              <w:ind w:left="120"/>
              <w:spacing w:after="0" w:line="171" w:lineRule="exact"/>
              <w:rPr>
                <w:sz w:val="20"/>
                <w:szCs w:val="20"/>
                <w:color w:val="auto"/>
              </w:rPr>
            </w:pPr>
            <w:r>
              <w:rPr>
                <w:rFonts w:ascii="Arial" w:cs="Arial" w:eastAsia="Arial" w:hAnsi="Arial"/>
                <w:sz w:val="16"/>
                <w:szCs w:val="16"/>
                <w:color w:val="auto"/>
              </w:rPr>
              <w:t>Restricted Stock</w:t>
            </w:r>
          </w:p>
        </w:tc>
        <w:tc>
          <w:tcPr>
            <w:tcW w:w="2400" w:type="dxa"/>
            <w:vAlign w:val="bottom"/>
          </w:tcPr>
          <w:p>
            <w:pPr>
              <w:ind w:left="180"/>
              <w:spacing w:after="0" w:line="171" w:lineRule="exact"/>
              <w:rPr>
                <w:sz w:val="20"/>
                <w:szCs w:val="20"/>
                <w:color w:val="auto"/>
              </w:rPr>
            </w:pPr>
            <w:r>
              <w:rPr>
                <w:rFonts w:ascii="Arial" w:cs="Arial" w:eastAsia="Arial" w:hAnsi="Arial"/>
                <w:sz w:val="16"/>
                <w:szCs w:val="16"/>
                <w:color w:val="auto"/>
              </w:rPr>
              <w:t>Used on a limited basis (e.g.</w:t>
            </w:r>
          </w:p>
        </w:tc>
        <w:tc>
          <w:tcPr>
            <w:tcW w:w="4420" w:type="dxa"/>
            <w:vAlign w:val="bottom"/>
          </w:tcPr>
          <w:p>
            <w:pPr>
              <w:ind w:left="120"/>
              <w:spacing w:after="0" w:line="171" w:lineRule="exact"/>
              <w:rPr>
                <w:sz w:val="20"/>
                <w:szCs w:val="20"/>
                <w:color w:val="auto"/>
              </w:rPr>
            </w:pPr>
            <w:r>
              <w:rPr>
                <w:rFonts w:ascii="Arial" w:cs="Arial" w:eastAsia="Arial" w:hAnsi="Arial"/>
                <w:sz w:val="16"/>
                <w:szCs w:val="16"/>
                <w:color w:val="auto"/>
                <w:w w:val="96"/>
              </w:rPr>
              <w:t>RSUs are not routinely an element of executive compensation,</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ind w:left="120"/>
              <w:spacing w:after="0" w:line="179" w:lineRule="exact"/>
              <w:rPr>
                <w:sz w:val="20"/>
                <w:szCs w:val="20"/>
                <w:color w:val="auto"/>
              </w:rPr>
            </w:pPr>
            <w:r>
              <w:rPr>
                <w:rFonts w:ascii="Arial" w:cs="Arial" w:eastAsia="Arial" w:hAnsi="Arial"/>
                <w:sz w:val="16"/>
                <w:szCs w:val="16"/>
                <w:color w:val="auto"/>
              </w:rPr>
              <w:t>Units (“RSUs”)</w:t>
            </w: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promotion, new hire, special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but grants are made in certain circumstances, including in</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recognition) to make awards</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recognition of significant promotions and contributions.</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0" w:type="dxa"/>
            <w:vAlign w:val="bottom"/>
          </w:tcPr>
          <w:p>
            <w:pPr>
              <w:ind w:left="180"/>
              <w:spacing w:after="0" w:line="146" w:lineRule="exact"/>
              <w:rPr>
                <w:sz w:val="20"/>
                <w:szCs w:val="20"/>
                <w:color w:val="auto"/>
              </w:rPr>
            </w:pPr>
            <w:r>
              <w:rPr>
                <w:rFonts w:ascii="Arial" w:cs="Arial" w:eastAsia="Arial" w:hAnsi="Arial"/>
                <w:sz w:val="16"/>
                <w:szCs w:val="16"/>
                <w:color w:val="auto"/>
              </w:rPr>
              <w:t>that encourage and reward</w:t>
            </w: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-6735445</wp:posOffset>
                </wp:positionV>
                <wp:extent cx="1025525" cy="763079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5525" cy="7630795"/>
                        </a:xfrm>
                        <a:prstGeom prst="rect">
                          <a:avLst/>
                        </a:prstGeom>
                        <a:solidFill>
                          <a:srgbClr val="E6E6E6"/>
                        </a:solidFill>
                      </wps:spPr>
                      <wps:bodyPr/>
                    </wps:wsp>
                  </a:graphicData>
                </a:graphic>
              </wp:anchor>
            </w:drawing>
          </mc:Choice>
          <mc:Fallback>
            <w:pict>
              <v:rect id="Shape 174" o:spid="_x0000_s1199" style="position:absolute;margin-left:-0.0499pt;margin-top:-530.3499pt;width:80.75pt;height:60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2089785</wp:posOffset>
                </wp:positionH>
                <wp:positionV relativeFrom="paragraph">
                  <wp:posOffset>-6735445</wp:posOffset>
                </wp:positionV>
                <wp:extent cx="1495425" cy="763079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5425" cy="7630795"/>
                        </a:xfrm>
                        <a:prstGeom prst="rect">
                          <a:avLst/>
                        </a:prstGeom>
                        <a:solidFill>
                          <a:srgbClr val="E6E6E6"/>
                        </a:solidFill>
                      </wps:spPr>
                      <wps:bodyPr/>
                    </wps:wsp>
                  </a:graphicData>
                </a:graphic>
              </wp:anchor>
            </w:drawing>
          </mc:Choice>
          <mc:Fallback>
            <w:pict>
              <v:rect id="Shape 175" o:spid="_x0000_s1200" style="position:absolute;margin-left:164.55pt;margin-top:-530.3499pt;width:117.75pt;height:60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tbl>
      <w:tblPr>
        <w:tblLayout w:type="fixed"/>
        <w:tblInd w:w="0" w:type="dxa"/>
        <w:tblCellMar>
          <w:top w:w="0" w:type="dxa"/>
          <w:left w:w="0" w:type="dxa"/>
          <w:bottom w:w="0" w:type="dxa"/>
          <w:right w:w="0" w:type="dxa"/>
        </w:tblCellMar>
      </w:tblPr>
      <w:tr>
        <w:trPr>
          <w:trHeight w:val="179"/>
        </w:trPr>
        <w:tc>
          <w:tcPr>
            <w:tcW w:w="5540" w:type="dxa"/>
            <w:vAlign w:val="bottom"/>
            <w:vMerge w:val="restart"/>
          </w:tcPr>
          <w:p>
            <w:pPr>
              <w:ind w:left="3420"/>
              <w:spacing w:after="0"/>
              <w:rPr>
                <w:sz w:val="20"/>
                <w:szCs w:val="20"/>
                <w:color w:val="auto"/>
              </w:rPr>
            </w:pPr>
            <w:r>
              <w:rPr>
                <w:rFonts w:ascii="Arial" w:cs="Arial" w:eastAsia="Arial" w:hAnsi="Arial"/>
                <w:sz w:val="16"/>
                <w:szCs w:val="16"/>
                <w:color w:val="auto"/>
              </w:rPr>
              <w:t>long-term performance and</w:t>
            </w:r>
          </w:p>
        </w:tc>
        <w:tc>
          <w:tcPr>
            <w:tcW w:w="4520" w:type="dxa"/>
            <w:vAlign w:val="bottom"/>
          </w:tcPr>
          <w:p>
            <w:pPr>
              <w:ind w:left="220"/>
              <w:spacing w:after="0" w:line="179" w:lineRule="exact"/>
              <w:rPr>
                <w:sz w:val="20"/>
                <w:szCs w:val="20"/>
                <w:color w:val="auto"/>
              </w:rPr>
            </w:pPr>
            <w:r>
              <w:rPr>
                <w:rFonts w:ascii="Arial" w:cs="Arial" w:eastAsia="Arial" w:hAnsi="Arial"/>
                <w:sz w:val="16"/>
                <w:szCs w:val="16"/>
                <w:color w:val="auto"/>
                <w:w w:val="97"/>
              </w:rPr>
              <w:t>RSUs granted in 2025 vest ratably in three annual increments,</w:t>
            </w:r>
          </w:p>
        </w:tc>
        <w:tc>
          <w:tcPr>
            <w:tcW w:w="0" w:type="dxa"/>
            <w:vAlign w:val="bottom"/>
          </w:tcPr>
          <w:p>
            <w:pPr>
              <w:spacing w:after="0"/>
              <w:rPr>
                <w:sz w:val="1"/>
                <w:szCs w:val="1"/>
                <w:color w:val="auto"/>
              </w:rPr>
            </w:pPr>
          </w:p>
        </w:tc>
      </w:tr>
      <w:tr>
        <w:trPr>
          <w:trHeight w:val="34"/>
        </w:trPr>
        <w:tc>
          <w:tcPr>
            <w:tcW w:w="5540" w:type="dxa"/>
            <w:vAlign w:val="bottom"/>
            <w:vMerge w:val="continue"/>
          </w:tcPr>
          <w:p>
            <w:pPr>
              <w:spacing w:after="0"/>
              <w:rPr>
                <w:sz w:val="2"/>
                <w:szCs w:val="2"/>
                <w:color w:val="auto"/>
              </w:rPr>
            </w:pPr>
          </w:p>
        </w:tc>
        <w:tc>
          <w:tcPr>
            <w:tcW w:w="4520" w:type="dxa"/>
            <w:vAlign w:val="bottom"/>
            <w:vMerge w:val="restart"/>
          </w:tcPr>
          <w:p>
            <w:pPr>
              <w:ind w:left="220"/>
              <w:spacing w:after="0" w:line="179" w:lineRule="exact"/>
              <w:rPr>
                <w:sz w:val="20"/>
                <w:szCs w:val="20"/>
                <w:color w:val="auto"/>
              </w:rPr>
            </w:pPr>
            <w:r>
              <w:rPr>
                <w:rFonts w:ascii="Arial" w:cs="Arial" w:eastAsia="Arial" w:hAnsi="Arial"/>
                <w:sz w:val="16"/>
                <w:szCs w:val="16"/>
                <w:color w:val="auto"/>
              </w:rPr>
              <w:t>beginning on the first anniversary of the date of grant, with</w:t>
            </w:r>
          </w:p>
        </w:tc>
        <w:tc>
          <w:tcPr>
            <w:tcW w:w="0" w:type="dxa"/>
            <w:vAlign w:val="bottom"/>
          </w:tcPr>
          <w:p>
            <w:pPr>
              <w:spacing w:after="0" w:line="20" w:lineRule="exact"/>
              <w:rPr>
                <w:sz w:val="1"/>
                <w:szCs w:val="1"/>
                <w:color w:val="auto"/>
              </w:rPr>
            </w:pPr>
          </w:p>
        </w:tc>
      </w:tr>
      <w:tr>
        <w:trPr>
          <w:trHeight w:val="146"/>
        </w:trPr>
        <w:tc>
          <w:tcPr>
            <w:tcW w:w="5540" w:type="dxa"/>
            <w:vAlign w:val="bottom"/>
            <w:vMerge w:val="restart"/>
          </w:tcPr>
          <w:p>
            <w:pPr>
              <w:ind w:left="3420"/>
              <w:spacing w:after="0" w:line="179" w:lineRule="exact"/>
              <w:rPr>
                <w:sz w:val="20"/>
                <w:szCs w:val="20"/>
                <w:color w:val="auto"/>
              </w:rPr>
            </w:pPr>
            <w:r>
              <w:rPr>
                <w:rFonts w:ascii="Arial" w:cs="Arial" w:eastAsia="Arial" w:hAnsi="Arial"/>
                <w:sz w:val="16"/>
                <w:szCs w:val="16"/>
                <w:color w:val="auto"/>
              </w:rPr>
              <w:t>increase alignment with</w:t>
            </w:r>
          </w:p>
        </w:tc>
        <w:tc>
          <w:tcPr>
            <w:tcW w:w="4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540" w:type="dxa"/>
            <w:vAlign w:val="bottom"/>
            <w:vMerge w:val="continue"/>
          </w:tcPr>
          <w:p>
            <w:pPr>
              <w:spacing w:after="0"/>
              <w:rPr>
                <w:sz w:val="2"/>
                <w:szCs w:val="2"/>
                <w:color w:val="auto"/>
              </w:rPr>
            </w:pPr>
          </w:p>
        </w:tc>
        <w:tc>
          <w:tcPr>
            <w:tcW w:w="4520" w:type="dxa"/>
            <w:vAlign w:val="bottom"/>
            <w:vMerge w:val="restart"/>
          </w:tcPr>
          <w:p>
            <w:pPr>
              <w:ind w:left="220"/>
              <w:spacing w:after="0" w:line="179" w:lineRule="exact"/>
              <w:rPr>
                <w:sz w:val="20"/>
                <w:szCs w:val="20"/>
                <w:color w:val="auto"/>
              </w:rPr>
            </w:pPr>
            <w:r>
              <w:rPr>
                <w:rFonts w:ascii="Arial" w:cs="Arial" w:eastAsia="Arial" w:hAnsi="Arial"/>
                <w:sz w:val="16"/>
                <w:szCs w:val="16"/>
                <w:color w:val="auto"/>
                <w:w w:val="98"/>
              </w:rPr>
              <w:t>the exception of RSUs granted to Ms. Hemmer, of which 50%</w:t>
            </w:r>
          </w:p>
        </w:tc>
        <w:tc>
          <w:tcPr>
            <w:tcW w:w="0" w:type="dxa"/>
            <w:vAlign w:val="bottom"/>
          </w:tcPr>
          <w:p>
            <w:pPr>
              <w:spacing w:after="0" w:line="20" w:lineRule="exact"/>
              <w:rPr>
                <w:sz w:val="1"/>
                <w:szCs w:val="1"/>
                <w:color w:val="auto"/>
              </w:rPr>
            </w:pPr>
          </w:p>
        </w:tc>
      </w:tr>
      <w:tr>
        <w:trPr>
          <w:trHeight w:val="146"/>
        </w:trPr>
        <w:tc>
          <w:tcPr>
            <w:tcW w:w="5540" w:type="dxa"/>
            <w:vAlign w:val="bottom"/>
            <w:vMerge w:val="restart"/>
          </w:tcPr>
          <w:p>
            <w:pPr>
              <w:ind w:left="3420"/>
              <w:spacing w:after="0"/>
              <w:rPr>
                <w:sz w:val="20"/>
                <w:szCs w:val="20"/>
                <w:color w:val="auto"/>
              </w:rPr>
            </w:pPr>
            <w:r>
              <w:rPr>
                <w:rFonts w:ascii="Arial" w:cs="Arial" w:eastAsia="Arial" w:hAnsi="Arial"/>
                <w:sz w:val="16"/>
                <w:szCs w:val="16"/>
                <w:color w:val="auto"/>
              </w:rPr>
              <w:t>stockholders</w:t>
            </w:r>
          </w:p>
        </w:tc>
        <w:tc>
          <w:tcPr>
            <w:tcW w:w="4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5540" w:type="dxa"/>
            <w:vAlign w:val="bottom"/>
            <w:vMerge w:val="continue"/>
          </w:tcPr>
          <w:p>
            <w:pPr>
              <w:spacing w:after="0"/>
              <w:rPr>
                <w:sz w:val="3"/>
                <w:szCs w:val="3"/>
                <w:color w:val="auto"/>
              </w:rPr>
            </w:pPr>
          </w:p>
        </w:tc>
        <w:tc>
          <w:tcPr>
            <w:tcW w:w="4520" w:type="dxa"/>
            <w:vAlign w:val="bottom"/>
            <w:vMerge w:val="restart"/>
          </w:tcPr>
          <w:p>
            <w:pPr>
              <w:ind w:left="220"/>
              <w:spacing w:after="0" w:line="154" w:lineRule="exact"/>
              <w:rPr>
                <w:sz w:val="20"/>
                <w:szCs w:val="20"/>
                <w:color w:val="auto"/>
              </w:rPr>
            </w:pPr>
            <w:r>
              <w:rPr>
                <w:rFonts w:ascii="Arial" w:cs="Arial" w:eastAsia="Arial" w:hAnsi="Arial"/>
                <w:sz w:val="16"/>
                <w:szCs w:val="16"/>
                <w:color w:val="auto"/>
              </w:rPr>
              <w:t>vest on the second anniversary of the date of grant and 50%</w:t>
            </w:r>
          </w:p>
        </w:tc>
        <w:tc>
          <w:tcPr>
            <w:tcW w:w="0" w:type="dxa"/>
            <w:vAlign w:val="bottom"/>
          </w:tcPr>
          <w:p>
            <w:pPr>
              <w:spacing w:after="0" w:line="20" w:lineRule="exact"/>
              <w:rPr>
                <w:sz w:val="1"/>
                <w:szCs w:val="1"/>
                <w:color w:val="auto"/>
              </w:rPr>
            </w:pPr>
          </w:p>
        </w:tc>
      </w:tr>
      <w:tr>
        <w:trPr>
          <w:trHeight w:val="115"/>
        </w:trPr>
        <w:tc>
          <w:tcPr>
            <w:tcW w:w="5540" w:type="dxa"/>
            <w:vAlign w:val="bottom"/>
          </w:tcPr>
          <w:p>
            <w:pPr>
              <w:spacing w:after="0"/>
              <w:rPr>
                <w:sz w:val="10"/>
                <w:szCs w:val="10"/>
                <w:color w:val="auto"/>
              </w:rPr>
            </w:pP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4520" w:type="dxa"/>
            <w:vAlign w:val="bottom"/>
          </w:tcPr>
          <w:p>
            <w:pPr>
              <w:ind w:left="220"/>
              <w:spacing w:after="0"/>
              <w:rPr>
                <w:sz w:val="20"/>
                <w:szCs w:val="20"/>
                <w:color w:val="auto"/>
              </w:rPr>
            </w:pPr>
            <w:r>
              <w:rPr>
                <w:rFonts w:ascii="Arial" w:cs="Arial" w:eastAsia="Arial" w:hAnsi="Arial"/>
                <w:sz w:val="16"/>
                <w:szCs w:val="16"/>
                <w:color w:val="auto"/>
              </w:rPr>
              <w:t>vest on the third anniversary of date of grant.</w:t>
            </w:r>
          </w:p>
        </w:tc>
        <w:tc>
          <w:tcPr>
            <w:tcW w:w="0" w:type="dxa"/>
            <w:vAlign w:val="bottom"/>
          </w:tcPr>
          <w:p>
            <w:pPr>
              <w:spacing w:after="0"/>
              <w:rPr>
                <w:sz w:val="1"/>
                <w:szCs w:val="1"/>
                <w:color w:val="auto"/>
              </w:rPr>
            </w:pPr>
          </w:p>
        </w:tc>
      </w:tr>
      <w:tr>
        <w:trPr>
          <w:trHeight w:val="295"/>
        </w:trPr>
        <w:tc>
          <w:tcPr>
            <w:tcW w:w="5540" w:type="dxa"/>
            <w:vAlign w:val="bottom"/>
          </w:tcPr>
          <w:p>
            <w:pPr>
              <w:spacing w:after="0"/>
              <w:rPr>
                <w:sz w:val="24"/>
                <w:szCs w:val="24"/>
                <w:color w:val="auto"/>
              </w:rPr>
            </w:pPr>
          </w:p>
        </w:tc>
        <w:tc>
          <w:tcPr>
            <w:tcW w:w="4520" w:type="dxa"/>
            <w:vAlign w:val="bottom"/>
          </w:tcPr>
          <w:p>
            <w:pPr>
              <w:ind w:left="220"/>
              <w:spacing w:after="0"/>
              <w:rPr>
                <w:sz w:val="20"/>
                <w:szCs w:val="20"/>
                <w:color w:val="auto"/>
              </w:rPr>
            </w:pPr>
            <w:r>
              <w:rPr>
                <w:rFonts w:ascii="Arial" w:cs="Arial" w:eastAsia="Arial" w:hAnsi="Arial"/>
                <w:sz w:val="16"/>
                <w:szCs w:val="16"/>
                <w:color w:val="auto"/>
              </w:rPr>
              <w:t>Time-based vesting aids retention. Dividend equivalents on</w:t>
            </w: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4520" w:type="dxa"/>
            <w:vAlign w:val="bottom"/>
          </w:tcPr>
          <w:p>
            <w:pPr>
              <w:ind w:left="220"/>
              <w:spacing w:after="0"/>
              <w:rPr>
                <w:sz w:val="20"/>
                <w:szCs w:val="20"/>
                <w:color w:val="auto"/>
              </w:rPr>
            </w:pPr>
            <w:r>
              <w:rPr>
                <w:rFonts w:ascii="Arial" w:cs="Arial" w:eastAsia="Arial" w:hAnsi="Arial"/>
                <w:sz w:val="16"/>
                <w:szCs w:val="16"/>
                <w:color w:val="auto"/>
              </w:rPr>
              <w:t>RSUs accrue and are paid in cash upon vesting.</w:t>
            </w:r>
          </w:p>
        </w:tc>
        <w:tc>
          <w:tcPr>
            <w:tcW w:w="0" w:type="dxa"/>
            <w:vAlign w:val="bottom"/>
          </w:tcPr>
          <w:p>
            <w:pPr>
              <w:spacing w:after="0"/>
              <w:rPr>
                <w:sz w:val="1"/>
                <w:szCs w:val="1"/>
                <w:color w:val="auto"/>
              </w:rPr>
            </w:pPr>
          </w:p>
        </w:tc>
      </w:tr>
      <w:tr>
        <w:trPr>
          <w:trHeight w:val="40"/>
        </w:trPr>
        <w:tc>
          <w:tcPr>
            <w:tcW w:w="5540" w:type="dxa"/>
            <w:vAlign w:val="bottom"/>
            <w:tcBorders>
              <w:bottom w:val="single" w:sz="8" w:color="0C3D25"/>
            </w:tcBorders>
          </w:tcPr>
          <w:p>
            <w:pPr>
              <w:spacing w:after="0"/>
              <w:rPr>
                <w:sz w:val="3"/>
                <w:szCs w:val="3"/>
                <w:color w:val="auto"/>
              </w:rPr>
            </w:pPr>
          </w:p>
        </w:tc>
        <w:tc>
          <w:tcPr>
            <w:tcW w:w="452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2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i w:val="1"/>
          <w:iCs w:val="1"/>
          <w:u w:val="single" w:color="auto"/>
          <w:color w:val="auto"/>
        </w:rPr>
        <w:t>Deferral Plan.</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named executive officers is eligible to participate in our 409A Deferral Plan and may elect to</w:t>
      </w:r>
      <w:r>
        <w:rPr>
          <w:rFonts w:ascii="Arial" w:cs="Arial" w:eastAsia="Arial" w:hAnsi="Arial"/>
          <w:sz w:val="20"/>
          <w:szCs w:val="20"/>
          <w:i w:val="1"/>
          <w:iCs w:val="1"/>
          <w:color w:val="auto"/>
        </w:rPr>
        <w:t xml:space="preserve"> </w:t>
      </w:r>
      <w:r>
        <w:rPr>
          <w:rFonts w:ascii="Arial" w:cs="Arial" w:eastAsia="Arial" w:hAnsi="Arial"/>
          <w:sz w:val="20"/>
          <w:szCs w:val="20"/>
          <w:color w:val="auto"/>
        </w:rPr>
        <w:t>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 can be found in the Nonqualified Deferred Compensation in 2025 table and accompanying disclosure.</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i w:val="1"/>
          <w:iCs w:val="1"/>
          <w:u w:val="single" w:color="auto"/>
          <w:color w:val="auto"/>
        </w:rPr>
        <w:t>Perquisites.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provides very limited perquisites or personal benefits to executive officers, consisting of</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concierge medical services, certain additional security services, cost to the Company for guest participation in corporate events and use of Company aircraft for personal travel. The MD&amp;C Committee permits our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2025, our Chief Executive Officer had approximately 15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Post-Employment and Change in Control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provides severance protections that aid in retention</w:t>
      </w:r>
      <w:r>
        <w:rPr>
          <w:rFonts w:ascii="Arial" w:cs="Arial" w:eastAsia="Arial" w:hAnsi="Arial"/>
          <w:sz w:val="20"/>
          <w:szCs w:val="20"/>
          <w:i w:val="1"/>
          <w:iCs w:val="1"/>
          <w:color w:val="auto"/>
        </w:rPr>
        <w:t xml:space="preserve"> </w:t>
      </w:r>
      <w:r>
        <w:rPr>
          <w:rFonts w:ascii="Arial" w:cs="Arial" w:eastAsia="Arial" w:hAnsi="Arial"/>
          <w:sz w:val="20"/>
          <w:szCs w:val="20"/>
          <w:color w:val="auto"/>
        </w:rPr>
        <w:t>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How Named Executive Officer Compensation Decisions are Made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Compensation Consultant.</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several resources in its analysis of the appropriate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w:t>
      </w:r>
    </w:p>
    <w:p>
      <w:pPr>
        <w:spacing w:after="0" w:line="39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4" w:name="page45"/>
    <w:bookmarkEnd w:id="44"/>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i w:val="1"/>
          <w:iCs w:val="1"/>
          <w:u w:val="single" w:color="auto"/>
          <w:color w:val="auto"/>
        </w:rPr>
        <w:t>Role of our CEO and our Human Resources 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Our Chief Executive Officer contributes to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u w:val="single" w:color="auto"/>
          <w:color w:val="auto"/>
        </w:rPr>
        <w:t>Peer Company Comparisons.</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compensation information of comparison groups of companies</w:t>
      </w:r>
      <w:r>
        <w:rPr>
          <w:rFonts w:ascii="Arial" w:cs="Arial" w:eastAsia="Arial" w:hAnsi="Arial"/>
          <w:sz w:val="19"/>
          <w:szCs w:val="19"/>
          <w:i w:val="1"/>
          <w:iCs w:val="1"/>
          <w:color w:val="auto"/>
        </w:rPr>
        <w:t xml:space="preserve"> </w:t>
      </w:r>
      <w:r>
        <w:rPr>
          <w:rFonts w:ascii="Arial" w:cs="Arial" w:eastAsia="Arial" w:hAnsi="Arial"/>
          <w:sz w:val="19"/>
          <w:szCs w:val="19"/>
          <w:color w:val="auto"/>
        </w:rPr>
        <w:t>to gauge the competitive market, which is relevant for attracting and retaining key talent and for ensuring that the Company’s compensation practices are aligned with prevalent practices. For purposes of establishing the 2025 executive compensation program, the MD&amp;C Committee considered a competitive analysis of total direct compensation levels and compensation mix for our executive officers during the second half of 2024, using information from:</w:t>
      </w:r>
    </w:p>
    <w:p>
      <w:pPr>
        <w:spacing w:after="0" w:line="120" w:lineRule="exact"/>
        <w:rPr>
          <w:sz w:val="20"/>
          <w:szCs w:val="20"/>
          <w:color w:val="auto"/>
        </w:rPr>
      </w:pPr>
    </w:p>
    <w:p>
      <w:pPr>
        <w:jc w:val="both"/>
        <w:ind w:left="600" w:hanging="203"/>
        <w:spacing w:after="0" w:line="276" w:lineRule="auto"/>
        <w:tabs>
          <w:tab w:leader="none" w:pos="600" w:val="left"/>
        </w:tabs>
        <w:numPr>
          <w:ilvl w:val="0"/>
          <w:numId w:val="17"/>
        </w:numPr>
        <w:rPr>
          <w:rFonts w:ascii="Arial" w:cs="Arial" w:eastAsia="Arial" w:hAnsi="Arial"/>
          <w:sz w:val="19"/>
          <w:szCs w:val="19"/>
          <w:color w:val="0C3D25"/>
        </w:rPr>
      </w:pPr>
      <w:r>
        <w:rPr>
          <w:rFonts w:ascii="Arial" w:cs="Arial" w:eastAsia="Arial" w:hAnsi="Arial"/>
          <w:sz w:val="19"/>
          <w:szCs w:val="19"/>
          <w:color w:val="auto"/>
        </w:rPr>
        <w:t>Size-adjusted median compensation data from two general industry surveys in which management annually participates; the FW Cook 2024 Executive Compensation Survey and the Willis Towers Watson 2024 U.S. Executive Survey Report. The 2024 FW Cook Executive Compensation Survey included 309 organizations ranging in size from approximately $250 million to $360 billion in annual revenue, and the 2024 Willis Towers Watson Executive Survey Report included 1,075 organizations ranging in size from approximately $20 million to $650 billion in annual revenue. Data selected from these surveys is scoped based on Company revenue; and</w:t>
      </w:r>
    </w:p>
    <w:p>
      <w:pPr>
        <w:spacing w:after="0" w:line="122" w:lineRule="exact"/>
        <w:rPr>
          <w:rFonts w:ascii="Arial" w:cs="Arial" w:eastAsia="Arial" w:hAnsi="Arial"/>
          <w:sz w:val="19"/>
          <w:szCs w:val="19"/>
          <w:color w:val="0C3D25"/>
        </w:rPr>
      </w:pPr>
    </w:p>
    <w:p>
      <w:pPr>
        <w:ind w:left="600" w:hanging="203"/>
        <w:spacing w:after="0"/>
        <w:tabs>
          <w:tab w:leader="none" w:pos="600" w:val="left"/>
        </w:tabs>
        <w:numPr>
          <w:ilvl w:val="0"/>
          <w:numId w:val="17"/>
        </w:numPr>
        <w:rPr>
          <w:rFonts w:ascii="Arial" w:cs="Arial" w:eastAsia="Arial" w:hAnsi="Arial"/>
          <w:sz w:val="19"/>
          <w:szCs w:val="19"/>
          <w:color w:val="0C3D25"/>
        </w:rPr>
      </w:pPr>
      <w:r>
        <w:rPr>
          <w:rFonts w:ascii="Arial" w:cs="Arial" w:eastAsia="Arial" w:hAnsi="Arial"/>
          <w:sz w:val="19"/>
          <w:szCs w:val="19"/>
          <w:color w:val="auto"/>
        </w:rPr>
        <w:t>Median compensation data from a comparison group of 20 publicly traded U.S. companies, described below.</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following chart sets forth various size comparisons to companies in the comparison group; this table is provided to evidence that the Company was appropriately positioned within its peer group for purposes of developing 2025 compensation recommendations during 2024. All financial and market data are taken from Standard &amp; Poor’s Capital IQ, with financial data as of each company’s 2023 fiscal year end and market capitalization as of December 31, 2023.</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Peer Company Comparison Group</w:t>
      </w:r>
    </w:p>
    <w:p>
      <w:pPr>
        <w:spacing w:after="0" w:line="107" w:lineRule="exact"/>
        <w:rPr>
          <w:sz w:val="20"/>
          <w:szCs w:val="20"/>
          <w:color w:val="auto"/>
        </w:rPr>
      </w:pPr>
    </w:p>
    <w:tbl>
      <w:tblPr>
        <w:tblLayout w:type="fixed"/>
        <w:tblInd w:w="1560" w:type="dxa"/>
        <w:tblCellMar>
          <w:top w:w="0" w:type="dxa"/>
          <w:left w:w="0" w:type="dxa"/>
          <w:bottom w:w="0" w:type="dxa"/>
          <w:right w:w="0" w:type="dxa"/>
        </w:tblCellMar>
      </w:tblPr>
      <w:tr>
        <w:trPr>
          <w:trHeight w:val="51"/>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Net Revenue</w:t>
            </w: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55%</w:t>
            </w:r>
          </w:p>
        </w:tc>
        <w:tc>
          <w:tcPr>
            <w:tcW w:w="260" w:type="dxa"/>
            <w:vAlign w:val="bottom"/>
            <w:tcBorders>
              <w:right w:val="single" w:sz="8" w:color="D6D6D6"/>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Borders>
              <w:right w:val="single" w:sz="8" w:color="D9D9D9"/>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40" w:type="dxa"/>
            <w:vAlign w:val="bottom"/>
            <w:tcBorders>
              <w:bottom w:val="single" w:sz="8" w:color="E4B065"/>
            </w:tcBorders>
            <w:shd w:val="clear" w:color="auto" w:fill="E4B065"/>
          </w:tcPr>
          <w:p>
            <w:pPr>
              <w:spacing w:after="0"/>
              <w:rPr>
                <w:sz w:val="19"/>
                <w:szCs w:val="19"/>
                <w:color w:val="auto"/>
              </w:rPr>
            </w:pPr>
          </w:p>
        </w:tc>
        <w:tc>
          <w:tcPr>
            <w:tcW w:w="36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60" w:type="dxa"/>
            <w:vAlign w:val="bottom"/>
            <w:tcBorders>
              <w:bottom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tcBorders>
              <w:right w:val="single" w:sz="8" w:color="D6D6D6"/>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D2D2D2"/>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color w:val="auto"/>
                <w:w w:val="93"/>
              </w:rPr>
              <w:t>52%</w:t>
            </w:r>
          </w:p>
        </w:tc>
        <w:tc>
          <w:tcPr>
            <w:tcW w:w="240" w:type="dxa"/>
            <w:vAlign w:val="bottom"/>
          </w:tcPr>
          <w:p>
            <w:pPr>
              <w:spacing w:after="0"/>
              <w:rPr>
                <w:sz w:val="9"/>
                <w:szCs w:val="9"/>
                <w:color w:val="auto"/>
              </w:rPr>
            </w:pP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40" w:type="dxa"/>
            <w:vAlign w:val="bottom"/>
            <w:tcBorders>
              <w:bottom w:val="single" w:sz="8" w:color="E4B065"/>
            </w:tcBorders>
            <w:shd w:val="clear" w:color="auto" w:fill="E4B065"/>
          </w:tcPr>
          <w:p>
            <w:pPr>
              <w:spacing w:after="0"/>
              <w:rPr>
                <w:sz w:val="19"/>
                <w:szCs w:val="19"/>
                <w:color w:val="auto"/>
              </w:rPr>
            </w:pPr>
          </w:p>
        </w:tc>
        <w:tc>
          <w:tcPr>
            <w:tcW w:w="36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right w:val="single" w:sz="8" w:color="D6D6D6"/>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Assets</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D2D2D2"/>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vMerge w:val="restart"/>
          </w:tcPr>
          <w:p>
            <w:pPr>
              <w:jc w:val="right"/>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right w:val="single" w:sz="8" w:color="D3D3D3"/>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right w:val="single" w:sz="8" w:color="D6D6D6"/>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Equity</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500" w:type="dxa"/>
            <w:vAlign w:val="bottom"/>
            <w:tcBorders>
              <w:right w:val="single" w:sz="8" w:color="D2D2D2"/>
            </w:tcBorders>
            <w:gridSpan w:val="2"/>
            <w:vMerge w:val="restart"/>
          </w:tcPr>
          <w:p>
            <w:pPr>
              <w:jc w:val="right"/>
              <w:ind w:right="64"/>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500" w:type="dxa"/>
            <w:vAlign w:val="bottom"/>
            <w:tcBorders>
              <w:right w:val="single" w:sz="8" w:color="D2D2D2"/>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right w:val="single" w:sz="8" w:color="D3D3D3"/>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right w:val="single" w:sz="8" w:color="D6D6D6"/>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Employees</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D2D2D2"/>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74%</w:t>
            </w: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28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40" w:type="dxa"/>
            <w:vAlign w:val="bottom"/>
            <w:tcBorders>
              <w:bottom w:val="single" w:sz="8" w:color="E4B065"/>
            </w:tcBorders>
            <w:shd w:val="clear" w:color="auto" w:fill="E4B065"/>
          </w:tcPr>
          <w:p>
            <w:pPr>
              <w:spacing w:after="0"/>
              <w:rPr>
                <w:sz w:val="19"/>
                <w:szCs w:val="19"/>
                <w:color w:val="auto"/>
              </w:rPr>
            </w:pPr>
          </w:p>
        </w:tc>
        <w:tc>
          <w:tcPr>
            <w:tcW w:w="360" w:type="dxa"/>
            <w:vAlign w:val="bottom"/>
            <w:tcBorders>
              <w:bottom w:val="single" w:sz="8" w:color="E4B065"/>
              <w:right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60" w:type="dxa"/>
            <w:vAlign w:val="bottom"/>
            <w:tcBorders>
              <w:bottom w:val="single" w:sz="8" w:color="E4B065"/>
            </w:tcBorders>
            <w:shd w:val="clear" w:color="auto" w:fill="E4B065"/>
          </w:tcPr>
          <w:p>
            <w:pPr>
              <w:spacing w:after="0"/>
              <w:rPr>
                <w:sz w:val="19"/>
                <w:szCs w:val="19"/>
                <w:color w:val="auto"/>
              </w:rPr>
            </w:pPr>
          </w:p>
        </w:tc>
        <w:tc>
          <w:tcPr>
            <w:tcW w:w="100" w:type="dxa"/>
            <w:vAlign w:val="bottom"/>
            <w:tcBorders>
              <w:bottom w:val="single" w:sz="8" w:color="E4B065"/>
            </w:tcBorders>
            <w:shd w:val="clear" w:color="auto" w:fill="E4B065"/>
          </w:tcPr>
          <w:p>
            <w:pPr>
              <w:spacing w:after="0"/>
              <w:rPr>
                <w:sz w:val="19"/>
                <w:szCs w:val="19"/>
                <w:color w:val="auto"/>
              </w:rPr>
            </w:pPr>
          </w:p>
        </w:tc>
        <w:tc>
          <w:tcPr>
            <w:tcW w:w="260" w:type="dxa"/>
            <w:vAlign w:val="bottom"/>
            <w:tcBorders>
              <w:bottom w:val="single" w:sz="8" w:color="E4B065"/>
              <w:right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260" w:type="dxa"/>
            <w:vAlign w:val="bottom"/>
            <w:tcBorders>
              <w:bottom w:val="single" w:sz="8" w:color="E4B065"/>
              <w:right w:val="single" w:sz="8" w:color="E4B065"/>
            </w:tcBorders>
            <w:shd w:val="clear" w:color="auto" w:fill="E4B065"/>
          </w:tcPr>
          <w:p>
            <w:pPr>
              <w:spacing w:after="0"/>
              <w:rPr>
                <w:sz w:val="19"/>
                <w:szCs w:val="19"/>
                <w:color w:val="auto"/>
              </w:rPr>
            </w:pPr>
          </w:p>
        </w:tc>
        <w:tc>
          <w:tcPr>
            <w:tcW w:w="200" w:type="dxa"/>
            <w:vAlign w:val="bottom"/>
            <w:tcBorders>
              <w:bottom w:val="single" w:sz="8" w:color="E4B065"/>
            </w:tcBorders>
            <w:shd w:val="clear" w:color="auto" w:fill="E4B065"/>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2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Market Capitalization</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D2D2D2"/>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right w:val="single" w:sz="8" w:color="D5D5D5"/>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220" w:type="dxa"/>
            <w:vAlign w:val="bottom"/>
            <w:tcBorders>
              <w:right w:val="single" w:sz="8" w:color="auto"/>
            </w:tcBorders>
            <w:vMerge w:val="continue"/>
          </w:tcPr>
          <w:p>
            <w:pPr>
              <w:spacing w:after="0"/>
              <w:rPr>
                <w:sz w:val="21"/>
                <w:szCs w:val="21"/>
                <w:color w:val="auto"/>
              </w:rPr>
            </w:pPr>
          </w:p>
        </w:tc>
        <w:tc>
          <w:tcPr>
            <w:tcW w:w="220" w:type="dxa"/>
            <w:vAlign w:val="bottom"/>
            <w:shd w:val="clear" w:color="auto" w:fill="E4B065"/>
          </w:tcPr>
          <w:p>
            <w:pPr>
              <w:spacing w:after="0"/>
              <w:rPr>
                <w:sz w:val="21"/>
                <w:szCs w:val="21"/>
                <w:color w:val="auto"/>
              </w:rPr>
            </w:pPr>
          </w:p>
        </w:tc>
        <w:tc>
          <w:tcPr>
            <w:tcW w:w="300" w:type="dxa"/>
            <w:vAlign w:val="bottom"/>
            <w:tcBorders>
              <w:right w:val="single" w:sz="8" w:color="E4B065"/>
            </w:tcBorders>
            <w:shd w:val="clear" w:color="auto" w:fill="E4B065"/>
          </w:tcPr>
          <w:p>
            <w:pPr>
              <w:spacing w:after="0"/>
              <w:rPr>
                <w:sz w:val="21"/>
                <w:szCs w:val="21"/>
                <w:color w:val="auto"/>
              </w:rPr>
            </w:pPr>
          </w:p>
        </w:tc>
        <w:tc>
          <w:tcPr>
            <w:tcW w:w="220" w:type="dxa"/>
            <w:vAlign w:val="bottom"/>
            <w:shd w:val="clear" w:color="auto" w:fill="E4B065"/>
          </w:tcPr>
          <w:p>
            <w:pPr>
              <w:spacing w:after="0"/>
              <w:rPr>
                <w:sz w:val="21"/>
                <w:szCs w:val="21"/>
                <w:color w:val="auto"/>
              </w:rPr>
            </w:pPr>
          </w:p>
        </w:tc>
        <w:tc>
          <w:tcPr>
            <w:tcW w:w="280" w:type="dxa"/>
            <w:vAlign w:val="bottom"/>
            <w:tcBorders>
              <w:right w:val="single" w:sz="8" w:color="E4B065"/>
            </w:tcBorders>
            <w:shd w:val="clear" w:color="auto" w:fill="E4B065"/>
          </w:tcPr>
          <w:p>
            <w:pPr>
              <w:spacing w:after="0"/>
              <w:rPr>
                <w:sz w:val="21"/>
                <w:szCs w:val="21"/>
                <w:color w:val="auto"/>
              </w:rPr>
            </w:pPr>
          </w:p>
        </w:tc>
        <w:tc>
          <w:tcPr>
            <w:tcW w:w="240" w:type="dxa"/>
            <w:vAlign w:val="bottom"/>
            <w:shd w:val="clear" w:color="auto" w:fill="E4B065"/>
          </w:tcPr>
          <w:p>
            <w:pPr>
              <w:spacing w:after="0"/>
              <w:rPr>
                <w:sz w:val="21"/>
                <w:szCs w:val="21"/>
                <w:color w:val="auto"/>
              </w:rPr>
            </w:pPr>
          </w:p>
        </w:tc>
        <w:tc>
          <w:tcPr>
            <w:tcW w:w="280" w:type="dxa"/>
            <w:vAlign w:val="bottom"/>
            <w:tcBorders>
              <w:right w:val="single" w:sz="8" w:color="E4B065"/>
            </w:tcBorders>
            <w:shd w:val="clear" w:color="auto" w:fill="E4B065"/>
          </w:tcPr>
          <w:p>
            <w:pPr>
              <w:spacing w:after="0"/>
              <w:rPr>
                <w:sz w:val="21"/>
                <w:szCs w:val="21"/>
                <w:color w:val="auto"/>
              </w:rPr>
            </w:pPr>
          </w:p>
        </w:tc>
        <w:tc>
          <w:tcPr>
            <w:tcW w:w="220" w:type="dxa"/>
            <w:vAlign w:val="bottom"/>
            <w:shd w:val="clear" w:color="auto" w:fill="E4B065"/>
          </w:tcPr>
          <w:p>
            <w:pPr>
              <w:spacing w:after="0"/>
              <w:rPr>
                <w:sz w:val="21"/>
                <w:szCs w:val="21"/>
                <w:color w:val="auto"/>
              </w:rPr>
            </w:pPr>
          </w:p>
        </w:tc>
        <w:tc>
          <w:tcPr>
            <w:tcW w:w="280" w:type="dxa"/>
            <w:vAlign w:val="bottom"/>
            <w:tcBorders>
              <w:right w:val="single" w:sz="8" w:color="E4B065"/>
            </w:tcBorders>
            <w:shd w:val="clear" w:color="auto" w:fill="E4B065"/>
          </w:tcPr>
          <w:p>
            <w:pPr>
              <w:spacing w:after="0"/>
              <w:rPr>
                <w:sz w:val="21"/>
                <w:szCs w:val="21"/>
                <w:color w:val="auto"/>
              </w:rPr>
            </w:pPr>
          </w:p>
        </w:tc>
        <w:tc>
          <w:tcPr>
            <w:tcW w:w="100" w:type="dxa"/>
            <w:vAlign w:val="bottom"/>
            <w:shd w:val="clear" w:color="auto" w:fill="E4B065"/>
          </w:tcPr>
          <w:p>
            <w:pPr>
              <w:spacing w:after="0"/>
              <w:rPr>
                <w:sz w:val="21"/>
                <w:szCs w:val="21"/>
                <w:color w:val="auto"/>
              </w:rPr>
            </w:pPr>
          </w:p>
        </w:tc>
        <w:tc>
          <w:tcPr>
            <w:tcW w:w="40" w:type="dxa"/>
            <w:vAlign w:val="bottom"/>
            <w:shd w:val="clear" w:color="auto" w:fill="E4B065"/>
          </w:tcPr>
          <w:p>
            <w:pPr>
              <w:spacing w:after="0"/>
              <w:rPr>
                <w:sz w:val="21"/>
                <w:szCs w:val="21"/>
                <w:color w:val="auto"/>
              </w:rPr>
            </w:pPr>
          </w:p>
        </w:tc>
        <w:tc>
          <w:tcPr>
            <w:tcW w:w="360" w:type="dxa"/>
            <w:vAlign w:val="bottom"/>
            <w:tcBorders>
              <w:right w:val="single" w:sz="8" w:color="E4B065"/>
            </w:tcBorders>
            <w:shd w:val="clear" w:color="auto" w:fill="E4B065"/>
          </w:tcPr>
          <w:p>
            <w:pPr>
              <w:spacing w:after="0"/>
              <w:rPr>
                <w:sz w:val="21"/>
                <w:szCs w:val="21"/>
                <w:color w:val="auto"/>
              </w:rPr>
            </w:pPr>
          </w:p>
        </w:tc>
        <w:tc>
          <w:tcPr>
            <w:tcW w:w="100" w:type="dxa"/>
            <w:vAlign w:val="bottom"/>
            <w:shd w:val="clear" w:color="auto" w:fill="E4B065"/>
          </w:tcPr>
          <w:p>
            <w:pPr>
              <w:spacing w:after="0"/>
              <w:rPr>
                <w:sz w:val="21"/>
                <w:szCs w:val="21"/>
                <w:color w:val="auto"/>
              </w:rPr>
            </w:pPr>
          </w:p>
        </w:tc>
        <w:tc>
          <w:tcPr>
            <w:tcW w:w="60" w:type="dxa"/>
            <w:vAlign w:val="bottom"/>
            <w:shd w:val="clear" w:color="auto" w:fill="E4B065"/>
          </w:tcPr>
          <w:p>
            <w:pPr>
              <w:spacing w:after="0"/>
              <w:rPr>
                <w:sz w:val="21"/>
                <w:szCs w:val="21"/>
                <w:color w:val="auto"/>
              </w:rPr>
            </w:pPr>
          </w:p>
        </w:tc>
        <w:tc>
          <w:tcPr>
            <w:tcW w:w="100" w:type="dxa"/>
            <w:vAlign w:val="bottom"/>
            <w:shd w:val="clear" w:color="auto" w:fill="E4B065"/>
          </w:tcPr>
          <w:p>
            <w:pPr>
              <w:spacing w:after="0"/>
              <w:rPr>
                <w:sz w:val="21"/>
                <w:szCs w:val="21"/>
                <w:color w:val="auto"/>
              </w:rPr>
            </w:pPr>
          </w:p>
        </w:tc>
        <w:tc>
          <w:tcPr>
            <w:tcW w:w="260" w:type="dxa"/>
            <w:vAlign w:val="bottom"/>
            <w:tcBorders>
              <w:right w:val="single" w:sz="8" w:color="E4B065"/>
            </w:tcBorders>
            <w:shd w:val="clear" w:color="auto" w:fill="E4B065"/>
          </w:tcPr>
          <w:p>
            <w:pPr>
              <w:spacing w:after="0"/>
              <w:rPr>
                <w:sz w:val="21"/>
                <w:szCs w:val="21"/>
                <w:color w:val="auto"/>
              </w:rPr>
            </w:pPr>
          </w:p>
        </w:tc>
        <w:tc>
          <w:tcPr>
            <w:tcW w:w="240" w:type="dxa"/>
            <w:vAlign w:val="bottom"/>
            <w:shd w:val="clear" w:color="auto" w:fill="E4B065"/>
          </w:tcPr>
          <w:p>
            <w:pPr>
              <w:spacing w:after="0"/>
              <w:rPr>
                <w:sz w:val="21"/>
                <w:szCs w:val="21"/>
                <w:color w:val="auto"/>
              </w:rPr>
            </w:pPr>
          </w:p>
        </w:tc>
        <w:tc>
          <w:tcPr>
            <w:tcW w:w="260" w:type="dxa"/>
            <w:vAlign w:val="bottom"/>
            <w:tcBorders>
              <w:right w:val="single" w:sz="8" w:color="E4B065"/>
            </w:tcBorders>
            <w:shd w:val="clear" w:color="auto" w:fill="E4B065"/>
          </w:tcPr>
          <w:p>
            <w:pPr>
              <w:spacing w:after="0"/>
              <w:rPr>
                <w:sz w:val="21"/>
                <w:szCs w:val="21"/>
                <w:color w:val="auto"/>
              </w:rPr>
            </w:pPr>
          </w:p>
        </w:tc>
        <w:tc>
          <w:tcPr>
            <w:tcW w:w="200" w:type="dxa"/>
            <w:vAlign w:val="bottom"/>
            <w:shd w:val="clear" w:color="auto" w:fill="E4B065"/>
          </w:tcPr>
          <w:p>
            <w:pPr>
              <w:spacing w:after="0"/>
              <w:rPr>
                <w:sz w:val="21"/>
                <w:szCs w:val="21"/>
                <w:color w:val="auto"/>
              </w:rPr>
            </w:pPr>
          </w:p>
        </w:tc>
        <w:tc>
          <w:tcPr>
            <w:tcW w:w="160" w:type="dxa"/>
            <w:vAlign w:val="bottom"/>
            <w:shd w:val="clear" w:color="auto" w:fill="E4B065"/>
          </w:tcPr>
          <w:p>
            <w:pPr>
              <w:spacing w:after="0"/>
              <w:rPr>
                <w:sz w:val="21"/>
                <w:szCs w:val="21"/>
                <w:color w:val="auto"/>
              </w:rPr>
            </w:pPr>
          </w:p>
        </w:tc>
        <w:tc>
          <w:tcPr>
            <w:tcW w:w="440" w:type="dxa"/>
            <w:vAlign w:val="bottom"/>
            <w:vMerge w:val="continue"/>
          </w:tcPr>
          <w:p>
            <w:pPr>
              <w:spacing w:after="0"/>
              <w:rPr>
                <w:sz w:val="21"/>
                <w:szCs w:val="21"/>
                <w:color w:val="auto"/>
              </w:rPr>
            </w:pPr>
          </w:p>
        </w:tc>
        <w:tc>
          <w:tcPr>
            <w:tcW w:w="220" w:type="dxa"/>
            <w:vAlign w:val="bottom"/>
            <w:tcBorders>
              <w:right w:val="single" w:sz="8" w:color="D9D9D9"/>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WM Composite Percentile Rank</w:t>
            </w:r>
          </w:p>
        </w:tc>
        <w:tc>
          <w:tcPr>
            <w:tcW w:w="220" w:type="dxa"/>
            <w:vAlign w:val="bottom"/>
          </w:tcPr>
          <w:p>
            <w:pPr>
              <w:spacing w:after="0"/>
              <w:rPr>
                <w:sz w:val="9"/>
                <w:szCs w:val="9"/>
                <w:color w:val="auto"/>
              </w:rPr>
            </w:pPr>
          </w:p>
        </w:tc>
        <w:tc>
          <w:tcPr>
            <w:tcW w:w="300" w:type="dxa"/>
            <w:vAlign w:val="bottom"/>
            <w:tcBorders>
              <w:right w:val="single" w:sz="8" w:color="CECECE"/>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CFCFCF"/>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right w:val="single" w:sz="8" w:color="D0D0D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right w:val="single" w:sz="8" w:color="D2D2D2"/>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D3D3D3"/>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55%</w:t>
            </w:r>
          </w:p>
        </w:tc>
        <w:tc>
          <w:tcPr>
            <w:tcW w:w="260" w:type="dxa"/>
            <w:vAlign w:val="bottom"/>
            <w:tcBorders>
              <w:right w:val="single" w:sz="8" w:color="D6D6D6"/>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220" w:type="dxa"/>
            <w:vAlign w:val="bottom"/>
            <w:tcBorders>
              <w:right w:val="single" w:sz="8" w:color="auto"/>
            </w:tcBorders>
            <w:vMerge w:val="continue"/>
          </w:tcPr>
          <w:p>
            <w:pPr>
              <w:spacing w:after="0"/>
              <w:rPr>
                <w:sz w:val="24"/>
                <w:szCs w:val="24"/>
                <w:color w:val="auto"/>
              </w:rPr>
            </w:pPr>
          </w:p>
        </w:tc>
        <w:tc>
          <w:tcPr>
            <w:tcW w:w="220" w:type="dxa"/>
            <w:vAlign w:val="bottom"/>
            <w:shd w:val="clear" w:color="auto" w:fill="6B7E65"/>
          </w:tcPr>
          <w:p>
            <w:pPr>
              <w:spacing w:after="0"/>
              <w:rPr>
                <w:sz w:val="24"/>
                <w:szCs w:val="24"/>
                <w:color w:val="auto"/>
              </w:rPr>
            </w:pPr>
          </w:p>
        </w:tc>
        <w:tc>
          <w:tcPr>
            <w:tcW w:w="300" w:type="dxa"/>
            <w:vAlign w:val="bottom"/>
            <w:tcBorders>
              <w:right w:val="single" w:sz="8" w:color="6B7E65"/>
            </w:tcBorders>
            <w:shd w:val="clear" w:color="auto" w:fill="6B7E65"/>
          </w:tcPr>
          <w:p>
            <w:pPr>
              <w:spacing w:after="0"/>
              <w:rPr>
                <w:sz w:val="24"/>
                <w:szCs w:val="24"/>
                <w:color w:val="auto"/>
              </w:rPr>
            </w:pPr>
          </w:p>
        </w:tc>
        <w:tc>
          <w:tcPr>
            <w:tcW w:w="220" w:type="dxa"/>
            <w:vAlign w:val="bottom"/>
            <w:shd w:val="clear" w:color="auto" w:fill="6B7E65"/>
          </w:tcPr>
          <w:p>
            <w:pPr>
              <w:spacing w:after="0"/>
              <w:rPr>
                <w:sz w:val="24"/>
                <w:szCs w:val="24"/>
                <w:color w:val="auto"/>
              </w:rPr>
            </w:pPr>
          </w:p>
        </w:tc>
        <w:tc>
          <w:tcPr>
            <w:tcW w:w="280" w:type="dxa"/>
            <w:vAlign w:val="bottom"/>
            <w:tcBorders>
              <w:right w:val="single" w:sz="8" w:color="6B7E65"/>
            </w:tcBorders>
            <w:shd w:val="clear" w:color="auto" w:fill="6B7E65"/>
          </w:tcPr>
          <w:p>
            <w:pPr>
              <w:spacing w:after="0"/>
              <w:rPr>
                <w:sz w:val="24"/>
                <w:szCs w:val="24"/>
                <w:color w:val="auto"/>
              </w:rPr>
            </w:pPr>
          </w:p>
        </w:tc>
        <w:tc>
          <w:tcPr>
            <w:tcW w:w="240" w:type="dxa"/>
            <w:vAlign w:val="bottom"/>
            <w:shd w:val="clear" w:color="auto" w:fill="6B7E65"/>
          </w:tcPr>
          <w:p>
            <w:pPr>
              <w:spacing w:after="0"/>
              <w:rPr>
                <w:sz w:val="24"/>
                <w:szCs w:val="24"/>
                <w:color w:val="auto"/>
              </w:rPr>
            </w:pPr>
          </w:p>
        </w:tc>
        <w:tc>
          <w:tcPr>
            <w:tcW w:w="280" w:type="dxa"/>
            <w:vAlign w:val="bottom"/>
            <w:tcBorders>
              <w:right w:val="single" w:sz="8" w:color="6B7E65"/>
            </w:tcBorders>
            <w:shd w:val="clear" w:color="auto" w:fill="6B7E65"/>
          </w:tcPr>
          <w:p>
            <w:pPr>
              <w:spacing w:after="0"/>
              <w:rPr>
                <w:sz w:val="24"/>
                <w:szCs w:val="24"/>
                <w:color w:val="auto"/>
              </w:rPr>
            </w:pPr>
          </w:p>
        </w:tc>
        <w:tc>
          <w:tcPr>
            <w:tcW w:w="220" w:type="dxa"/>
            <w:vAlign w:val="bottom"/>
            <w:shd w:val="clear" w:color="auto" w:fill="6B7E65"/>
          </w:tcPr>
          <w:p>
            <w:pPr>
              <w:spacing w:after="0"/>
              <w:rPr>
                <w:sz w:val="24"/>
                <w:szCs w:val="24"/>
                <w:color w:val="auto"/>
              </w:rPr>
            </w:pPr>
          </w:p>
        </w:tc>
        <w:tc>
          <w:tcPr>
            <w:tcW w:w="280" w:type="dxa"/>
            <w:vAlign w:val="bottom"/>
            <w:tcBorders>
              <w:right w:val="single" w:sz="8" w:color="6B7E65"/>
            </w:tcBorders>
            <w:shd w:val="clear" w:color="auto" w:fill="6B7E65"/>
          </w:tcPr>
          <w:p>
            <w:pPr>
              <w:spacing w:after="0"/>
              <w:rPr>
                <w:sz w:val="24"/>
                <w:szCs w:val="24"/>
                <w:color w:val="auto"/>
              </w:rPr>
            </w:pPr>
          </w:p>
        </w:tc>
        <w:tc>
          <w:tcPr>
            <w:tcW w:w="100" w:type="dxa"/>
            <w:vAlign w:val="bottom"/>
            <w:shd w:val="clear" w:color="auto" w:fill="6B7E65"/>
          </w:tcPr>
          <w:p>
            <w:pPr>
              <w:spacing w:after="0"/>
              <w:rPr>
                <w:sz w:val="24"/>
                <w:szCs w:val="24"/>
                <w:color w:val="auto"/>
              </w:rPr>
            </w:pPr>
          </w:p>
        </w:tc>
        <w:tc>
          <w:tcPr>
            <w:tcW w:w="40" w:type="dxa"/>
            <w:vAlign w:val="bottom"/>
            <w:shd w:val="clear" w:color="auto" w:fill="6B7E65"/>
          </w:tcPr>
          <w:p>
            <w:pPr>
              <w:spacing w:after="0"/>
              <w:rPr>
                <w:sz w:val="24"/>
                <w:szCs w:val="24"/>
                <w:color w:val="auto"/>
              </w:rPr>
            </w:pPr>
          </w:p>
        </w:tc>
        <w:tc>
          <w:tcPr>
            <w:tcW w:w="360" w:type="dxa"/>
            <w:vAlign w:val="bottom"/>
            <w:tcBorders>
              <w:right w:val="single" w:sz="8" w:color="6B7E65"/>
            </w:tcBorders>
            <w:shd w:val="clear" w:color="auto" w:fill="6B7E65"/>
          </w:tcPr>
          <w:p>
            <w:pPr>
              <w:spacing w:after="0"/>
              <w:rPr>
                <w:sz w:val="24"/>
                <w:szCs w:val="24"/>
                <w:color w:val="auto"/>
              </w:rPr>
            </w:pPr>
          </w:p>
        </w:tc>
        <w:tc>
          <w:tcPr>
            <w:tcW w:w="100" w:type="dxa"/>
            <w:vAlign w:val="bottom"/>
            <w:shd w:val="clear" w:color="auto" w:fill="6B7E65"/>
          </w:tcPr>
          <w:p>
            <w:pPr>
              <w:spacing w:after="0"/>
              <w:rPr>
                <w:sz w:val="24"/>
                <w:szCs w:val="24"/>
                <w:color w:val="auto"/>
              </w:rPr>
            </w:pPr>
          </w:p>
        </w:tc>
        <w:tc>
          <w:tcPr>
            <w:tcW w:w="60" w:type="dxa"/>
            <w:vAlign w:val="bottom"/>
            <w:shd w:val="clear" w:color="auto" w:fill="6B7E65"/>
          </w:tcPr>
          <w:p>
            <w:pPr>
              <w:spacing w:after="0"/>
              <w:rPr>
                <w:sz w:val="24"/>
                <w:szCs w:val="24"/>
                <w:color w:val="auto"/>
              </w:rPr>
            </w:pPr>
          </w:p>
        </w:tc>
        <w:tc>
          <w:tcPr>
            <w:tcW w:w="100" w:type="dxa"/>
            <w:vAlign w:val="bottom"/>
            <w:shd w:val="clear" w:color="auto" w:fill="6B7E65"/>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260" w:type="dxa"/>
            <w:vAlign w:val="bottom"/>
            <w:tcBorders>
              <w:right w:val="single" w:sz="8" w:color="D6D6D6"/>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D9D9D9"/>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20" w:type="dxa"/>
            <w:vAlign w:val="bottom"/>
            <w:tcBorders>
              <w:right w:val="single" w:sz="8" w:color="CCCCC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D6D6D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D9D9D9"/>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4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10%</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20%</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40%</w:t>
            </w: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50%</w:t>
            </w:r>
          </w:p>
        </w:tc>
        <w:tc>
          <w:tcPr>
            <w:tcW w:w="600" w:type="dxa"/>
            <w:vAlign w:val="bottom"/>
            <w:gridSpan w:val="3"/>
          </w:tcPr>
          <w:p>
            <w:pPr>
              <w:jc w:val="right"/>
              <w:ind w:right="100"/>
              <w:spacing w:after="0"/>
              <w:rPr>
                <w:sz w:val="20"/>
                <w:szCs w:val="20"/>
                <w:color w:val="auto"/>
              </w:rPr>
            </w:pPr>
            <w:r>
              <w:rPr>
                <w:rFonts w:ascii="Arial" w:cs="Arial" w:eastAsia="Arial" w:hAnsi="Arial"/>
                <w:sz w:val="15"/>
                <w:szCs w:val="15"/>
                <w:color w:val="auto"/>
              </w:rPr>
              <w:t>60%</w:t>
            </w: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70%</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80%</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-1741170</wp:posOffset>
            </wp:positionV>
            <wp:extent cx="2910205" cy="1539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2">
                      <a:extLst>
                        <a:ext uri="{28A0092B-C50C-407E-A947-70E740481C1C}"/>
                      </a:extLst>
                    </a:blip>
                    <a:srcRect/>
                    <a:stretch>
                      <a:fillRect/>
                    </a:stretch>
                  </pic:blipFill>
                  <pic:spPr bwMode="auto">
                    <a:xfrm>
                      <a:off x="0" y="0"/>
                      <a:ext cx="2910205" cy="1539875"/>
                    </a:xfrm>
                    <a:prstGeom prst="rect">
                      <a:avLst/>
                    </a:prstGeom>
                    <a:noFill/>
                  </pic:spPr>
                </pic:pic>
              </a:graphicData>
            </a:graphic>
          </wp:anchor>
        </w:drawing>
      </w:r>
    </w:p>
    <w:p>
      <w:pPr>
        <w:spacing w:after="0" w:line="20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20 Company Comparison Group</w:t>
      </w:r>
    </w:p>
    <w:p>
      <w:pPr>
        <w:spacing w:after="0" w:line="71" w:lineRule="exact"/>
        <w:rPr>
          <w:sz w:val="20"/>
          <w:szCs w:val="20"/>
          <w:color w:val="auto"/>
        </w:rPr>
      </w:pPr>
    </w:p>
    <w:tbl>
      <w:tblPr>
        <w:tblLayout w:type="fixed"/>
        <w:tblInd w:w="2260" w:type="dxa"/>
        <w:tblCellMar>
          <w:top w:w="0" w:type="dxa"/>
          <w:left w:w="0" w:type="dxa"/>
          <w:bottom w:w="0" w:type="dxa"/>
          <w:right w:w="0" w:type="dxa"/>
        </w:tblCellMar>
      </w:tblPr>
      <w:tr>
        <w:trPr>
          <w:trHeight w:val="201"/>
        </w:trPr>
        <w:tc>
          <w:tcPr>
            <w:tcW w:w="1820" w:type="dxa"/>
            <w:vAlign w:val="bottom"/>
          </w:tcPr>
          <w:p>
            <w:pPr>
              <w:spacing w:after="0"/>
              <w:rPr>
                <w:sz w:val="20"/>
                <w:szCs w:val="20"/>
                <w:color w:val="auto"/>
              </w:rPr>
            </w:pPr>
            <w:r>
              <w:rPr>
                <w:rFonts w:ascii="Arial" w:cs="Arial" w:eastAsia="Arial" w:hAnsi="Arial"/>
                <w:sz w:val="15"/>
                <w:szCs w:val="15"/>
                <w:color w:val="0C3D25"/>
              </w:rPr>
              <w:t>American Electric Power</w:t>
            </w:r>
          </w:p>
        </w:tc>
        <w:tc>
          <w:tcPr>
            <w:tcW w:w="2260" w:type="dxa"/>
            <w:vAlign w:val="bottom"/>
          </w:tcPr>
          <w:p>
            <w:pPr>
              <w:ind w:left="160"/>
              <w:spacing w:after="0"/>
              <w:rPr>
                <w:sz w:val="20"/>
                <w:szCs w:val="20"/>
                <w:color w:val="auto"/>
              </w:rPr>
            </w:pPr>
            <w:r>
              <w:rPr>
                <w:rFonts w:ascii="Arial" w:cs="Arial" w:eastAsia="Arial" w:hAnsi="Arial"/>
                <w:sz w:val="15"/>
                <w:szCs w:val="15"/>
                <w:color w:val="0C3D25"/>
              </w:rPr>
              <w:t>Halliburton</w:t>
            </w:r>
          </w:p>
        </w:tc>
        <w:tc>
          <w:tcPr>
            <w:tcW w:w="1460" w:type="dxa"/>
            <w:vAlign w:val="bottom"/>
          </w:tcPr>
          <w:p>
            <w:pPr>
              <w:ind w:left="140"/>
              <w:spacing w:after="0"/>
              <w:rPr>
                <w:sz w:val="20"/>
                <w:szCs w:val="20"/>
                <w:color w:val="auto"/>
              </w:rPr>
            </w:pPr>
            <w:r>
              <w:rPr>
                <w:rFonts w:ascii="Arial" w:cs="Arial" w:eastAsia="Arial" w:hAnsi="Arial"/>
                <w:sz w:val="15"/>
                <w:szCs w:val="15"/>
                <w:color w:val="0C3D25"/>
              </w:rPr>
              <w:t>Southern</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Avis Budget</w:t>
            </w:r>
          </w:p>
        </w:tc>
        <w:tc>
          <w:tcPr>
            <w:tcW w:w="2260" w:type="dxa"/>
            <w:vAlign w:val="bottom"/>
          </w:tcPr>
          <w:p>
            <w:pPr>
              <w:ind w:left="160"/>
              <w:spacing w:after="0"/>
              <w:rPr>
                <w:sz w:val="20"/>
                <w:szCs w:val="20"/>
                <w:color w:val="auto"/>
              </w:rPr>
            </w:pPr>
            <w:r>
              <w:rPr>
                <w:rFonts w:ascii="Arial" w:cs="Arial" w:eastAsia="Arial" w:hAnsi="Arial"/>
                <w:sz w:val="15"/>
                <w:szCs w:val="15"/>
                <w:color w:val="0C3D25"/>
              </w:rPr>
              <w:t>J.B. Hunt Transport Services</w:t>
            </w:r>
          </w:p>
        </w:tc>
        <w:tc>
          <w:tcPr>
            <w:tcW w:w="1460" w:type="dxa"/>
            <w:vAlign w:val="bottom"/>
          </w:tcPr>
          <w:p>
            <w:pPr>
              <w:ind w:left="140"/>
              <w:spacing w:after="0"/>
              <w:rPr>
                <w:sz w:val="20"/>
                <w:szCs w:val="20"/>
                <w:color w:val="auto"/>
              </w:rPr>
            </w:pPr>
            <w:r>
              <w:rPr>
                <w:rFonts w:ascii="Arial" w:cs="Arial" w:eastAsia="Arial" w:hAnsi="Arial"/>
                <w:sz w:val="15"/>
                <w:szCs w:val="15"/>
                <w:color w:val="0C3D25"/>
              </w:rPr>
              <w:t>Southwest Airlines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C.H. Robinson WW</w:t>
            </w:r>
          </w:p>
        </w:tc>
        <w:tc>
          <w:tcPr>
            <w:tcW w:w="2260" w:type="dxa"/>
            <w:vAlign w:val="bottom"/>
          </w:tcPr>
          <w:p>
            <w:pPr>
              <w:ind w:left="160"/>
              <w:spacing w:after="0"/>
              <w:rPr>
                <w:sz w:val="20"/>
                <w:szCs w:val="20"/>
                <w:color w:val="auto"/>
              </w:rPr>
            </w:pPr>
            <w:r>
              <w:rPr>
                <w:rFonts w:ascii="Arial" w:cs="Arial" w:eastAsia="Arial" w:hAnsi="Arial"/>
                <w:sz w:val="15"/>
                <w:szCs w:val="15"/>
                <w:color w:val="0C3D25"/>
              </w:rPr>
              <w:t>NextEra Energy</w:t>
            </w:r>
          </w:p>
        </w:tc>
        <w:tc>
          <w:tcPr>
            <w:tcW w:w="1460" w:type="dxa"/>
            <w:vAlign w:val="bottom"/>
          </w:tcPr>
          <w:p>
            <w:pPr>
              <w:ind w:left="140"/>
              <w:spacing w:after="0"/>
              <w:rPr>
                <w:sz w:val="20"/>
                <w:szCs w:val="20"/>
                <w:color w:val="auto"/>
              </w:rPr>
            </w:pPr>
            <w:r>
              <w:rPr>
                <w:rFonts w:ascii="Arial" w:cs="Arial" w:eastAsia="Arial" w:hAnsi="Arial"/>
                <w:sz w:val="15"/>
                <w:szCs w:val="15"/>
                <w:color w:val="0C3D25"/>
              </w:rPr>
              <w:t>Sysco</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CSX</w:t>
            </w:r>
          </w:p>
        </w:tc>
        <w:tc>
          <w:tcPr>
            <w:tcW w:w="2260" w:type="dxa"/>
            <w:vAlign w:val="bottom"/>
          </w:tcPr>
          <w:p>
            <w:pPr>
              <w:ind w:left="160"/>
              <w:spacing w:after="0"/>
              <w:rPr>
                <w:sz w:val="20"/>
                <w:szCs w:val="20"/>
                <w:color w:val="auto"/>
              </w:rPr>
            </w:pPr>
            <w:r>
              <w:rPr>
                <w:rFonts w:ascii="Arial" w:cs="Arial" w:eastAsia="Arial" w:hAnsi="Arial"/>
                <w:sz w:val="15"/>
                <w:szCs w:val="15"/>
                <w:color w:val="0C3D25"/>
              </w:rPr>
              <w:t>Norfolk Southern</w:t>
            </w:r>
          </w:p>
        </w:tc>
        <w:tc>
          <w:tcPr>
            <w:tcW w:w="1460" w:type="dxa"/>
            <w:vAlign w:val="bottom"/>
          </w:tcPr>
          <w:p>
            <w:pPr>
              <w:ind w:left="140"/>
              <w:spacing w:after="0"/>
              <w:rPr>
                <w:sz w:val="20"/>
                <w:szCs w:val="20"/>
                <w:color w:val="auto"/>
              </w:rPr>
            </w:pPr>
            <w:r>
              <w:rPr>
                <w:rFonts w:ascii="Arial" w:cs="Arial" w:eastAsia="Arial" w:hAnsi="Arial"/>
                <w:sz w:val="15"/>
                <w:szCs w:val="15"/>
                <w:color w:val="0C3D25"/>
              </w:rPr>
              <w:t>Union Pacific</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Entergy</w:t>
            </w:r>
          </w:p>
        </w:tc>
        <w:tc>
          <w:tcPr>
            <w:tcW w:w="2260" w:type="dxa"/>
            <w:vAlign w:val="bottom"/>
          </w:tcPr>
          <w:p>
            <w:pPr>
              <w:ind w:left="160"/>
              <w:spacing w:after="0"/>
              <w:rPr>
                <w:sz w:val="20"/>
                <w:szCs w:val="20"/>
                <w:color w:val="auto"/>
              </w:rPr>
            </w:pPr>
            <w:r>
              <w:rPr>
                <w:rFonts w:ascii="Arial" w:cs="Arial" w:eastAsia="Arial" w:hAnsi="Arial"/>
                <w:sz w:val="15"/>
                <w:szCs w:val="15"/>
                <w:color w:val="0C3D25"/>
              </w:rPr>
              <w:t>Republic Services</w:t>
            </w:r>
          </w:p>
        </w:tc>
        <w:tc>
          <w:tcPr>
            <w:tcW w:w="1460" w:type="dxa"/>
            <w:vAlign w:val="bottom"/>
          </w:tcPr>
          <w:p>
            <w:pPr>
              <w:ind w:left="140"/>
              <w:spacing w:after="0"/>
              <w:rPr>
                <w:sz w:val="20"/>
                <w:szCs w:val="20"/>
                <w:color w:val="auto"/>
              </w:rPr>
            </w:pPr>
            <w:r>
              <w:rPr>
                <w:rFonts w:ascii="Arial" w:cs="Arial" w:eastAsia="Arial" w:hAnsi="Arial"/>
                <w:sz w:val="15"/>
                <w:szCs w:val="15"/>
                <w:color w:val="0C3D25"/>
              </w:rPr>
              <w:t>UPS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FedEx</w:t>
            </w:r>
          </w:p>
        </w:tc>
        <w:tc>
          <w:tcPr>
            <w:tcW w:w="2260" w:type="dxa"/>
            <w:vAlign w:val="bottom"/>
          </w:tcPr>
          <w:p>
            <w:pPr>
              <w:ind w:left="160"/>
              <w:spacing w:after="0"/>
              <w:rPr>
                <w:sz w:val="20"/>
                <w:szCs w:val="20"/>
                <w:color w:val="auto"/>
              </w:rPr>
            </w:pPr>
            <w:r>
              <w:rPr>
                <w:rFonts w:ascii="Arial" w:cs="Arial" w:eastAsia="Arial" w:hAnsi="Arial"/>
                <w:sz w:val="15"/>
                <w:szCs w:val="15"/>
                <w:color w:val="0C3D25"/>
              </w:rPr>
              <w:t>Ryder System</w:t>
            </w:r>
          </w:p>
        </w:tc>
        <w:tc>
          <w:tcPr>
            <w:tcW w:w="1460" w:type="dxa"/>
            <w:vAlign w:val="bottom"/>
          </w:tcPr>
          <w:p>
            <w:pPr>
              <w:ind w:left="140"/>
              <w:spacing w:after="0"/>
              <w:rPr>
                <w:sz w:val="20"/>
                <w:szCs w:val="20"/>
                <w:color w:val="auto"/>
              </w:rPr>
            </w:pPr>
            <w:r>
              <w:rPr>
                <w:rFonts w:ascii="Arial" w:cs="Arial" w:eastAsia="Arial" w:hAnsi="Arial"/>
                <w:sz w:val="15"/>
                <w:szCs w:val="15"/>
                <w:color w:val="0C3D25"/>
                <w:w w:val="99"/>
              </w:rPr>
              <w:t>Waste Connections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Grainger (WW)</w:t>
            </w:r>
          </w:p>
        </w:tc>
        <w:tc>
          <w:tcPr>
            <w:tcW w:w="2260" w:type="dxa"/>
            <w:vAlign w:val="bottom"/>
          </w:tcPr>
          <w:p>
            <w:pPr>
              <w:ind w:left="160"/>
              <w:spacing w:after="0"/>
              <w:rPr>
                <w:sz w:val="20"/>
                <w:szCs w:val="20"/>
                <w:color w:val="auto"/>
              </w:rPr>
            </w:pPr>
            <w:r>
              <w:rPr>
                <w:rFonts w:ascii="Arial" w:cs="Arial" w:eastAsia="Arial" w:hAnsi="Arial"/>
                <w:sz w:val="15"/>
                <w:szCs w:val="15"/>
                <w:color w:val="0C3D25"/>
              </w:rPr>
              <w:t>Schlumberger</w:t>
            </w:r>
          </w:p>
        </w:tc>
        <w:tc>
          <w:tcPr>
            <w:tcW w:w="1460" w:type="dxa"/>
            <w:vAlign w:val="bottom"/>
          </w:tcPr>
          <w:p>
            <w:pPr>
              <w:spacing w:after="0"/>
              <w:rPr>
                <w:sz w:val="20"/>
                <w:szCs w:val="20"/>
                <w:color w:val="auto"/>
              </w:rPr>
            </w:pPr>
          </w:p>
        </w:tc>
      </w:tr>
      <w:tr>
        <w:trPr>
          <w:trHeight w:val="22"/>
        </w:trPr>
        <w:tc>
          <w:tcPr>
            <w:tcW w:w="1820" w:type="dxa"/>
            <w:vAlign w:val="bottom"/>
            <w:tcBorders>
              <w:bottom w:val="single" w:sz="8" w:color="0C3D25"/>
            </w:tcBorders>
          </w:tcPr>
          <w:p>
            <w:pPr>
              <w:spacing w:after="0" w:line="20" w:lineRule="exact"/>
              <w:rPr>
                <w:sz w:val="1"/>
                <w:szCs w:val="1"/>
                <w:color w:val="auto"/>
              </w:rPr>
            </w:pPr>
          </w:p>
        </w:tc>
        <w:tc>
          <w:tcPr>
            <w:tcW w:w="2260" w:type="dxa"/>
            <w:vAlign w:val="bottom"/>
            <w:tcBorders>
              <w:bottom w:val="single" w:sz="8" w:color="0C3D25"/>
            </w:tcBorders>
          </w:tcPr>
          <w:p>
            <w:pPr>
              <w:spacing w:after="0" w:line="20" w:lineRule="exact"/>
              <w:rPr>
                <w:sz w:val="1"/>
                <w:szCs w:val="1"/>
                <w:color w:val="auto"/>
              </w:rPr>
            </w:pPr>
          </w:p>
        </w:tc>
        <w:tc>
          <w:tcPr>
            <w:tcW w:w="1460" w:type="dxa"/>
            <w:vAlign w:val="bottom"/>
            <w:tcBorders>
              <w:bottom w:val="single" w:sz="8" w:color="0C3D25"/>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u w:val="single" w:color="auto"/>
          <w:color w:val="auto"/>
        </w:rPr>
        <w:t>Allocation of Compensation Elements and Tally Sheets.</w:t>
      </w:r>
      <w:r>
        <w:rPr>
          <w:rFonts w:ascii="Arial" w:cs="Arial" w:eastAsia="Arial" w:hAnsi="Arial"/>
          <w:sz w:val="20"/>
          <w:szCs w:val="20"/>
          <w:i w:val="1"/>
          <w:iCs w:val="1"/>
          <w:color w:val="auto"/>
        </w:rPr>
        <w:t xml:space="preserve"> </w:t>
      </w:r>
      <w:r>
        <w:rPr>
          <w:rFonts w:ascii="Arial" w:cs="Arial" w:eastAsia="Arial" w:hAnsi="Arial"/>
          <w:sz w:val="20"/>
          <w:szCs w:val="20"/>
          <w:color w:val="auto"/>
        </w:rPr>
        <w:t>The MD&amp;C Committee considers the forms in which total</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following charts display the allocation of total 2025 target compensation among base salary, annual cash incentive and annual long-term equity awards, as established in connection with the MD&amp;C Committee’s annual compensation setting process in February 2025 (before the mid-year promotional and retention awards) for (a) our Chief Executive Officer and (b) our other named executives, on average (not including Mr. Reed who was not serving as an executive officer in February 2025). These charts depict the MD&amp;C Committee’s 2025 desired total mix of target compensation for named executives and reflect that a substantial majority of executive compensation is linked to Company performance,</w:t>
      </w:r>
    </w:p>
    <w:p>
      <w:pPr>
        <w:spacing w:after="0" w:line="200" w:lineRule="exact"/>
        <w:rPr>
          <w:sz w:val="20"/>
          <w:szCs w:val="20"/>
          <w:color w:val="auto"/>
        </w:rPr>
      </w:pP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6" w:name="page47"/>
    <w:bookmarkEnd w:id="46"/>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through annual cash incentive performance criteria and long-term equity-based incentive awards. We consider stock options granted under our long-term incentive plan to be performance-based because their value will increase as the market value of our Common Stock increases.</w:t>
      </w:r>
    </w:p>
    <w:p>
      <w:pPr>
        <w:spacing w:after="0" w:line="144" w:lineRule="exact"/>
        <w:rPr>
          <w:sz w:val="20"/>
          <w:szCs w:val="20"/>
          <w:color w:val="auto"/>
        </w:rPr>
      </w:pPr>
    </w:p>
    <w:p>
      <w:pPr>
        <w:ind w:left="1740"/>
        <w:spacing w:after="0"/>
        <w:tabs>
          <w:tab w:leader="none" w:pos="5680" w:val="left"/>
        </w:tabs>
        <w:rPr>
          <w:sz w:val="20"/>
          <w:szCs w:val="20"/>
          <w:color w:val="auto"/>
        </w:rPr>
      </w:pPr>
      <w:r>
        <w:rPr>
          <w:rFonts w:ascii="Arial" w:cs="Arial" w:eastAsia="Arial" w:hAnsi="Arial"/>
          <w:sz w:val="19"/>
          <w:szCs w:val="19"/>
          <w:b w:val="1"/>
          <w:bCs w:val="1"/>
          <w:color w:val="auto"/>
        </w:rPr>
        <w:t>Chief Executive Officer</w:t>
      </w:r>
      <w:r>
        <w:rPr>
          <w:sz w:val="20"/>
          <w:szCs w:val="20"/>
          <w:color w:val="auto"/>
        </w:rPr>
        <w:tab/>
      </w:r>
      <w:r>
        <w:rPr>
          <w:rFonts w:ascii="Arial" w:cs="Arial" w:eastAsia="Arial" w:hAnsi="Arial"/>
          <w:sz w:val="18"/>
          <w:szCs w:val="18"/>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32385</wp:posOffset>
            </wp:positionV>
            <wp:extent cx="5727700"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5">
                      <a:extLst>
                        <a:ext uri="{28A0092B-C50C-407E-A947-70E740481C1C}"/>
                      </a:extLst>
                    </a:blip>
                    <a:srcRect/>
                    <a:stretch>
                      <a:fillRect/>
                    </a:stretch>
                  </pic:blipFill>
                  <pic:spPr bwMode="auto">
                    <a:xfrm>
                      <a:off x="0" y="0"/>
                      <a:ext cx="5727700" cy="12700"/>
                    </a:xfrm>
                    <a:prstGeom prst="rect">
                      <a:avLst/>
                    </a:prstGeom>
                    <a:noFill/>
                  </pic:spPr>
                </pic:pic>
              </a:graphicData>
            </a:graphic>
          </wp:anchor>
        </w:drawing>
      </w:r>
    </w:p>
    <w:p>
      <w:pPr>
        <w:spacing w:after="0" w:line="169" w:lineRule="exact"/>
        <w:rPr>
          <w:sz w:val="20"/>
          <w:szCs w:val="20"/>
          <w:color w:val="auto"/>
        </w:rPr>
      </w:pPr>
    </w:p>
    <w:tbl>
      <w:tblPr>
        <w:tblLayout w:type="fixed"/>
        <w:tblInd w:w="760" w:type="dxa"/>
        <w:tblCellMar>
          <w:top w:w="0" w:type="dxa"/>
          <w:left w:w="0" w:type="dxa"/>
          <w:bottom w:w="0" w:type="dxa"/>
          <w:right w:w="0" w:type="dxa"/>
        </w:tblCellMar>
      </w:tblPr>
      <w:tr>
        <w:trPr>
          <w:trHeight w:val="263"/>
        </w:trPr>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20"/>
                <w:szCs w:val="20"/>
                <w:color w:val="auto"/>
              </w:rPr>
              <w:t>9%</w:t>
            </w:r>
          </w:p>
        </w:tc>
        <w:tc>
          <w:tcPr>
            <w:tcW w:w="4360" w:type="dxa"/>
            <w:vAlign w:val="bottom"/>
            <w:gridSpan w:val="9"/>
          </w:tcPr>
          <w:p>
            <w:pPr>
              <w:ind w:left="312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ind w:left="20"/>
              <w:spacing w:after="0" w:line="144" w:lineRule="exact"/>
              <w:rPr>
                <w:sz w:val="20"/>
                <w:szCs w:val="20"/>
                <w:color w:val="auto"/>
              </w:rPr>
            </w:pPr>
            <w:r>
              <w:rPr>
                <w:rFonts w:ascii="Arial" w:cs="Arial" w:eastAsia="Arial" w:hAnsi="Arial"/>
                <w:sz w:val="16"/>
                <w:szCs w:val="16"/>
                <w:color w:val="auto"/>
              </w:rPr>
              <w:t>Base Salary</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76"/>
        </w:trPr>
        <w:tc>
          <w:tcPr>
            <w:tcW w:w="4360" w:type="dxa"/>
            <w:vAlign w:val="bottom"/>
            <w:gridSpan w:val="9"/>
            <w:vMerge w:val="restart"/>
          </w:tcPr>
          <w:p>
            <w:pPr>
              <w:ind w:left="3120"/>
              <w:spacing w:after="0"/>
              <w:rPr>
                <w:sz w:val="20"/>
                <w:szCs w:val="20"/>
                <w:color w:val="auto"/>
              </w:rPr>
            </w:pPr>
            <w:r>
              <w:rPr>
                <w:rFonts w:ascii="Arial" w:cs="Arial" w:eastAsia="Arial" w:hAnsi="Arial"/>
                <w:sz w:val="20"/>
                <w:szCs w:val="20"/>
                <w:color w:val="auto"/>
              </w:rPr>
              <w:t>15%</w:t>
            </w: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360" w:type="dxa"/>
            <w:vAlign w:val="bottom"/>
            <w:gridSpan w:val="9"/>
            <w:vMerge w:val="continue"/>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Annual Cash</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ind w:left="2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41"/>
        </w:trPr>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line="141" w:lineRule="exact"/>
              <w:rPr>
                <w:sz w:val="20"/>
                <w:szCs w:val="20"/>
                <w:color w:val="auto"/>
              </w:rPr>
            </w:pPr>
            <w:r>
              <w:rPr>
                <w:rFonts w:ascii="Arial" w:cs="Arial" w:eastAsia="Arial" w:hAnsi="Arial"/>
                <w:sz w:val="16"/>
                <w:szCs w:val="16"/>
                <w:color w:val="auto"/>
              </w:rPr>
              <w:t>Incentive</w:t>
            </w:r>
          </w:p>
        </w:tc>
        <w:tc>
          <w:tcPr>
            <w:tcW w:w="2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400" w:type="dxa"/>
            <w:vAlign w:val="bottom"/>
            <w:tcBorders>
              <w:bottom w:val="single" w:sz="8" w:color="auto"/>
            </w:tcBorders>
            <w:gridSpan w:val="2"/>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Annual Cash</w:t>
            </w:r>
          </w:p>
        </w:tc>
        <w:tc>
          <w:tcPr>
            <w:tcW w:w="0" w:type="dxa"/>
            <w:vAlign w:val="bottom"/>
          </w:tcPr>
          <w:p>
            <w:pPr>
              <w:spacing w:after="0"/>
              <w:rPr>
                <w:sz w:val="1"/>
                <w:szCs w:val="1"/>
                <w:color w:val="auto"/>
              </w:rPr>
            </w:pPr>
          </w:p>
        </w:tc>
      </w:tr>
      <w:tr>
        <w:trPr>
          <w:trHeight w:val="211"/>
        </w:trPr>
        <w:tc>
          <w:tcPr>
            <w:tcW w:w="600" w:type="dxa"/>
            <w:vAlign w:val="bottom"/>
            <w:vMerge w:val="restart"/>
          </w:tcPr>
          <w:p>
            <w:pPr>
              <w:spacing w:after="0"/>
              <w:rPr>
                <w:sz w:val="20"/>
                <w:szCs w:val="20"/>
                <w:color w:val="auto"/>
              </w:rPr>
            </w:pPr>
            <w:r>
              <w:rPr>
                <w:rFonts w:ascii="Arial" w:cs="Arial" w:eastAsia="Arial" w:hAnsi="Arial"/>
                <w:sz w:val="20"/>
                <w:szCs w:val="20"/>
                <w:color w:val="auto"/>
              </w:rPr>
              <w:t>76%</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vMerge w:val="restart"/>
          </w:tcPr>
          <w:p>
            <w:pPr>
              <w:ind w:left="240"/>
              <w:spacing w:after="0"/>
              <w:rPr>
                <w:sz w:val="20"/>
                <w:szCs w:val="20"/>
                <w:color w:val="auto"/>
              </w:rPr>
            </w:pPr>
            <w:r>
              <w:rPr>
                <w:rFonts w:ascii="Arial" w:cs="Arial" w:eastAsia="Arial" w:hAnsi="Arial"/>
                <w:sz w:val="20"/>
                <w:szCs w:val="20"/>
                <w:color w:val="auto"/>
              </w:rPr>
              <w:t>60%</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Incentive</w:t>
            </w:r>
          </w:p>
        </w:tc>
        <w:tc>
          <w:tcPr>
            <w:tcW w:w="0" w:type="dxa"/>
            <w:vAlign w:val="bottom"/>
          </w:tcPr>
          <w:p>
            <w:pPr>
              <w:spacing w:after="0"/>
              <w:rPr>
                <w:sz w:val="1"/>
                <w:szCs w:val="1"/>
                <w:color w:val="auto"/>
              </w:rPr>
            </w:pPr>
          </w:p>
        </w:tc>
      </w:tr>
      <w:tr>
        <w:trPr>
          <w:trHeight w:val="77"/>
        </w:trPr>
        <w:tc>
          <w:tcPr>
            <w:tcW w:w="600" w:type="dxa"/>
            <w:vAlign w:val="bottom"/>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360" w:type="dxa"/>
            <w:vAlign w:val="bottom"/>
            <w:gridSpan w:val="9"/>
          </w:tcPr>
          <w:p>
            <w:pPr>
              <w:spacing w:after="0"/>
              <w:rPr>
                <w:sz w:val="20"/>
                <w:szCs w:val="20"/>
                <w:color w:val="auto"/>
              </w:rPr>
            </w:pPr>
            <w:r>
              <w:rPr>
                <w:rFonts w:ascii="Arial" w:cs="Arial" w:eastAsia="Arial" w:hAnsi="Arial"/>
                <w:sz w:val="16"/>
                <w:szCs w:val="16"/>
                <w:color w:val="auto"/>
              </w:rPr>
              <w:t>Long-Term</w:t>
            </w:r>
          </w:p>
        </w:tc>
        <w:tc>
          <w:tcPr>
            <w:tcW w:w="4360" w:type="dxa"/>
            <w:vAlign w:val="bottom"/>
            <w:gridSpan w:val="9"/>
          </w:tcPr>
          <w:p>
            <w:pPr>
              <w:ind w:left="24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62"/>
        </w:trPr>
        <w:tc>
          <w:tcPr>
            <w:tcW w:w="1980" w:type="dxa"/>
            <w:vAlign w:val="bottom"/>
            <w:gridSpan w:val="3"/>
            <w:vMerge w:val="restart"/>
          </w:tcPr>
          <w:p>
            <w:pPr>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2360" w:type="dxa"/>
            <w:vAlign w:val="bottom"/>
            <w:gridSpan w:val="5"/>
            <w:vMerge w:val="restart"/>
          </w:tcPr>
          <w:p>
            <w:pPr>
              <w:spacing w:after="0"/>
              <w:rPr>
                <w:sz w:val="5"/>
                <w:szCs w:val="5"/>
                <w:color w:val="auto"/>
              </w:rPr>
            </w:pPr>
          </w:p>
        </w:tc>
        <w:tc>
          <w:tcPr>
            <w:tcW w:w="2240" w:type="dxa"/>
            <w:vAlign w:val="bottom"/>
            <w:gridSpan w:val="3"/>
            <w:vMerge w:val="restart"/>
          </w:tcPr>
          <w:p>
            <w:pPr>
              <w:ind w:left="240"/>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2100" w:type="dxa"/>
            <w:vAlign w:val="bottom"/>
            <w:gridSpan w:val="5"/>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98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60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36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00" w:type="dxa"/>
            <w:vAlign w:val="bottom"/>
          </w:tcPr>
          <w:p>
            <w:pPr>
              <w:spacing w:after="0"/>
              <w:rPr>
                <w:sz w:val="24"/>
                <w:szCs w:val="24"/>
                <w:color w:val="auto"/>
              </w:rPr>
            </w:pPr>
          </w:p>
        </w:tc>
        <w:tc>
          <w:tcPr>
            <w:tcW w:w="3760" w:type="dxa"/>
            <w:vAlign w:val="bottom"/>
            <w:gridSpan w:val="8"/>
          </w:tcPr>
          <w:p>
            <w:pPr>
              <w:ind w:left="220"/>
              <w:spacing w:after="0"/>
              <w:rPr>
                <w:sz w:val="20"/>
                <w:szCs w:val="20"/>
                <w:color w:val="auto"/>
              </w:rPr>
            </w:pPr>
            <w:r>
              <w:rPr>
                <w:rFonts w:ascii="Arial" w:cs="Arial" w:eastAsia="Arial" w:hAnsi="Arial"/>
                <w:sz w:val="20"/>
                <w:szCs w:val="20"/>
                <w:color w:val="auto"/>
              </w:rPr>
              <w:t>91</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860" w:type="dxa"/>
            <w:vAlign w:val="bottom"/>
          </w:tcPr>
          <w:p>
            <w:pPr>
              <w:spacing w:after="0"/>
              <w:rPr>
                <w:sz w:val="24"/>
                <w:szCs w:val="24"/>
                <w:color w:val="auto"/>
              </w:rPr>
            </w:pPr>
          </w:p>
        </w:tc>
        <w:tc>
          <w:tcPr>
            <w:tcW w:w="3500" w:type="dxa"/>
            <w:vAlign w:val="bottom"/>
            <w:gridSpan w:val="8"/>
          </w:tcPr>
          <w:p>
            <w:pPr>
              <w:ind w:left="200"/>
              <w:spacing w:after="0"/>
              <w:rPr>
                <w:sz w:val="20"/>
                <w:szCs w:val="20"/>
                <w:color w:val="auto"/>
              </w:rPr>
            </w:pPr>
            <w:r>
              <w:rPr>
                <w:rFonts w:ascii="Arial" w:cs="Arial" w:eastAsia="Arial" w:hAnsi="Arial"/>
                <w:sz w:val="20"/>
                <w:szCs w:val="20"/>
                <w:color w:val="auto"/>
              </w:rPr>
              <w:t>81</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-1686560</wp:posOffset>
            </wp:positionV>
            <wp:extent cx="1308735" cy="1256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6">
                      <a:extLst>
                        <a:ext uri="{28A0092B-C50C-407E-A947-70E740481C1C}"/>
                      </a:extLst>
                    </a:blip>
                    <a:srcRect/>
                    <a:stretch>
                      <a:fillRect/>
                    </a:stretch>
                  </pic:blipFill>
                  <pic:spPr bwMode="auto">
                    <a:xfrm>
                      <a:off x="0" y="0"/>
                      <a:ext cx="1308735" cy="1256665"/>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-1691005</wp:posOffset>
            </wp:positionV>
            <wp:extent cx="1230630" cy="12096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7">
                      <a:extLst>
                        <a:ext uri="{28A0092B-C50C-407E-A947-70E740481C1C}"/>
                      </a:extLst>
                    </a:blip>
                    <a:srcRect/>
                    <a:stretch>
                      <a:fillRect/>
                    </a:stretch>
                  </pic:blipFill>
                  <pic:spPr bwMode="auto">
                    <a:xfrm>
                      <a:off x="0" y="0"/>
                      <a:ext cx="1230630" cy="1209675"/>
                    </a:xfrm>
                    <a:prstGeom prst="rect">
                      <a:avLst/>
                    </a:prstGeom>
                    <a:noFill/>
                  </pic:spPr>
                </pic:pic>
              </a:graphicData>
            </a:graphic>
          </wp:anchor>
        </w:drawing>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Internal Pay Equity.</w:t>
      </w:r>
      <w:r>
        <w:rPr>
          <w:rFonts w:ascii="Arial" w:cs="Arial" w:eastAsia="Arial" w:hAnsi="Arial"/>
          <w:sz w:val="20"/>
          <w:szCs w:val="20"/>
          <w:i w:val="1"/>
          <w:iCs w:val="1"/>
          <w:color w:val="auto"/>
        </w:rPr>
        <w:t xml:space="preserve"> </w:t>
      </w:r>
      <w:r>
        <w:rPr>
          <w:rFonts w:ascii="Arial" w:cs="Arial" w:eastAsia="Arial" w:hAnsi="Arial"/>
          <w:sz w:val="20"/>
          <w:szCs w:val="20"/>
          <w:color w:val="auto"/>
        </w:rPr>
        <w:t>The MD&amp;C Committee considers the differentials between compensation of the named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The MD&amp;C Committee also reviews compensation comparisons between our Chief Executive Officer and the other executive officers, while recognizing the additional responsibilities of our Chief Executive Officer and that such differentials will increase in periods of above-target performance and decrease in times of below-target performance. Based on these considerations, the MD&amp;C Committee concluded that the compensation paid to our Chief Executive Officer is reasonable compared to that of the other executive officers.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Tax and Accounting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revision of Section 162(m) of the IRC in 2017, the Company generally may no</w:t>
      </w:r>
      <w:r>
        <w:rPr>
          <w:rFonts w:ascii="Arial" w:cs="Arial" w:eastAsia="Arial" w:hAnsi="Arial"/>
          <w:sz w:val="19"/>
          <w:szCs w:val="19"/>
          <w:i w:val="1"/>
          <w:iCs w:val="1"/>
          <w:color w:val="auto"/>
        </w:rPr>
        <w:t xml:space="preserve"> </w:t>
      </w:r>
      <w:r>
        <w:rPr>
          <w:rFonts w:ascii="Arial" w:cs="Arial" w:eastAsia="Arial" w:hAnsi="Arial"/>
          <w:sz w:val="19"/>
          <w:szCs w:val="19"/>
          <w:color w:val="auto"/>
        </w:rPr>
        <w:t>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2025 Compensation Program and Results — Long-Term Equity Incentives”), this target dollar value will differ from the grant date fair value of awards calculated pursuant to ASC Topic 718 and reported in the Summary Compensation Table.</w:t>
      </w:r>
    </w:p>
    <w:p>
      <w:pPr>
        <w:spacing w:after="0" w:line="10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Risk Assessment.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the structural elements set forth in the Executive Summary earlier to</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 compensation that will provide sufficient incentives for named executive officers to drive results while avoiding unnecessary or excessive risk taking that could harm the long-term value of the Company. During 2025,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 adjustments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w:t>
      </w:r>
    </w:p>
    <w:p>
      <w:pPr>
        <w:spacing w:after="0" w:line="391"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5%.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 Actual results reported in this Proxy Statement on financial performance measures may differ from earnings results reported to the investment community. Please see Appendix B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Named Executives’ 2025 Compensation Program and Results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Base Salary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MD&amp;C Committee approved increases to the 2025 base salaries of named executive officers, consistent with our compensation philosophy and driven by competitive market data, internal pay equity considerations and individual performance relative to the executive’s responsibilities and contributions. The table below shows the 2025 annual base salary in effect at year end, as established by the MD&amp;C Committee for each of our named executive officers.</w:t>
      </w:r>
    </w:p>
    <w:p>
      <w:pPr>
        <w:spacing w:after="0" w:line="107"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480" w:type="dxa"/>
            <w:vAlign w:val="bottom"/>
          </w:tcPr>
          <w:p>
            <w:pPr>
              <w:ind w:left="60"/>
              <w:spacing w:after="0"/>
              <w:rPr>
                <w:sz w:val="20"/>
                <w:szCs w:val="20"/>
                <w:color w:val="auto"/>
              </w:rPr>
            </w:pPr>
            <w:r>
              <w:rPr>
                <w:rFonts w:ascii="Arial" w:cs="Arial" w:eastAsia="Arial" w:hAnsi="Arial"/>
                <w:sz w:val="16"/>
                <w:szCs w:val="16"/>
                <w:b w:val="1"/>
                <w:bCs w:val="1"/>
                <w:color w:val="0C3D25"/>
              </w:rPr>
              <w:t>Named Executive Officer</w:t>
            </w:r>
          </w:p>
        </w:tc>
        <w:tc>
          <w:tcPr>
            <w:tcW w:w="3980" w:type="dxa"/>
            <w:vAlign w:val="bottom"/>
            <w:gridSpan w:val="2"/>
          </w:tcPr>
          <w:p>
            <w:pPr>
              <w:jc w:val="right"/>
              <w:spacing w:after="0"/>
              <w:rPr>
                <w:sz w:val="20"/>
                <w:szCs w:val="20"/>
                <w:color w:val="auto"/>
              </w:rPr>
            </w:pPr>
            <w:r>
              <w:rPr>
                <w:rFonts w:ascii="Arial" w:cs="Arial" w:eastAsia="Arial" w:hAnsi="Arial"/>
                <w:sz w:val="16"/>
                <w:szCs w:val="16"/>
                <w:b w:val="1"/>
                <w:bCs w:val="1"/>
                <w:color w:val="0C3D25"/>
              </w:rPr>
              <w:t>2025 Base Salary</w:t>
            </w:r>
          </w:p>
        </w:tc>
      </w:tr>
      <w:tr>
        <w:trPr>
          <w:trHeight w:val="42"/>
        </w:trPr>
        <w:tc>
          <w:tcPr>
            <w:tcW w:w="4480" w:type="dxa"/>
            <w:vAlign w:val="bottom"/>
            <w:tcBorders>
              <w:bottom w:val="single" w:sz="8" w:color="0C3D25"/>
            </w:tcBorders>
          </w:tcPr>
          <w:p>
            <w:pPr>
              <w:spacing w:after="0"/>
              <w:rPr>
                <w:sz w:val="3"/>
                <w:szCs w:val="3"/>
                <w:color w:val="auto"/>
              </w:rPr>
            </w:pPr>
          </w:p>
        </w:tc>
        <w:tc>
          <w:tcPr>
            <w:tcW w:w="2940" w:type="dxa"/>
            <w:vAlign w:val="bottom"/>
            <w:tcBorders>
              <w:bottom w:val="single" w:sz="8" w:color="0C3D25"/>
            </w:tcBorders>
          </w:tcPr>
          <w:p>
            <w:pPr>
              <w:spacing w:after="0"/>
              <w:rPr>
                <w:sz w:val="3"/>
                <w:szCs w:val="3"/>
                <w:color w:val="auto"/>
              </w:rPr>
            </w:pPr>
          </w:p>
        </w:tc>
        <w:tc>
          <w:tcPr>
            <w:tcW w:w="1040" w:type="dxa"/>
            <w:vAlign w:val="bottom"/>
            <w:tcBorders>
              <w:bottom w:val="single" w:sz="8" w:color="0C3D25"/>
            </w:tcBorders>
          </w:tcPr>
          <w:p>
            <w:pPr>
              <w:spacing w:after="0"/>
              <w:rPr>
                <w:sz w:val="3"/>
                <w:szCs w:val="3"/>
                <w:color w:val="auto"/>
              </w:rPr>
            </w:pPr>
          </w:p>
        </w:tc>
      </w:tr>
      <w:tr>
        <w:trPr>
          <w:trHeight w:val="26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w w:val="89"/>
              </w:rPr>
              <w:t>1,500,000</w:t>
            </w:r>
          </w:p>
        </w:tc>
      </w:tr>
      <w:tr>
        <w:trPr>
          <w:trHeight w:val="27"/>
        </w:trPr>
        <w:tc>
          <w:tcPr>
            <w:tcW w:w="44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r>
      <w:tr>
        <w:trPr>
          <w:trHeight w:val="279"/>
        </w:trPr>
        <w:tc>
          <w:tcPr>
            <w:tcW w:w="44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b w:val="1"/>
                <w:bCs w:val="1"/>
                <w:color w:val="auto"/>
              </w:rPr>
              <w:t>Mr. Reed</w:t>
            </w:r>
            <w:r>
              <w:rPr>
                <w:rFonts w:ascii="Arial" w:cs="Arial" w:eastAsia="Arial" w:hAnsi="Arial"/>
                <w:sz w:val="25"/>
                <w:szCs w:val="25"/>
                <w:color w:val="auto"/>
                <w:vertAlign w:val="superscript"/>
              </w:rPr>
              <w:t>(1)</w:t>
            </w:r>
          </w:p>
        </w:tc>
        <w:tc>
          <w:tcPr>
            <w:tcW w:w="29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0C3D25"/>
            </w:tcBorders>
          </w:tcPr>
          <w:p>
            <w:pPr>
              <w:jc w:val="right"/>
              <w:ind w:right="120"/>
              <w:spacing w:after="0"/>
              <w:rPr>
                <w:sz w:val="20"/>
                <w:szCs w:val="20"/>
                <w:color w:val="auto"/>
              </w:rPr>
            </w:pPr>
            <w:r>
              <w:rPr>
                <w:rFonts w:ascii="Arial" w:cs="Arial" w:eastAsia="Arial" w:hAnsi="Arial"/>
                <w:sz w:val="20"/>
                <w:szCs w:val="20"/>
                <w:color w:val="auto"/>
              </w:rPr>
              <w:t>700,000</w:t>
            </w: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814,266</w:t>
            </w:r>
          </w:p>
        </w:tc>
      </w:tr>
      <w:tr>
        <w:trPr>
          <w:trHeight w:val="27"/>
        </w:trPr>
        <w:tc>
          <w:tcPr>
            <w:tcW w:w="44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r>
      <w:tr>
        <w:trPr>
          <w:trHeight w:val="279"/>
        </w:trPr>
        <w:tc>
          <w:tcPr>
            <w:tcW w:w="448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b w:val="1"/>
                <w:bCs w:val="1"/>
                <w:color w:val="auto"/>
              </w:rPr>
              <w:t>Mr. Morris</w:t>
            </w:r>
            <w:r>
              <w:rPr>
                <w:rFonts w:ascii="Arial" w:cs="Arial" w:eastAsia="Arial" w:hAnsi="Arial"/>
                <w:sz w:val="25"/>
                <w:szCs w:val="25"/>
                <w:color w:val="auto"/>
                <w:vertAlign w:val="superscript"/>
              </w:rPr>
              <w:t>(2)</w:t>
            </w:r>
          </w:p>
        </w:tc>
        <w:tc>
          <w:tcPr>
            <w:tcW w:w="29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0C3D25"/>
            </w:tcBorders>
          </w:tcPr>
          <w:p>
            <w:pPr>
              <w:jc w:val="right"/>
              <w:ind w:right="120"/>
              <w:spacing w:after="0"/>
              <w:rPr>
                <w:sz w:val="20"/>
                <w:szCs w:val="20"/>
                <w:color w:val="auto"/>
              </w:rPr>
            </w:pPr>
            <w:r>
              <w:rPr>
                <w:rFonts w:ascii="Arial" w:cs="Arial" w:eastAsia="Arial" w:hAnsi="Arial"/>
                <w:sz w:val="20"/>
                <w:szCs w:val="20"/>
                <w:color w:val="auto"/>
                <w:w w:val="89"/>
              </w:rPr>
              <w:t>1,000,000</w:t>
            </w:r>
          </w:p>
        </w:tc>
      </w:tr>
      <w:tr>
        <w:trPr>
          <w:trHeight w:val="252"/>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724,500</w:t>
            </w:r>
          </w:p>
        </w:tc>
      </w:tr>
      <w:tr>
        <w:trPr>
          <w:trHeight w:val="27"/>
        </w:trPr>
        <w:tc>
          <w:tcPr>
            <w:tcW w:w="44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721,000</w:t>
            </w:r>
          </w:p>
        </w:tc>
      </w:tr>
      <w:tr>
        <w:trPr>
          <w:trHeight w:val="32"/>
        </w:trPr>
        <w:tc>
          <w:tcPr>
            <w:tcW w:w="44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r>
    </w:tbl>
    <w:p>
      <w:pPr>
        <w:spacing w:after="0" w:line="74" w:lineRule="exact"/>
        <w:rPr>
          <w:sz w:val="20"/>
          <w:szCs w:val="20"/>
          <w:color w:val="auto"/>
        </w:rPr>
      </w:pPr>
    </w:p>
    <w:p>
      <w:pPr>
        <w:ind w:left="1200" w:hanging="404"/>
        <w:spacing w:after="0" w:line="245" w:lineRule="auto"/>
        <w:tabs>
          <w:tab w:leader="none" w:pos="1199" w:val="left"/>
        </w:tabs>
        <w:numPr>
          <w:ilvl w:val="0"/>
          <w:numId w:val="18"/>
        </w:numPr>
        <w:rPr>
          <w:rFonts w:ascii="Arial" w:cs="Arial" w:eastAsia="Arial" w:hAnsi="Arial"/>
          <w:sz w:val="20"/>
          <w:szCs w:val="20"/>
          <w:color w:val="auto"/>
        </w:rPr>
      </w:pPr>
      <w:r>
        <w:rPr>
          <w:rFonts w:ascii="Arial" w:cs="Arial" w:eastAsia="Arial" w:hAnsi="Arial"/>
          <w:sz w:val="20"/>
          <w:szCs w:val="20"/>
          <w:color w:val="auto"/>
        </w:rPr>
        <w:t>Mr. Reed’s 2025 base salary in the table above was effective upon his promotion to Executive Vice President and Chief Financial Officer in November 2025.</w:t>
      </w:r>
    </w:p>
    <w:p>
      <w:pPr>
        <w:spacing w:after="0" w:line="121" w:lineRule="exact"/>
        <w:rPr>
          <w:rFonts w:ascii="Arial" w:cs="Arial" w:eastAsia="Arial" w:hAnsi="Arial"/>
          <w:sz w:val="20"/>
          <w:szCs w:val="20"/>
          <w:color w:val="auto"/>
        </w:rPr>
      </w:pPr>
    </w:p>
    <w:p>
      <w:pPr>
        <w:jc w:val="both"/>
        <w:ind w:left="1200" w:hanging="404"/>
        <w:spacing w:after="0" w:line="245" w:lineRule="auto"/>
        <w:tabs>
          <w:tab w:leader="none" w:pos="1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Mr. Morris’ 2025 base salary in the table above was effective upon his promotion to President and Chief Operating Officer in May 2025. His prior annual base salary for service as Executive Vice President and Chief Operating Officer was $831,708.</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Cash Incentive</w:t>
      </w:r>
    </w:p>
    <w:p>
      <w:pPr>
        <w:spacing w:after="0" w:line="127" w:lineRule="exact"/>
        <w:rPr>
          <w:sz w:val="20"/>
          <w:szCs w:val="20"/>
          <w:color w:val="auto"/>
        </w:rPr>
      </w:pPr>
    </w:p>
    <w:p>
      <w:pPr>
        <w:jc w:val="both"/>
        <w:ind w:left="600" w:hanging="203"/>
        <w:spacing w:after="0" w:line="245" w:lineRule="auto"/>
        <w:tabs>
          <w:tab w:leader="none" w:pos="600" w:val="left"/>
        </w:tabs>
        <w:numPr>
          <w:ilvl w:val="0"/>
          <w:numId w:val="19"/>
        </w:numPr>
        <w:rPr>
          <w:rFonts w:ascii="Arial" w:cs="Arial" w:eastAsia="Arial" w:hAnsi="Arial"/>
          <w:sz w:val="20"/>
          <w:szCs w:val="20"/>
          <w:color w:val="0C3D25"/>
        </w:rPr>
      </w:pPr>
      <w:r>
        <w:rPr>
          <w:rFonts w:ascii="Arial" w:cs="Arial" w:eastAsia="Arial" w:hAnsi="Arial"/>
          <w:sz w:val="20"/>
          <w:szCs w:val="20"/>
          <w:i w:val="1"/>
          <w:iCs w:val="1"/>
          <w:color w:val="auto"/>
        </w:rPr>
        <w:t>Annual cash incentives were dependent on the following performance measures: Operating EBITDA; Income from Operations Margin, excluding Depreciation, Depletion and Amortization (or “Margin performance measure”) and Internal Revenue Growth.</w:t>
      </w:r>
    </w:p>
    <w:p>
      <w:pPr>
        <w:spacing w:after="0" w:line="121" w:lineRule="exact"/>
        <w:rPr>
          <w:rFonts w:ascii="Arial" w:cs="Arial" w:eastAsia="Arial" w:hAnsi="Arial"/>
          <w:sz w:val="20"/>
          <w:szCs w:val="20"/>
          <w:color w:val="0C3D25"/>
        </w:rPr>
      </w:pPr>
    </w:p>
    <w:p>
      <w:pPr>
        <w:ind w:left="600" w:hanging="203"/>
        <w:spacing w:after="0" w:line="245" w:lineRule="auto"/>
        <w:tabs>
          <w:tab w:leader="none" w:pos="600" w:val="left"/>
        </w:tabs>
        <w:numPr>
          <w:ilvl w:val="0"/>
          <w:numId w:val="19"/>
        </w:numPr>
        <w:rPr>
          <w:rFonts w:ascii="Arial" w:cs="Arial" w:eastAsia="Arial" w:hAnsi="Arial"/>
          <w:sz w:val="20"/>
          <w:szCs w:val="20"/>
          <w:color w:val="0C3D25"/>
        </w:rPr>
      </w:pPr>
      <w:r>
        <w:rPr>
          <w:rFonts w:ascii="Arial" w:cs="Arial" w:eastAsia="Arial" w:hAnsi="Arial"/>
          <w:sz w:val="20"/>
          <w:szCs w:val="20"/>
          <w:i w:val="1"/>
          <w:iCs w:val="1"/>
          <w:color w:val="auto"/>
        </w:rPr>
        <w:t>Payouts of cash incentives based on the performance measures could be increased or decreased by up to 10%, depending on achievement calculated using the 2025 sustainability scorecard.</w:t>
      </w:r>
    </w:p>
    <w:p>
      <w:pPr>
        <w:spacing w:after="0" w:line="121" w:lineRule="exact"/>
        <w:rPr>
          <w:rFonts w:ascii="Arial" w:cs="Arial" w:eastAsia="Arial" w:hAnsi="Arial"/>
          <w:sz w:val="20"/>
          <w:szCs w:val="20"/>
          <w:color w:val="0C3D25"/>
        </w:rPr>
      </w:pPr>
    </w:p>
    <w:p>
      <w:pPr>
        <w:jc w:val="both"/>
        <w:ind w:left="600" w:hanging="203"/>
        <w:spacing w:after="0" w:line="245" w:lineRule="auto"/>
        <w:tabs>
          <w:tab w:leader="none" w:pos="600" w:val="left"/>
        </w:tabs>
        <w:numPr>
          <w:ilvl w:val="0"/>
          <w:numId w:val="19"/>
        </w:numPr>
        <w:rPr>
          <w:rFonts w:ascii="Arial" w:cs="Arial" w:eastAsia="Arial" w:hAnsi="Arial"/>
          <w:sz w:val="20"/>
          <w:szCs w:val="20"/>
          <w:color w:val="0C3D25"/>
        </w:rPr>
      </w:pPr>
      <w:r>
        <w:rPr>
          <w:rFonts w:ascii="Arial" w:cs="Arial" w:eastAsia="Arial" w:hAnsi="Arial"/>
          <w:sz w:val="20"/>
          <w:szCs w:val="20"/>
          <w:i w:val="1"/>
          <w:iCs w:val="1"/>
          <w:color w:val="auto"/>
        </w:rPr>
        <w:t>Blended results on the performance measures yielded an annual cash incentive payment for 2025 equal to 101.00% of target, which was then modified by 2.00% on account of the sustainability modifier, yielding a calculated payout of 103.02%.</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in the aggregate, supported and aligned with the strategy of the Company in 2025, are reflective of the Company’s overall performance, and are appropriate indicators of our progress toward the Company’s goals. See “2025 Compensation Program Results and Company Performance” in the Executive Summary above for further discussion and definitions of the annual cash incentive performance measures.</w:t>
      </w:r>
    </w:p>
    <w:p>
      <w:pPr>
        <w:spacing w:after="0" w:line="200" w:lineRule="exact"/>
        <w:rPr>
          <w:sz w:val="20"/>
          <w:szCs w:val="20"/>
          <w:color w:val="auto"/>
        </w:rPr>
      </w:pPr>
    </w:p>
    <w:p>
      <w:pPr>
        <w:spacing w:after="0" w:line="22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8" w:name="page49"/>
    <w:bookmarkEnd w:id="48"/>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When setting the 2025 performance levels, the MD&amp;C Committee defined the 2025 annual cash incentive awards to exclude the impacts of our recycling brokerage business. While the relatively small and traditionally lower-margin recycling brokerage business is additive to our overall customer value proposition, it can have a distorting effect on results, due in part to commodity price volatility. Use of the Margin performance measure in 2025, instead of the income from operations margin performance measure typically used, was a temporary change, primarily in response to our acquisition of Stericycle and to remove variability caused by Stericycle purchase price accounting. The table below details the performance measures set by the MD&amp;C Committee for purposes of the named executive officers’ annual cash incentive for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940" w:type="dxa"/>
            <w:vAlign w:val="bottom"/>
          </w:tcPr>
          <w:p>
            <w:pPr>
              <w:jc w:val="right"/>
              <w:ind w:right="30"/>
              <w:spacing w:after="0"/>
              <w:rPr>
                <w:sz w:val="20"/>
                <w:szCs w:val="20"/>
                <w:color w:val="auto"/>
              </w:rPr>
            </w:pPr>
            <w:r>
              <w:rPr>
                <w:rFonts w:ascii="Arial" w:cs="Arial" w:eastAsia="Arial" w:hAnsi="Arial"/>
                <w:sz w:val="16"/>
                <w:szCs w:val="16"/>
                <w:b w:val="1"/>
                <w:bCs w:val="1"/>
                <w:color w:val="0C3D25"/>
              </w:rPr>
              <w:t>Threshold</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C3D25"/>
              </w:rPr>
              <w:t>Target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C3D25"/>
              </w:rPr>
              <w:t>Maximum</w:t>
            </w:r>
          </w:p>
        </w:tc>
      </w:tr>
      <w:tr>
        <w:trPr>
          <w:trHeight w:val="160"/>
        </w:trPr>
        <w:tc>
          <w:tcPr>
            <w:tcW w:w="4380" w:type="dxa"/>
            <w:vAlign w:val="bottom"/>
          </w:tcPr>
          <w:p>
            <w:pPr>
              <w:spacing w:after="0"/>
              <w:rPr>
                <w:sz w:val="13"/>
                <w:szCs w:val="13"/>
                <w:color w:val="auto"/>
              </w:rPr>
            </w:pPr>
          </w:p>
        </w:tc>
        <w:tc>
          <w:tcPr>
            <w:tcW w:w="294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C3D25"/>
              </w:rPr>
              <w:t>Performance</w:t>
            </w:r>
          </w:p>
        </w:tc>
        <w:tc>
          <w:tcPr>
            <w:tcW w:w="14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C3D25"/>
              </w:rPr>
              <w:t>Performance</w:t>
            </w:r>
          </w:p>
        </w:tc>
        <w:tc>
          <w:tcPr>
            <w:tcW w:w="134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Performance</w:t>
            </w:r>
          </w:p>
        </w:tc>
      </w:tr>
      <w:tr>
        <w:trPr>
          <w:trHeight w:val="184"/>
        </w:trPr>
        <w:tc>
          <w:tcPr>
            <w:tcW w:w="4380" w:type="dxa"/>
            <w:vAlign w:val="bottom"/>
          </w:tcPr>
          <w:p>
            <w:pPr>
              <w:spacing w:after="0"/>
              <w:rPr>
                <w:sz w:val="15"/>
                <w:szCs w:val="15"/>
                <w:color w:val="auto"/>
              </w:rPr>
            </w:pPr>
          </w:p>
        </w:tc>
        <w:tc>
          <w:tcPr>
            <w:tcW w:w="2940" w:type="dxa"/>
            <w:vAlign w:val="bottom"/>
          </w:tcPr>
          <w:p>
            <w:pPr>
              <w:jc w:val="right"/>
              <w:ind w:right="30"/>
              <w:spacing w:after="0"/>
              <w:rPr>
                <w:sz w:val="20"/>
                <w:szCs w:val="20"/>
                <w:color w:val="auto"/>
              </w:rPr>
            </w:pPr>
            <w:r>
              <w:rPr>
                <w:rFonts w:ascii="Arial" w:cs="Arial" w:eastAsia="Arial" w:hAnsi="Arial"/>
                <w:sz w:val="16"/>
                <w:szCs w:val="16"/>
                <w:b w:val="1"/>
                <w:bCs w:val="1"/>
                <w:color w:val="0C3D25"/>
              </w:rPr>
              <w:t>(60% Payment)</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C3D25"/>
              </w:rPr>
              <w:t>(100% Payment)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C3D25"/>
              </w:rPr>
              <w:t>(200% Payment)</w:t>
            </w:r>
          </w:p>
        </w:tc>
      </w:tr>
      <w:tr>
        <w:trPr>
          <w:trHeight w:val="42"/>
        </w:trPr>
        <w:tc>
          <w:tcPr>
            <w:tcW w:w="4380" w:type="dxa"/>
            <w:vAlign w:val="bottom"/>
            <w:tcBorders>
              <w:bottom w:val="single" w:sz="8" w:color="0C3D25"/>
            </w:tcBorders>
          </w:tcPr>
          <w:p>
            <w:pPr>
              <w:spacing w:after="0"/>
              <w:rPr>
                <w:sz w:val="3"/>
                <w:szCs w:val="3"/>
                <w:color w:val="auto"/>
              </w:rPr>
            </w:pPr>
          </w:p>
        </w:tc>
        <w:tc>
          <w:tcPr>
            <w:tcW w:w="2940" w:type="dxa"/>
            <w:vAlign w:val="bottom"/>
            <w:tcBorders>
              <w:bottom w:val="single" w:sz="8" w:color="0C3D25"/>
            </w:tcBorders>
          </w:tcPr>
          <w:p>
            <w:pPr>
              <w:spacing w:after="0"/>
              <w:rPr>
                <w:sz w:val="3"/>
                <w:szCs w:val="3"/>
                <w:color w:val="auto"/>
              </w:rPr>
            </w:pPr>
          </w:p>
        </w:tc>
        <w:tc>
          <w:tcPr>
            <w:tcW w:w="1400" w:type="dxa"/>
            <w:vAlign w:val="bottom"/>
            <w:tcBorders>
              <w:bottom w:val="single" w:sz="8" w:color="0C3D25"/>
            </w:tcBorders>
          </w:tcPr>
          <w:p>
            <w:pPr>
              <w:spacing w:after="0"/>
              <w:rPr>
                <w:sz w:val="3"/>
                <w:szCs w:val="3"/>
                <w:color w:val="auto"/>
              </w:rPr>
            </w:pPr>
          </w:p>
        </w:tc>
        <w:tc>
          <w:tcPr>
            <w:tcW w:w="1340" w:type="dxa"/>
            <w:vAlign w:val="bottom"/>
            <w:tcBorders>
              <w:bottom w:val="single" w:sz="8" w:color="0C3D25"/>
            </w:tcBorders>
          </w:tcPr>
          <w:p>
            <w:pPr>
              <w:spacing w:after="0"/>
              <w:rPr>
                <w:sz w:val="3"/>
                <w:szCs w:val="3"/>
                <w:color w:val="auto"/>
              </w:rPr>
            </w:pPr>
          </w:p>
        </w:tc>
      </w:tr>
      <w:tr>
        <w:trPr>
          <w:trHeight w:val="263"/>
        </w:trPr>
        <w:tc>
          <w:tcPr>
            <w:tcW w:w="4380" w:type="dxa"/>
            <w:vAlign w:val="bottom"/>
          </w:tcPr>
          <w:p>
            <w:pPr>
              <w:ind w:left="60"/>
              <w:spacing w:after="0"/>
              <w:rPr>
                <w:sz w:val="20"/>
                <w:szCs w:val="20"/>
                <w:color w:val="auto"/>
              </w:rPr>
            </w:pPr>
            <w:r>
              <w:rPr>
                <w:rFonts w:ascii="Arial" w:cs="Arial" w:eastAsia="Arial" w:hAnsi="Arial"/>
                <w:sz w:val="20"/>
                <w:szCs w:val="20"/>
                <w:b w:val="1"/>
                <w:bCs w:val="1"/>
                <w:color w:val="auto"/>
              </w:rPr>
              <w:t>Operating EBITDA</w:t>
            </w:r>
          </w:p>
        </w:tc>
        <w:tc>
          <w:tcPr>
            <w:tcW w:w="2940" w:type="dxa"/>
            <w:vAlign w:val="bottom"/>
          </w:tcPr>
          <w:p>
            <w:pPr>
              <w:jc w:val="right"/>
              <w:ind w:right="30"/>
              <w:spacing w:after="0"/>
              <w:rPr>
                <w:sz w:val="20"/>
                <w:szCs w:val="20"/>
                <w:color w:val="auto"/>
              </w:rPr>
            </w:pPr>
            <w:r>
              <w:rPr>
                <w:rFonts w:ascii="Arial" w:cs="Arial" w:eastAsia="Arial" w:hAnsi="Arial"/>
                <w:sz w:val="20"/>
                <w:szCs w:val="20"/>
                <w:color w:val="auto"/>
              </w:rPr>
              <w:t>$7.101 billion</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$7.476 billion</w:t>
            </w:r>
          </w:p>
        </w:tc>
        <w:tc>
          <w:tcPr>
            <w:tcW w:w="1340" w:type="dxa"/>
            <w:vAlign w:val="bottom"/>
          </w:tcPr>
          <w:p>
            <w:pPr>
              <w:jc w:val="right"/>
              <w:spacing w:after="0"/>
              <w:rPr>
                <w:sz w:val="20"/>
                <w:szCs w:val="20"/>
                <w:color w:val="auto"/>
              </w:rPr>
            </w:pPr>
            <w:r>
              <w:rPr>
                <w:rFonts w:ascii="Arial" w:cs="Arial" w:eastAsia="Arial" w:hAnsi="Arial"/>
                <w:sz w:val="20"/>
                <w:szCs w:val="20"/>
                <w:color w:val="auto"/>
              </w:rPr>
              <w:t>$7.851 billion</w:t>
            </w:r>
          </w:p>
        </w:tc>
      </w:tr>
      <w:tr>
        <w:trPr>
          <w:trHeight w:val="27"/>
        </w:trPr>
        <w:tc>
          <w:tcPr>
            <w:tcW w:w="43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40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r>
      <w:tr>
        <w:trPr>
          <w:trHeight w:val="253"/>
        </w:trPr>
        <w:tc>
          <w:tcPr>
            <w:tcW w:w="4380" w:type="dxa"/>
            <w:vAlign w:val="bottom"/>
          </w:tcPr>
          <w:p>
            <w:pPr>
              <w:ind w:left="60"/>
              <w:spacing w:after="0"/>
              <w:rPr>
                <w:sz w:val="20"/>
                <w:szCs w:val="20"/>
                <w:color w:val="auto"/>
              </w:rPr>
            </w:pPr>
            <w:r>
              <w:rPr>
                <w:rFonts w:ascii="Arial" w:cs="Arial" w:eastAsia="Arial" w:hAnsi="Arial"/>
                <w:sz w:val="20"/>
                <w:szCs w:val="20"/>
                <w:b w:val="1"/>
                <w:bCs w:val="1"/>
                <w:color w:val="auto"/>
              </w:rPr>
              <w:t>Margin Performance Measure</w:t>
            </w:r>
          </w:p>
        </w:tc>
        <w:tc>
          <w:tcPr>
            <w:tcW w:w="2940" w:type="dxa"/>
            <w:vAlign w:val="bottom"/>
          </w:tcPr>
          <w:p>
            <w:pPr>
              <w:jc w:val="right"/>
              <w:ind w:right="30"/>
              <w:spacing w:after="0"/>
              <w:rPr>
                <w:sz w:val="20"/>
                <w:szCs w:val="20"/>
                <w:color w:val="auto"/>
              </w:rPr>
            </w:pPr>
            <w:r>
              <w:rPr>
                <w:rFonts w:ascii="Arial" w:cs="Arial" w:eastAsia="Arial" w:hAnsi="Arial"/>
                <w:sz w:val="20"/>
                <w:szCs w:val="20"/>
                <w:color w:val="auto"/>
              </w:rPr>
              <w:t>29.1%</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30.1%</w:t>
            </w:r>
          </w:p>
        </w:tc>
        <w:tc>
          <w:tcPr>
            <w:tcW w:w="1340" w:type="dxa"/>
            <w:vAlign w:val="bottom"/>
          </w:tcPr>
          <w:p>
            <w:pPr>
              <w:jc w:val="right"/>
              <w:spacing w:after="0"/>
              <w:rPr>
                <w:sz w:val="20"/>
                <w:szCs w:val="20"/>
                <w:color w:val="auto"/>
              </w:rPr>
            </w:pPr>
            <w:r>
              <w:rPr>
                <w:rFonts w:ascii="Arial" w:cs="Arial" w:eastAsia="Arial" w:hAnsi="Arial"/>
                <w:sz w:val="20"/>
                <w:szCs w:val="20"/>
                <w:color w:val="auto"/>
              </w:rPr>
              <w:t>31.1%</w:t>
            </w:r>
          </w:p>
        </w:tc>
      </w:tr>
      <w:tr>
        <w:trPr>
          <w:trHeight w:val="27"/>
        </w:trPr>
        <w:tc>
          <w:tcPr>
            <w:tcW w:w="43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40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r>
      <w:tr>
        <w:trPr>
          <w:trHeight w:val="253"/>
        </w:trPr>
        <w:tc>
          <w:tcPr>
            <w:tcW w:w="4380" w:type="dxa"/>
            <w:vAlign w:val="bottom"/>
          </w:tcPr>
          <w:p>
            <w:pPr>
              <w:ind w:left="60"/>
              <w:spacing w:after="0"/>
              <w:rPr>
                <w:sz w:val="20"/>
                <w:szCs w:val="20"/>
                <w:color w:val="auto"/>
              </w:rPr>
            </w:pPr>
            <w:r>
              <w:rPr>
                <w:rFonts w:ascii="Arial" w:cs="Arial" w:eastAsia="Arial" w:hAnsi="Arial"/>
                <w:sz w:val="20"/>
                <w:szCs w:val="20"/>
                <w:b w:val="1"/>
                <w:bCs w:val="1"/>
                <w:color w:val="auto"/>
              </w:rPr>
              <w:t>Internal Revenue Growth</w:t>
            </w:r>
          </w:p>
        </w:tc>
        <w:tc>
          <w:tcPr>
            <w:tcW w:w="2940" w:type="dxa"/>
            <w:vAlign w:val="bottom"/>
          </w:tcPr>
          <w:p>
            <w:pPr>
              <w:jc w:val="right"/>
              <w:ind w:right="30"/>
              <w:spacing w:after="0"/>
              <w:rPr>
                <w:sz w:val="20"/>
                <w:szCs w:val="20"/>
                <w:color w:val="auto"/>
              </w:rPr>
            </w:pPr>
            <w:r>
              <w:rPr>
                <w:rFonts w:ascii="Arial" w:cs="Arial" w:eastAsia="Arial" w:hAnsi="Arial"/>
                <w:sz w:val="20"/>
                <w:szCs w:val="20"/>
                <w:color w:val="auto"/>
              </w:rPr>
              <w:t>3.2%</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4.6%</w:t>
            </w:r>
          </w:p>
        </w:tc>
        <w:tc>
          <w:tcPr>
            <w:tcW w:w="13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2"/>
        </w:trPr>
        <w:tc>
          <w:tcPr>
            <w:tcW w:w="4380" w:type="dxa"/>
            <w:vAlign w:val="bottom"/>
            <w:tcBorders>
              <w:bottom w:val="single" w:sz="8" w:color="0C3D25"/>
            </w:tcBorders>
          </w:tcPr>
          <w:p>
            <w:pPr>
              <w:spacing w:after="0"/>
              <w:rPr>
                <w:sz w:val="2"/>
                <w:szCs w:val="2"/>
                <w:color w:val="auto"/>
              </w:rPr>
            </w:pPr>
          </w:p>
        </w:tc>
        <w:tc>
          <w:tcPr>
            <w:tcW w:w="2940" w:type="dxa"/>
            <w:vAlign w:val="bottom"/>
            <w:tcBorders>
              <w:bottom w:val="single" w:sz="8" w:color="0C3D25"/>
            </w:tcBorders>
          </w:tcPr>
          <w:p>
            <w:pPr>
              <w:spacing w:after="0"/>
              <w:rPr>
                <w:sz w:val="2"/>
                <w:szCs w:val="2"/>
                <w:color w:val="auto"/>
              </w:rPr>
            </w:pPr>
          </w:p>
        </w:tc>
        <w:tc>
          <w:tcPr>
            <w:tcW w:w="140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r>
    </w:tbl>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following table sets forth the Company’s performance achieved on each of the annual cash incentive performance measures and the payout earned on account of such performance.</w:t>
      </w:r>
    </w:p>
    <w:p>
      <w:pPr>
        <w:spacing w:after="0" w:line="8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0C3D25"/>
                <w:w w:val="95"/>
              </w:rPr>
              <w:t>Margin</w:t>
            </w:r>
          </w:p>
        </w:tc>
        <w:tc>
          <w:tcPr>
            <w:tcW w:w="18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0C3D25"/>
                <w:w w:val="93"/>
              </w:rPr>
              <w:t>Internal Revenue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720" w:type="dxa"/>
            <w:vAlign w:val="bottom"/>
            <w:gridSpan w:val="3"/>
          </w:tcPr>
          <w:p>
            <w:pPr>
              <w:jc w:val="center"/>
              <w:ind w:right="540"/>
              <w:spacing w:after="0" w:line="160" w:lineRule="exact"/>
              <w:rPr>
                <w:sz w:val="20"/>
                <w:szCs w:val="20"/>
                <w:color w:val="auto"/>
              </w:rPr>
            </w:pPr>
            <w:r>
              <w:rPr>
                <w:rFonts w:ascii="Arial" w:cs="Arial" w:eastAsia="Arial" w:hAnsi="Arial"/>
                <w:sz w:val="16"/>
                <w:szCs w:val="16"/>
                <w:b w:val="1"/>
                <w:bCs w:val="1"/>
                <w:color w:val="0C3D25"/>
                <w:w w:val="90"/>
              </w:rPr>
              <w:t>Operating EBITDA</w:t>
            </w:r>
          </w:p>
        </w:tc>
        <w:tc>
          <w:tcPr>
            <w:tcW w:w="2400" w:type="dxa"/>
            <w:vAlign w:val="bottom"/>
            <w:gridSpan w:val="3"/>
          </w:tcPr>
          <w:p>
            <w:pPr>
              <w:jc w:val="center"/>
              <w:ind w:right="540"/>
              <w:spacing w:after="0" w:line="160" w:lineRule="exact"/>
              <w:rPr>
                <w:sz w:val="20"/>
                <w:szCs w:val="20"/>
                <w:color w:val="auto"/>
              </w:rPr>
            </w:pPr>
            <w:r>
              <w:rPr>
                <w:rFonts w:ascii="Arial" w:cs="Arial" w:eastAsia="Arial" w:hAnsi="Arial"/>
                <w:sz w:val="16"/>
                <w:szCs w:val="16"/>
                <w:b w:val="1"/>
                <w:bCs w:val="1"/>
                <w:color w:val="0C3D25"/>
                <w:w w:val="94"/>
              </w:rPr>
              <w:t>Performance Measure</w:t>
            </w:r>
          </w:p>
        </w:tc>
        <w:tc>
          <w:tcPr>
            <w:tcW w:w="1840" w:type="dxa"/>
            <w:vAlign w:val="bottom"/>
            <w:gridSpan w:val="3"/>
          </w:tcPr>
          <w:p>
            <w:pPr>
              <w:jc w:val="center"/>
              <w:ind w:right="320"/>
              <w:spacing w:after="0" w:line="160" w:lineRule="exact"/>
              <w:rPr>
                <w:sz w:val="20"/>
                <w:szCs w:val="20"/>
                <w:color w:val="auto"/>
              </w:rPr>
            </w:pPr>
            <w:r>
              <w:rPr>
                <w:rFonts w:ascii="Arial" w:cs="Arial" w:eastAsia="Arial" w:hAnsi="Arial"/>
                <w:sz w:val="16"/>
                <w:szCs w:val="16"/>
                <w:b w:val="1"/>
                <w:bCs w:val="1"/>
                <w:color w:val="0C3D25"/>
                <w:w w:val="92"/>
              </w:rPr>
              <w:t>Growth</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0C3D25"/>
              </w:rPr>
              <w:t>Total</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660" w:type="dxa"/>
            <w:vAlign w:val="bottom"/>
          </w:tcPr>
          <w:p>
            <w:pPr>
              <w:jc w:val="center"/>
              <w:ind w:left="434"/>
              <w:spacing w:after="0" w:line="146" w:lineRule="exact"/>
              <w:rPr>
                <w:sz w:val="20"/>
                <w:szCs w:val="20"/>
                <w:color w:val="auto"/>
              </w:rPr>
            </w:pPr>
            <w:r>
              <w:rPr>
                <w:rFonts w:ascii="Arial" w:cs="Arial" w:eastAsia="Arial" w:hAnsi="Arial"/>
                <w:sz w:val="16"/>
                <w:szCs w:val="16"/>
                <w:b w:val="1"/>
                <w:bCs w:val="1"/>
                <w:color w:val="0C3D25"/>
                <w:w w:val="94"/>
              </w:rPr>
              <w:t>(weighted 50%)</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0" w:type="dxa"/>
            <w:vAlign w:val="bottom"/>
            <w:gridSpan w:val="3"/>
          </w:tcPr>
          <w:p>
            <w:pPr>
              <w:jc w:val="center"/>
              <w:ind w:right="540"/>
              <w:spacing w:after="0" w:line="146" w:lineRule="exact"/>
              <w:rPr>
                <w:sz w:val="20"/>
                <w:szCs w:val="20"/>
                <w:color w:val="auto"/>
              </w:rPr>
            </w:pPr>
            <w:r>
              <w:rPr>
                <w:rFonts w:ascii="Arial" w:cs="Arial" w:eastAsia="Arial" w:hAnsi="Arial"/>
                <w:sz w:val="16"/>
                <w:szCs w:val="16"/>
                <w:b w:val="1"/>
                <w:bCs w:val="1"/>
                <w:color w:val="0C3D25"/>
                <w:w w:val="94"/>
              </w:rPr>
              <w:t>(weighted 25%)</w:t>
            </w:r>
          </w:p>
        </w:tc>
        <w:tc>
          <w:tcPr>
            <w:tcW w:w="1840" w:type="dxa"/>
            <w:vAlign w:val="bottom"/>
            <w:gridSpan w:val="3"/>
          </w:tcPr>
          <w:p>
            <w:pPr>
              <w:jc w:val="center"/>
              <w:ind w:right="340"/>
              <w:spacing w:after="0" w:line="146" w:lineRule="exact"/>
              <w:rPr>
                <w:sz w:val="20"/>
                <w:szCs w:val="20"/>
                <w:color w:val="auto"/>
              </w:rPr>
            </w:pPr>
            <w:r>
              <w:rPr>
                <w:rFonts w:ascii="Arial" w:cs="Arial" w:eastAsia="Arial" w:hAnsi="Arial"/>
                <w:sz w:val="16"/>
                <w:szCs w:val="16"/>
                <w:b w:val="1"/>
                <w:bCs w:val="1"/>
                <w:color w:val="0C3D25"/>
                <w:w w:val="94"/>
              </w:rPr>
              <w:t>(weighted 25%)</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660" w:type="dxa"/>
            <w:vAlign w:val="bottom"/>
            <w:tcBorders>
              <w:bottom w:val="single" w:sz="8" w:color="0C3D25"/>
            </w:tcBorders>
          </w:tcPr>
          <w:p>
            <w:pPr>
              <w:spacing w:after="0"/>
              <w:rPr>
                <w:sz w:val="7"/>
                <w:szCs w:val="7"/>
                <w:color w:val="auto"/>
              </w:rPr>
            </w:pPr>
          </w:p>
        </w:tc>
        <w:tc>
          <w:tcPr>
            <w:tcW w:w="520" w:type="dxa"/>
            <w:vAlign w:val="bottom"/>
            <w:tcBorders>
              <w:bottom w:val="single" w:sz="8" w:color="0C3D25"/>
            </w:tcBorders>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Borders>
              <w:bottom w:val="single" w:sz="8" w:color="0C3D25"/>
            </w:tcBorders>
          </w:tcPr>
          <w:p>
            <w:pPr>
              <w:spacing w:after="0"/>
              <w:rPr>
                <w:sz w:val="7"/>
                <w:szCs w:val="7"/>
                <w:color w:val="auto"/>
              </w:rPr>
            </w:pPr>
          </w:p>
        </w:tc>
        <w:tc>
          <w:tcPr>
            <w:tcW w:w="1200" w:type="dxa"/>
            <w:vAlign w:val="bottom"/>
            <w:tcBorders>
              <w:bottom w:val="single" w:sz="8" w:color="0C3D25"/>
            </w:tcBorders>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Borders>
              <w:bottom w:val="single" w:sz="8" w:color="0C3D25"/>
            </w:tcBorders>
          </w:tcPr>
          <w:p>
            <w:pPr>
              <w:spacing w:after="0"/>
              <w:rPr>
                <w:sz w:val="7"/>
                <w:szCs w:val="7"/>
                <w:color w:val="auto"/>
              </w:rPr>
            </w:pPr>
          </w:p>
        </w:tc>
        <w:tc>
          <w:tcPr>
            <w:tcW w:w="720" w:type="dxa"/>
            <w:vAlign w:val="bottom"/>
            <w:tcBorders>
              <w:bottom w:val="single" w:sz="8" w:color="0C3D25"/>
            </w:tcBorders>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vMerge w:val="restart"/>
          </w:tcPr>
          <w:p>
            <w:pPr>
              <w:jc w:val="right"/>
              <w:spacing w:after="0" w:line="130" w:lineRule="exact"/>
              <w:rPr>
                <w:sz w:val="20"/>
                <w:szCs w:val="20"/>
                <w:color w:val="auto"/>
              </w:rPr>
            </w:pPr>
            <w:r>
              <w:rPr>
                <w:rFonts w:ascii="Arial" w:cs="Arial" w:eastAsia="Arial" w:hAnsi="Arial"/>
                <w:sz w:val="15"/>
                <w:szCs w:val="15"/>
                <w:b w:val="1"/>
                <w:bCs w:val="1"/>
                <w:color w:val="0C3D25"/>
              </w:rPr>
              <w:t>Payout Earned</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Arial" w:cs="Arial" w:eastAsia="Arial" w:hAnsi="Arial"/>
                <w:sz w:val="16"/>
                <w:szCs w:val="16"/>
                <w:b w:val="1"/>
                <w:bCs w:val="1"/>
                <w:color w:val="0C3D25"/>
              </w:rPr>
              <w:t>Payout</w:t>
            </w:r>
          </w:p>
        </w:tc>
        <w:tc>
          <w:tcPr>
            <w:tcW w:w="660" w:type="dxa"/>
            <w:vAlign w:val="bottom"/>
          </w:tcPr>
          <w:p>
            <w:pPr>
              <w:spacing w:after="0"/>
              <w:rPr>
                <w:sz w:val="13"/>
                <w:szCs w:val="13"/>
                <w:color w:val="auto"/>
              </w:rPr>
            </w:pPr>
          </w:p>
        </w:tc>
        <w:tc>
          <w:tcPr>
            <w:tcW w:w="1740" w:type="dxa"/>
            <w:vAlign w:val="bottom"/>
            <w:gridSpan w:val="2"/>
          </w:tcPr>
          <w:p>
            <w:pPr>
              <w:jc w:val="right"/>
              <w:ind w:right="540"/>
              <w:spacing w:after="0" w:line="160" w:lineRule="exact"/>
              <w:rPr>
                <w:sz w:val="20"/>
                <w:szCs w:val="20"/>
                <w:color w:val="auto"/>
              </w:rPr>
            </w:pPr>
            <w:r>
              <w:rPr>
                <w:rFonts w:ascii="Arial" w:cs="Arial" w:eastAsia="Arial" w:hAnsi="Arial"/>
                <w:sz w:val="16"/>
                <w:szCs w:val="16"/>
                <w:b w:val="1"/>
                <w:bCs w:val="1"/>
                <w:color w:val="0C3D25"/>
              </w:rPr>
              <w:t>Payout</w:t>
            </w:r>
          </w:p>
        </w:tc>
        <w:tc>
          <w:tcPr>
            <w:tcW w:w="780" w:type="dxa"/>
            <w:vAlign w:val="bottom"/>
          </w:tcPr>
          <w:p>
            <w:pPr>
              <w:spacing w:after="0"/>
              <w:rPr>
                <w:sz w:val="13"/>
                <w:szCs w:val="13"/>
                <w:color w:val="auto"/>
              </w:rPr>
            </w:pPr>
          </w:p>
        </w:tc>
        <w:tc>
          <w:tcPr>
            <w:tcW w:w="1060" w:type="dxa"/>
            <w:vAlign w:val="bottom"/>
            <w:gridSpan w:val="2"/>
          </w:tcPr>
          <w:p>
            <w:pPr>
              <w:ind w:left="240"/>
              <w:spacing w:after="0" w:line="160" w:lineRule="exact"/>
              <w:rPr>
                <w:sz w:val="20"/>
                <w:szCs w:val="20"/>
                <w:color w:val="auto"/>
              </w:rPr>
            </w:pPr>
            <w:r>
              <w:rPr>
                <w:rFonts w:ascii="Arial" w:cs="Arial" w:eastAsia="Arial" w:hAnsi="Arial"/>
                <w:sz w:val="16"/>
                <w:szCs w:val="16"/>
                <w:b w:val="1"/>
                <w:bCs w:val="1"/>
                <w:color w:val="0C3D25"/>
              </w:rPr>
              <w:t>Payout</w:t>
            </w:r>
          </w:p>
        </w:tc>
        <w:tc>
          <w:tcPr>
            <w:tcW w:w="144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(as a percentage</w:t>
            </w:r>
          </w:p>
        </w:tc>
        <w:tc>
          <w:tcPr>
            <w:tcW w:w="0" w:type="dxa"/>
            <w:vAlign w:val="bottom"/>
          </w:tcPr>
          <w:p>
            <w:pPr>
              <w:spacing w:after="0"/>
              <w:rPr>
                <w:sz w:val="1"/>
                <w:szCs w:val="1"/>
                <w:color w:val="auto"/>
              </w:rPr>
            </w:pPr>
          </w:p>
        </w:tc>
      </w:tr>
      <w:tr>
        <w:trPr>
          <w:trHeight w:val="184"/>
        </w:trPr>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0C3D25"/>
              </w:rPr>
              <w:t>Actual</w:t>
            </w: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0C3D25"/>
              </w:rPr>
              <w:t>Earned</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0C3D25"/>
                <w:w w:val="93"/>
              </w:rPr>
              <w:t>Actual</w:t>
            </w:r>
          </w:p>
        </w:tc>
        <w:tc>
          <w:tcPr>
            <w:tcW w:w="17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0C3D25"/>
              </w:rPr>
              <w:t>Earned</w:t>
            </w:r>
          </w:p>
        </w:tc>
        <w:tc>
          <w:tcPr>
            <w:tcW w:w="780" w:type="dxa"/>
            <w:vAlign w:val="bottom"/>
          </w:tcPr>
          <w:p>
            <w:pPr>
              <w:jc w:val="right"/>
              <w:ind w:right="236"/>
              <w:spacing w:after="0"/>
              <w:rPr>
                <w:sz w:val="20"/>
                <w:szCs w:val="20"/>
                <w:color w:val="auto"/>
              </w:rPr>
            </w:pPr>
            <w:r>
              <w:rPr>
                <w:rFonts w:ascii="Arial" w:cs="Arial" w:eastAsia="Arial" w:hAnsi="Arial"/>
                <w:sz w:val="16"/>
                <w:szCs w:val="16"/>
                <w:b w:val="1"/>
                <w:bCs w:val="1"/>
                <w:color w:val="0C3D25"/>
                <w:w w:val="89"/>
              </w:rPr>
              <w:t>Actual</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0C3D25"/>
              </w:rPr>
              <w:t>Earned</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0C3D25"/>
              </w:rPr>
              <w:t>of Target)</w:t>
            </w:r>
          </w:p>
        </w:tc>
        <w:tc>
          <w:tcPr>
            <w:tcW w:w="0" w:type="dxa"/>
            <w:vAlign w:val="bottom"/>
          </w:tcPr>
          <w:p>
            <w:pPr>
              <w:spacing w:after="0"/>
              <w:rPr>
                <w:sz w:val="1"/>
                <w:szCs w:val="1"/>
                <w:color w:val="auto"/>
              </w:rPr>
            </w:pPr>
          </w:p>
        </w:tc>
      </w:tr>
      <w:tr>
        <w:trPr>
          <w:trHeight w:val="42"/>
        </w:trPr>
        <w:tc>
          <w:tcPr>
            <w:tcW w:w="60" w:type="dxa"/>
            <w:vAlign w:val="bottom"/>
            <w:tcBorders>
              <w:bottom w:val="single" w:sz="8" w:color="0C3D25"/>
            </w:tcBorders>
          </w:tcPr>
          <w:p>
            <w:pPr>
              <w:spacing w:after="0"/>
              <w:rPr>
                <w:sz w:val="3"/>
                <w:szCs w:val="3"/>
                <w:color w:val="auto"/>
              </w:rPr>
            </w:pPr>
          </w:p>
        </w:tc>
        <w:tc>
          <w:tcPr>
            <w:tcW w:w="1660" w:type="dxa"/>
            <w:vAlign w:val="bottom"/>
            <w:tcBorders>
              <w:bottom w:val="single" w:sz="8" w:color="0C3D25"/>
            </w:tcBorders>
          </w:tcPr>
          <w:p>
            <w:pPr>
              <w:spacing w:after="0"/>
              <w:rPr>
                <w:sz w:val="3"/>
                <w:szCs w:val="3"/>
                <w:color w:val="auto"/>
              </w:rPr>
            </w:pPr>
          </w:p>
        </w:tc>
        <w:tc>
          <w:tcPr>
            <w:tcW w:w="1060" w:type="dxa"/>
            <w:vAlign w:val="bottom"/>
            <w:tcBorders>
              <w:bottom w:val="single" w:sz="8" w:color="0C3D25"/>
            </w:tcBorders>
            <w:gridSpan w:val="2"/>
          </w:tcPr>
          <w:p>
            <w:pPr>
              <w:spacing w:after="0"/>
              <w:rPr>
                <w:sz w:val="3"/>
                <w:szCs w:val="3"/>
                <w:color w:val="auto"/>
              </w:rPr>
            </w:pPr>
          </w:p>
        </w:tc>
        <w:tc>
          <w:tcPr>
            <w:tcW w:w="660" w:type="dxa"/>
            <w:vAlign w:val="bottom"/>
            <w:tcBorders>
              <w:bottom w:val="single" w:sz="8" w:color="0C3D25"/>
            </w:tcBorders>
          </w:tcPr>
          <w:p>
            <w:pPr>
              <w:spacing w:after="0"/>
              <w:rPr>
                <w:sz w:val="3"/>
                <w:szCs w:val="3"/>
                <w:color w:val="auto"/>
              </w:rPr>
            </w:pPr>
          </w:p>
        </w:tc>
        <w:tc>
          <w:tcPr>
            <w:tcW w:w="1740" w:type="dxa"/>
            <w:vAlign w:val="bottom"/>
            <w:tcBorders>
              <w:bottom w:val="single" w:sz="8" w:color="0C3D25"/>
            </w:tcBorders>
            <w:gridSpan w:val="2"/>
          </w:tcPr>
          <w:p>
            <w:pPr>
              <w:spacing w:after="0"/>
              <w:rPr>
                <w:sz w:val="3"/>
                <w:szCs w:val="3"/>
                <w:color w:val="auto"/>
              </w:rPr>
            </w:pPr>
          </w:p>
        </w:tc>
        <w:tc>
          <w:tcPr>
            <w:tcW w:w="780" w:type="dxa"/>
            <w:vAlign w:val="bottom"/>
            <w:tcBorders>
              <w:bottom w:val="single" w:sz="8" w:color="0C3D25"/>
            </w:tcBorders>
          </w:tcPr>
          <w:p>
            <w:pPr>
              <w:spacing w:after="0"/>
              <w:rPr>
                <w:sz w:val="3"/>
                <w:szCs w:val="3"/>
                <w:color w:val="auto"/>
              </w:rPr>
            </w:pPr>
          </w:p>
        </w:tc>
        <w:tc>
          <w:tcPr>
            <w:tcW w:w="1060" w:type="dxa"/>
            <w:vAlign w:val="bottom"/>
            <w:tcBorders>
              <w:bottom w:val="single" w:sz="8" w:color="0C3D25"/>
            </w:tcBorders>
            <w:gridSpan w:val="2"/>
          </w:tcPr>
          <w:p>
            <w:pPr>
              <w:spacing w:after="0"/>
              <w:rPr>
                <w:sz w:val="3"/>
                <w:szCs w:val="3"/>
                <w:color w:val="auto"/>
              </w:rPr>
            </w:pPr>
          </w:p>
        </w:tc>
        <w:tc>
          <w:tcPr>
            <w:tcW w:w="144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660" w:type="dxa"/>
            <w:vAlign w:val="bottom"/>
          </w:tcPr>
          <w:p>
            <w:pPr>
              <w:spacing w:after="0"/>
              <w:rPr>
                <w:sz w:val="20"/>
                <w:szCs w:val="20"/>
                <w:color w:val="auto"/>
              </w:rPr>
            </w:pPr>
            <w:r>
              <w:rPr>
                <w:rFonts w:ascii="Arial" w:cs="Arial" w:eastAsia="Arial" w:hAnsi="Arial"/>
                <w:sz w:val="20"/>
                <w:szCs w:val="20"/>
                <w:color w:val="auto"/>
              </w:rPr>
              <w:t>$7.438 billion</w:t>
            </w:r>
          </w:p>
        </w:tc>
        <w:tc>
          <w:tcPr>
            <w:tcW w:w="1060" w:type="dxa"/>
            <w:vAlign w:val="bottom"/>
            <w:gridSpan w:val="2"/>
          </w:tcPr>
          <w:p>
            <w:pPr>
              <w:ind w:left="40"/>
              <w:spacing w:after="0"/>
              <w:rPr>
                <w:sz w:val="20"/>
                <w:szCs w:val="20"/>
                <w:color w:val="auto"/>
              </w:rPr>
            </w:pPr>
            <w:r>
              <w:rPr>
                <w:rFonts w:ascii="Arial" w:cs="Arial" w:eastAsia="Arial" w:hAnsi="Arial"/>
                <w:sz w:val="20"/>
                <w:szCs w:val="20"/>
                <w:color w:val="auto"/>
              </w:rPr>
              <w:t>95.94%</w:t>
            </w:r>
          </w:p>
        </w:tc>
        <w:tc>
          <w:tcPr>
            <w:tcW w:w="660" w:type="dxa"/>
            <w:vAlign w:val="bottom"/>
          </w:tcPr>
          <w:p>
            <w:pPr>
              <w:jc w:val="right"/>
              <w:spacing w:after="0"/>
              <w:rPr>
                <w:sz w:val="20"/>
                <w:szCs w:val="20"/>
                <w:color w:val="auto"/>
              </w:rPr>
            </w:pPr>
            <w:r>
              <w:rPr>
                <w:rFonts w:ascii="Arial" w:cs="Arial" w:eastAsia="Arial" w:hAnsi="Arial"/>
                <w:sz w:val="20"/>
                <w:szCs w:val="20"/>
                <w:color w:val="auto"/>
              </w:rPr>
              <w:t>30.4%</w:t>
            </w:r>
          </w:p>
        </w:tc>
        <w:tc>
          <w:tcPr>
            <w:tcW w:w="1740" w:type="dxa"/>
            <w:vAlign w:val="bottom"/>
            <w:gridSpan w:val="2"/>
          </w:tcPr>
          <w:p>
            <w:pPr>
              <w:jc w:val="right"/>
              <w:ind w:right="460"/>
              <w:spacing w:after="0"/>
              <w:rPr>
                <w:sz w:val="20"/>
                <w:szCs w:val="20"/>
                <w:color w:val="auto"/>
              </w:rPr>
            </w:pPr>
            <w:r>
              <w:rPr>
                <w:rFonts w:ascii="Arial" w:cs="Arial" w:eastAsia="Arial" w:hAnsi="Arial"/>
                <w:sz w:val="20"/>
                <w:szCs w:val="20"/>
                <w:color w:val="auto"/>
              </w:rPr>
              <w:t>130.12%</w:t>
            </w:r>
          </w:p>
        </w:tc>
        <w:tc>
          <w:tcPr>
            <w:tcW w:w="780" w:type="dxa"/>
            <w:vAlign w:val="bottom"/>
          </w:tcPr>
          <w:p>
            <w:pPr>
              <w:jc w:val="right"/>
              <w:ind w:right="136"/>
              <w:spacing w:after="0"/>
              <w:rPr>
                <w:sz w:val="20"/>
                <w:szCs w:val="20"/>
                <w:color w:val="auto"/>
              </w:rPr>
            </w:pPr>
            <w:r>
              <w:rPr>
                <w:rFonts w:ascii="Arial" w:cs="Arial" w:eastAsia="Arial" w:hAnsi="Arial"/>
                <w:sz w:val="20"/>
                <w:szCs w:val="20"/>
                <w:color w:val="auto"/>
                <w:w w:val="95"/>
              </w:rPr>
              <w:t>3.97%</w:t>
            </w:r>
          </w:p>
        </w:tc>
        <w:tc>
          <w:tcPr>
            <w:tcW w:w="1060" w:type="dxa"/>
            <w:vAlign w:val="bottom"/>
            <w:gridSpan w:val="2"/>
          </w:tcPr>
          <w:p>
            <w:pPr>
              <w:ind w:left="240"/>
              <w:spacing w:after="0"/>
              <w:rPr>
                <w:sz w:val="20"/>
                <w:szCs w:val="20"/>
                <w:color w:val="auto"/>
              </w:rPr>
            </w:pPr>
            <w:r>
              <w:rPr>
                <w:rFonts w:ascii="Arial" w:cs="Arial" w:eastAsia="Arial" w:hAnsi="Arial"/>
                <w:sz w:val="20"/>
                <w:szCs w:val="20"/>
                <w:color w:val="auto"/>
              </w:rPr>
              <w:t>81.99%</w:t>
            </w:r>
          </w:p>
        </w:tc>
        <w:tc>
          <w:tcPr>
            <w:tcW w:w="1440" w:type="dxa"/>
            <w:vAlign w:val="bottom"/>
          </w:tcPr>
          <w:p>
            <w:pPr>
              <w:jc w:val="right"/>
              <w:ind w:right="117"/>
              <w:spacing w:after="0"/>
              <w:rPr>
                <w:sz w:val="20"/>
                <w:szCs w:val="20"/>
                <w:color w:val="auto"/>
              </w:rPr>
            </w:pPr>
            <w:r>
              <w:rPr>
                <w:rFonts w:ascii="Arial" w:cs="Arial" w:eastAsia="Arial" w:hAnsi="Arial"/>
                <w:sz w:val="20"/>
                <w:szCs w:val="20"/>
                <w:color w:val="auto"/>
              </w:rPr>
              <w:t>101.00%</w:t>
            </w:r>
          </w:p>
        </w:tc>
        <w:tc>
          <w:tcPr>
            <w:tcW w:w="0" w:type="dxa"/>
            <w:vAlign w:val="bottom"/>
          </w:tcPr>
          <w:p>
            <w:pPr>
              <w:spacing w:after="0"/>
              <w:rPr>
                <w:sz w:val="1"/>
                <w:szCs w:val="1"/>
                <w:color w:val="auto"/>
              </w:rPr>
            </w:pPr>
          </w:p>
        </w:tc>
      </w:tr>
      <w:tr>
        <w:trPr>
          <w:trHeight w:val="32"/>
        </w:trPr>
        <w:tc>
          <w:tcPr>
            <w:tcW w:w="60" w:type="dxa"/>
            <w:vAlign w:val="bottom"/>
            <w:tcBorders>
              <w:bottom w:val="single" w:sz="8" w:color="0C3D25"/>
            </w:tcBorders>
          </w:tcPr>
          <w:p>
            <w:pPr>
              <w:spacing w:after="0"/>
              <w:rPr>
                <w:sz w:val="2"/>
                <w:szCs w:val="2"/>
                <w:color w:val="auto"/>
              </w:rPr>
            </w:pPr>
          </w:p>
        </w:tc>
        <w:tc>
          <w:tcPr>
            <w:tcW w:w="1660" w:type="dxa"/>
            <w:vAlign w:val="bottom"/>
            <w:tcBorders>
              <w:bottom w:val="single" w:sz="8" w:color="0C3D25"/>
            </w:tcBorders>
          </w:tcPr>
          <w:p>
            <w:pPr>
              <w:spacing w:after="0"/>
              <w:rPr>
                <w:sz w:val="2"/>
                <w:szCs w:val="2"/>
                <w:color w:val="auto"/>
              </w:rPr>
            </w:pPr>
          </w:p>
        </w:tc>
        <w:tc>
          <w:tcPr>
            <w:tcW w:w="520" w:type="dxa"/>
            <w:vAlign w:val="bottom"/>
            <w:tcBorders>
              <w:bottom w:val="single" w:sz="8" w:color="0C3D25"/>
            </w:tcBorders>
          </w:tcPr>
          <w:p>
            <w:pPr>
              <w:spacing w:after="0"/>
              <w:rPr>
                <w:sz w:val="2"/>
                <w:szCs w:val="2"/>
                <w:color w:val="auto"/>
              </w:rPr>
            </w:pPr>
          </w:p>
        </w:tc>
        <w:tc>
          <w:tcPr>
            <w:tcW w:w="54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540" w:type="dxa"/>
            <w:vAlign w:val="bottom"/>
            <w:tcBorders>
              <w:bottom w:val="single" w:sz="8" w:color="0C3D25"/>
            </w:tcBorders>
          </w:tcPr>
          <w:p>
            <w:pPr>
              <w:spacing w:after="0"/>
              <w:rPr>
                <w:sz w:val="2"/>
                <w:szCs w:val="2"/>
                <w:color w:val="auto"/>
              </w:rPr>
            </w:pPr>
          </w:p>
        </w:tc>
        <w:tc>
          <w:tcPr>
            <w:tcW w:w="780" w:type="dxa"/>
            <w:vAlign w:val="bottom"/>
            <w:tcBorders>
              <w:bottom w:val="single" w:sz="8" w:color="0C3D25"/>
            </w:tcBorders>
          </w:tcPr>
          <w:p>
            <w:pPr>
              <w:spacing w:after="0"/>
              <w:rPr>
                <w:sz w:val="2"/>
                <w:szCs w:val="2"/>
                <w:color w:val="auto"/>
              </w:rPr>
            </w:pPr>
          </w:p>
        </w:tc>
        <w:tc>
          <w:tcPr>
            <w:tcW w:w="720" w:type="dxa"/>
            <w:vAlign w:val="bottom"/>
            <w:tcBorders>
              <w:bottom w:val="single" w:sz="8" w:color="0C3D25"/>
            </w:tcBorders>
          </w:tcPr>
          <w:p>
            <w:pPr>
              <w:spacing w:after="0"/>
              <w:rPr>
                <w:sz w:val="2"/>
                <w:szCs w:val="2"/>
                <w:color w:val="auto"/>
              </w:rPr>
            </w:pPr>
          </w:p>
        </w:tc>
        <w:tc>
          <w:tcPr>
            <w:tcW w:w="340" w:type="dxa"/>
            <w:vAlign w:val="bottom"/>
            <w:tcBorders>
              <w:bottom w:val="single" w:sz="8" w:color="0C3D25"/>
            </w:tcBorders>
          </w:tcPr>
          <w:p>
            <w:pPr>
              <w:spacing w:after="0"/>
              <w:rPr>
                <w:sz w:val="2"/>
                <w:szCs w:val="2"/>
                <w:color w:val="auto"/>
              </w:rPr>
            </w:pPr>
          </w:p>
        </w:tc>
        <w:tc>
          <w:tcPr>
            <w:tcW w:w="144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For purposes of the calculation of results, the Company excluded costs incurred in support of the Stericycle acquisition and integration, consistent with both the MD&amp;C Committee’s prior approach following significant acquisitions and the MD&amp;C Committee’s philosophy with respect to addressing the impact of one-time and special events to eliminate disproportionate or counterproductive results. The Company also excluded the benefit to Operating EBITDA of California wildfire volumes in 2025 that exceeded the Company’s estimate for such item at the time the performance measure was established. See Appendix B for additional information about the calculation of these results.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u w:val="single" w:color="auto"/>
          <w:color w:val="auto"/>
        </w:rPr>
        <w:t>Sustainability Modifier to Annual Cash Incentive Awards.</w:t>
      </w:r>
      <w:r>
        <w:rPr>
          <w:rFonts w:ascii="Arial" w:cs="Arial" w:eastAsia="Arial" w:hAnsi="Arial"/>
          <w:sz w:val="20"/>
          <w:szCs w:val="20"/>
          <w:i w:val="1"/>
          <w:iCs w:val="1"/>
          <w:color w:val="auto"/>
        </w:rPr>
        <w:t xml:space="preserve"> </w:t>
      </w:r>
      <w:r>
        <w:rPr>
          <w:rFonts w:ascii="Arial" w:cs="Arial" w:eastAsia="Arial" w:hAnsi="Arial"/>
          <w:sz w:val="20"/>
          <w:szCs w:val="20"/>
          <w:color w:val="auto"/>
        </w:rPr>
        <w:t>In 2025, the MD&amp;C Committee continued use of the sustainability</w:t>
      </w:r>
      <w:r>
        <w:rPr>
          <w:rFonts w:ascii="Arial" w:cs="Arial" w:eastAsia="Arial" w:hAnsi="Arial"/>
          <w:sz w:val="20"/>
          <w:szCs w:val="20"/>
          <w:i w:val="1"/>
          <w:iCs w:val="1"/>
          <w:color w:val="auto"/>
        </w:rPr>
        <w:t xml:space="preserve"> </w:t>
      </w:r>
      <w:r>
        <w:rPr>
          <w:rFonts w:ascii="Arial" w:cs="Arial" w:eastAsia="Arial" w:hAnsi="Arial"/>
          <w:sz w:val="20"/>
          <w:szCs w:val="20"/>
          <w:color w:val="auto"/>
        </w:rPr>
        <w:t>modifier, such that annual cash incentive payouts to executive officers for 2025 were eligible to be increased, or decreased, up to 10% depending on achievement calculated using the sustainability scorecard, Results achieved on each of the four performance measures, and corresponding points earned on a scale of one-to-five, are reported below. The Company earned 14 total points on the 2025 sustainability scorecard, which correlates to a 2% increase to the annual cash incentive payment for 2025 otherwise earned.</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9" w:name="page50"/>
    <w:bookmarkEnd w:id="49"/>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60" w:type="dxa"/>
            <w:vAlign w:val="bottom"/>
          </w:tcPr>
          <w:p>
            <w:pPr>
              <w:jc w:val="center"/>
              <w:ind w:left="111"/>
              <w:spacing w:after="0"/>
              <w:rPr>
                <w:sz w:val="20"/>
                <w:szCs w:val="20"/>
                <w:color w:val="auto"/>
              </w:rPr>
            </w:pPr>
            <w:r>
              <w:rPr>
                <w:rFonts w:ascii="Arial" w:cs="Arial" w:eastAsia="Arial" w:hAnsi="Arial"/>
                <w:sz w:val="16"/>
                <w:szCs w:val="16"/>
                <w:b w:val="1"/>
                <w:bCs w:val="1"/>
                <w:color w:val="0C3D25"/>
                <w:w w:val="90"/>
              </w:rPr>
              <w:t>Corresponding</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jc w:val="center"/>
              <w:ind w:left="108"/>
              <w:spacing w:after="0"/>
              <w:rPr>
                <w:sz w:val="20"/>
                <w:szCs w:val="20"/>
                <w:color w:val="auto"/>
              </w:rPr>
            </w:pPr>
            <w:r>
              <w:rPr>
                <w:rFonts w:ascii="Arial" w:cs="Arial" w:eastAsia="Arial" w:hAnsi="Arial"/>
                <w:sz w:val="16"/>
                <w:szCs w:val="16"/>
                <w:b w:val="1"/>
                <w:bCs w:val="1"/>
                <w:color w:val="0C3D25"/>
              </w:rPr>
              <w:t>2025</w:t>
            </w:r>
          </w:p>
        </w:tc>
        <w:tc>
          <w:tcPr>
            <w:tcW w:w="1560" w:type="dxa"/>
            <w:vAlign w:val="bottom"/>
          </w:tcPr>
          <w:p>
            <w:pPr>
              <w:jc w:val="center"/>
              <w:ind w:left="91"/>
              <w:spacing w:after="0"/>
              <w:rPr>
                <w:sz w:val="20"/>
                <w:szCs w:val="20"/>
                <w:color w:val="auto"/>
              </w:rPr>
            </w:pPr>
            <w:r>
              <w:rPr>
                <w:rFonts w:ascii="Arial" w:cs="Arial" w:eastAsia="Arial" w:hAnsi="Arial"/>
                <w:sz w:val="16"/>
                <w:szCs w:val="16"/>
                <w:b w:val="1"/>
                <w:bCs w:val="1"/>
                <w:color w:val="0C3D25"/>
                <w:w w:val="92"/>
              </w:rPr>
              <w:t>Scorecard Rating</w:t>
            </w:r>
          </w:p>
        </w:tc>
        <w:tc>
          <w:tcPr>
            <w:tcW w:w="0" w:type="dxa"/>
            <w:vAlign w:val="bottom"/>
          </w:tcPr>
          <w:p>
            <w:pPr>
              <w:spacing w:after="0"/>
              <w:rPr>
                <w:sz w:val="1"/>
                <w:szCs w:val="1"/>
                <w:color w:val="auto"/>
              </w:rPr>
            </w:pPr>
          </w:p>
        </w:tc>
      </w:tr>
      <w:tr>
        <w:trPr>
          <w:trHeight w:val="192"/>
        </w:trPr>
        <w:tc>
          <w:tcPr>
            <w:tcW w:w="3980" w:type="dxa"/>
            <w:vAlign w:val="bottom"/>
            <w:gridSpan w:val="7"/>
            <w:vMerge w:val="restart"/>
          </w:tcPr>
          <w:p>
            <w:pPr>
              <w:ind w:left="120"/>
              <w:spacing w:after="0"/>
              <w:rPr>
                <w:sz w:val="20"/>
                <w:szCs w:val="20"/>
                <w:color w:val="auto"/>
              </w:rPr>
            </w:pPr>
            <w:r>
              <w:rPr>
                <w:rFonts w:ascii="Arial" w:cs="Arial" w:eastAsia="Arial" w:hAnsi="Arial"/>
                <w:sz w:val="16"/>
                <w:szCs w:val="16"/>
                <w:b w:val="1"/>
                <w:bCs w:val="1"/>
                <w:color w:val="0C3D25"/>
                <w:w w:val="98"/>
              </w:rPr>
              <w:t>2025 Sustainability Modifier Performance Measures</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C3D25"/>
                <w:w w:val="96"/>
              </w:rPr>
              <w:t>2025 Target</w:t>
            </w:r>
          </w:p>
        </w:tc>
        <w:tc>
          <w:tcPr>
            <w:tcW w:w="1520" w:type="dxa"/>
            <w:vAlign w:val="bottom"/>
          </w:tcPr>
          <w:p>
            <w:pPr>
              <w:jc w:val="center"/>
              <w:ind w:left="68"/>
              <w:spacing w:after="0"/>
              <w:rPr>
                <w:sz w:val="20"/>
                <w:szCs w:val="20"/>
                <w:color w:val="auto"/>
              </w:rPr>
            </w:pPr>
            <w:r>
              <w:rPr>
                <w:rFonts w:ascii="Arial" w:cs="Arial" w:eastAsia="Arial" w:hAnsi="Arial"/>
                <w:sz w:val="16"/>
                <w:szCs w:val="16"/>
                <w:b w:val="1"/>
                <w:bCs w:val="1"/>
                <w:color w:val="0C3D25"/>
                <w:w w:val="91"/>
              </w:rPr>
              <w:t>Scorecard Range</w:t>
            </w:r>
          </w:p>
        </w:tc>
        <w:tc>
          <w:tcPr>
            <w:tcW w:w="1560" w:type="dxa"/>
            <w:vAlign w:val="bottom"/>
          </w:tcPr>
          <w:p>
            <w:pPr>
              <w:jc w:val="center"/>
              <w:ind w:left="111"/>
              <w:spacing w:after="0" w:line="183" w:lineRule="exact"/>
              <w:rPr>
                <w:sz w:val="20"/>
                <w:szCs w:val="20"/>
                <w:color w:val="auto"/>
              </w:rPr>
            </w:pPr>
            <w:r>
              <w:rPr>
                <w:rFonts w:ascii="Arial" w:cs="Arial" w:eastAsia="Arial" w:hAnsi="Arial"/>
                <w:sz w:val="16"/>
                <w:szCs w:val="16"/>
                <w:b w:val="1"/>
                <w:bCs w:val="1"/>
                <w:color w:val="0C3D25"/>
                <w:w w:val="94"/>
              </w:rPr>
              <w:t>(-10 to 10 Point</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0C3D25"/>
            </w:tcBorders>
            <w:gridSpan w:val="7"/>
            <w:vMerge w:val="continue"/>
          </w:tcPr>
          <w:p>
            <w:pPr>
              <w:spacing w:after="0"/>
              <w:rPr>
                <w:sz w:val="17"/>
                <w:szCs w:val="17"/>
                <w:color w:val="auto"/>
              </w:rPr>
            </w:pPr>
          </w:p>
        </w:tc>
        <w:tc>
          <w:tcPr>
            <w:tcW w:w="500" w:type="dxa"/>
            <w:vAlign w:val="bottom"/>
            <w:tcBorders>
              <w:bottom w:val="single" w:sz="8" w:color="0C3D25"/>
            </w:tcBorders>
          </w:tcPr>
          <w:p>
            <w:pPr>
              <w:spacing w:after="0"/>
              <w:rPr>
                <w:sz w:val="17"/>
                <w:szCs w:val="17"/>
                <w:color w:val="auto"/>
              </w:rPr>
            </w:pPr>
          </w:p>
        </w:tc>
        <w:tc>
          <w:tcPr>
            <w:tcW w:w="540" w:type="dxa"/>
            <w:vAlign w:val="bottom"/>
            <w:tcBorders>
              <w:bottom w:val="single" w:sz="8" w:color="0C3D25"/>
            </w:tcBorders>
          </w:tcPr>
          <w:p>
            <w:pPr>
              <w:spacing w:after="0"/>
              <w:rPr>
                <w:sz w:val="17"/>
                <w:szCs w:val="17"/>
                <w:color w:val="auto"/>
              </w:rPr>
            </w:pPr>
          </w:p>
        </w:tc>
        <w:tc>
          <w:tcPr>
            <w:tcW w:w="560" w:type="dxa"/>
            <w:vAlign w:val="bottom"/>
            <w:tcBorders>
              <w:bottom w:val="single" w:sz="8" w:color="0C3D25"/>
            </w:tcBorders>
          </w:tcPr>
          <w:p>
            <w:pPr>
              <w:spacing w:after="0"/>
              <w:rPr>
                <w:sz w:val="17"/>
                <w:szCs w:val="17"/>
                <w:color w:val="auto"/>
              </w:rPr>
            </w:pPr>
          </w:p>
        </w:tc>
        <w:tc>
          <w:tcPr>
            <w:tcW w:w="340" w:type="dxa"/>
            <w:vAlign w:val="bottom"/>
            <w:tcBorders>
              <w:bottom w:val="single" w:sz="8" w:color="0C3D25"/>
            </w:tcBorders>
          </w:tcPr>
          <w:p>
            <w:pPr>
              <w:spacing w:after="0"/>
              <w:rPr>
                <w:sz w:val="17"/>
                <w:szCs w:val="17"/>
                <w:color w:val="auto"/>
              </w:rPr>
            </w:pPr>
          </w:p>
        </w:tc>
        <w:tc>
          <w:tcPr>
            <w:tcW w:w="1060" w:type="dxa"/>
            <w:vAlign w:val="bottom"/>
            <w:tcBorders>
              <w:bottom w:val="single" w:sz="8" w:color="0C3D25"/>
            </w:tcBorders>
            <w:gridSpan w:val="2"/>
            <w:vMerge w:val="continue"/>
          </w:tcPr>
          <w:p>
            <w:pPr>
              <w:spacing w:after="0"/>
              <w:rPr>
                <w:sz w:val="17"/>
                <w:szCs w:val="17"/>
                <w:color w:val="auto"/>
              </w:rPr>
            </w:pPr>
          </w:p>
        </w:tc>
        <w:tc>
          <w:tcPr>
            <w:tcW w:w="1520" w:type="dxa"/>
            <w:vAlign w:val="bottom"/>
            <w:tcBorders>
              <w:bottom w:val="single" w:sz="8" w:color="0C3D25"/>
            </w:tcBorders>
          </w:tcPr>
          <w:p>
            <w:pPr>
              <w:jc w:val="center"/>
              <w:ind w:left="88"/>
              <w:spacing w:after="0"/>
              <w:rPr>
                <w:sz w:val="20"/>
                <w:szCs w:val="20"/>
                <w:color w:val="auto"/>
              </w:rPr>
            </w:pPr>
            <w:r>
              <w:rPr>
                <w:rFonts w:ascii="Arial" w:cs="Arial" w:eastAsia="Arial" w:hAnsi="Arial"/>
                <w:sz w:val="16"/>
                <w:szCs w:val="16"/>
                <w:b w:val="1"/>
                <w:bCs w:val="1"/>
                <w:color w:val="0C3D25"/>
                <w:w w:val="92"/>
              </w:rPr>
              <w:t>Achieved</w:t>
            </w:r>
          </w:p>
        </w:tc>
        <w:tc>
          <w:tcPr>
            <w:tcW w:w="1560" w:type="dxa"/>
            <w:vAlign w:val="bottom"/>
            <w:tcBorders>
              <w:bottom w:val="single" w:sz="8" w:color="0C3D25"/>
            </w:tcBorders>
          </w:tcPr>
          <w:p>
            <w:pPr>
              <w:jc w:val="center"/>
              <w:ind w:left="111"/>
              <w:spacing w:after="0" w:line="183" w:lineRule="exact"/>
              <w:rPr>
                <w:sz w:val="20"/>
                <w:szCs w:val="20"/>
                <w:color w:val="auto"/>
              </w:rPr>
            </w:pPr>
            <w:r>
              <w:rPr>
                <w:rFonts w:ascii="Arial" w:cs="Arial" w:eastAsia="Arial" w:hAnsi="Arial"/>
                <w:sz w:val="16"/>
                <w:szCs w:val="16"/>
                <w:b w:val="1"/>
                <w:bCs w:val="1"/>
                <w:color w:val="0C3D25"/>
                <w:w w:val="93"/>
              </w:rPr>
              <w:t>Scale)</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4800" w:type="dxa"/>
            <w:vAlign w:val="bottom"/>
            <w:gridSpan w:val="10"/>
          </w:tcPr>
          <w:p>
            <w:pPr>
              <w:ind w:left="20"/>
              <w:spacing w:after="0"/>
              <w:rPr>
                <w:sz w:val="20"/>
                <w:szCs w:val="20"/>
                <w:color w:val="auto"/>
              </w:rPr>
            </w:pPr>
            <w:r>
              <w:rPr>
                <w:rFonts w:ascii="Arial" w:cs="Arial" w:eastAsia="Arial" w:hAnsi="Arial"/>
                <w:sz w:val="19"/>
                <w:szCs w:val="19"/>
                <w:color w:val="auto"/>
                <w:w w:val="95"/>
              </w:rPr>
              <w:t>Invest in and Continuously Enhance WM’s Safety Culture –</w:t>
            </w:r>
          </w:p>
        </w:tc>
        <w:tc>
          <w:tcPr>
            <w:tcW w:w="1060" w:type="dxa"/>
            <w:vAlign w:val="bottom"/>
            <w:gridSpan w:val="2"/>
            <w:vMerge w:val="restart"/>
          </w:tcPr>
          <w:p>
            <w:pPr>
              <w:jc w:val="center"/>
              <w:spacing w:after="0"/>
              <w:rPr>
                <w:sz w:val="20"/>
                <w:szCs w:val="20"/>
                <w:color w:val="auto"/>
              </w:rPr>
            </w:pPr>
            <w:r>
              <w:rPr>
                <w:rFonts w:ascii="Arial" w:cs="Arial" w:eastAsia="Arial" w:hAnsi="Arial"/>
                <w:sz w:val="19"/>
                <w:szCs w:val="19"/>
                <w:color w:val="auto"/>
                <w:w w:val="85"/>
              </w:rPr>
              <w:t>TRIR</w:t>
            </w: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12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Safety</w:t>
            </w:r>
          </w:p>
        </w:tc>
        <w:tc>
          <w:tcPr>
            <w:tcW w:w="4460" w:type="dxa"/>
            <w:vAlign w:val="bottom"/>
            <w:gridSpan w:val="9"/>
            <w:vMerge w:val="restart"/>
          </w:tcPr>
          <w:p>
            <w:pPr>
              <w:ind w:left="20"/>
              <w:spacing w:after="0"/>
              <w:rPr>
                <w:sz w:val="20"/>
                <w:szCs w:val="20"/>
                <w:color w:val="auto"/>
              </w:rPr>
            </w:pPr>
            <w:r>
              <w:rPr>
                <w:rFonts w:ascii="Arial" w:cs="Arial" w:eastAsia="Arial" w:hAnsi="Arial"/>
                <w:sz w:val="19"/>
                <w:szCs w:val="19"/>
                <w:color w:val="auto"/>
                <w:w w:val="95"/>
              </w:rPr>
              <w:t>Improve Total Records Incident Rate (TRIR), subject to</w:t>
            </w:r>
          </w:p>
        </w:tc>
        <w:tc>
          <w:tcPr>
            <w:tcW w:w="3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520" w:type="dxa"/>
            <w:vAlign w:val="bottom"/>
            <w:vMerge w:val="restart"/>
          </w:tcPr>
          <w:p>
            <w:pPr>
              <w:jc w:val="center"/>
              <w:ind w:left="88"/>
              <w:spacing w:after="0"/>
              <w:rPr>
                <w:sz w:val="20"/>
                <w:szCs w:val="20"/>
                <w:color w:val="auto"/>
              </w:rPr>
            </w:pPr>
            <w:r>
              <w:rPr>
                <w:rFonts w:ascii="Arial" w:cs="Arial" w:eastAsia="Arial" w:hAnsi="Arial"/>
                <w:sz w:val="19"/>
                <w:szCs w:val="19"/>
                <w:color w:val="auto"/>
                <w:w w:val="94"/>
              </w:rPr>
              <w:t>3.18 – 3.07</w:t>
            </w:r>
          </w:p>
        </w:tc>
        <w:tc>
          <w:tcPr>
            <w:tcW w:w="1560" w:type="dxa"/>
            <w:vAlign w:val="bottom"/>
            <w:vMerge w:val="restart"/>
          </w:tcPr>
          <w:p>
            <w:pPr>
              <w:jc w:val="center"/>
              <w:ind w:left="91"/>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116"/>
        </w:trPr>
        <w:tc>
          <w:tcPr>
            <w:tcW w:w="1120" w:type="dxa"/>
            <w:vAlign w:val="bottom"/>
            <w:vMerge w:val="continue"/>
          </w:tcPr>
          <w:p>
            <w:pPr>
              <w:spacing w:after="0"/>
              <w:rPr>
                <w:sz w:val="10"/>
                <w:szCs w:val="10"/>
                <w:color w:val="auto"/>
              </w:rPr>
            </w:pPr>
          </w:p>
        </w:tc>
        <w:tc>
          <w:tcPr>
            <w:tcW w:w="4460" w:type="dxa"/>
            <w:vAlign w:val="bottom"/>
            <w:gridSpan w:val="9"/>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9"/>
                <w:szCs w:val="19"/>
                <w:color w:val="auto"/>
                <w:w w:val="94"/>
              </w:rPr>
              <w:t>3.06 – 2.95</w:t>
            </w:r>
          </w:p>
        </w:tc>
        <w:tc>
          <w:tcPr>
            <w:tcW w:w="15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4800" w:type="dxa"/>
            <w:vAlign w:val="bottom"/>
            <w:gridSpan w:val="10"/>
            <w:vMerge w:val="restart"/>
          </w:tcPr>
          <w:p>
            <w:pPr>
              <w:ind w:left="20"/>
              <w:spacing w:after="0"/>
              <w:rPr>
                <w:sz w:val="20"/>
                <w:szCs w:val="20"/>
                <w:color w:val="auto"/>
              </w:rPr>
            </w:pPr>
            <w:r>
              <w:rPr>
                <w:rFonts w:ascii="Arial" w:cs="Arial" w:eastAsia="Arial" w:hAnsi="Arial"/>
                <w:sz w:val="19"/>
                <w:szCs w:val="19"/>
                <w:color w:val="auto"/>
              </w:rPr>
              <w:t>Qualitative Assessment of Overall Results and Incidents</w:t>
            </w:r>
          </w:p>
        </w:tc>
        <w:tc>
          <w:tcPr>
            <w:tcW w:w="106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4800" w:type="dxa"/>
            <w:vAlign w:val="bottom"/>
            <w:gridSpan w:val="10"/>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Employee</w:t>
            </w:r>
          </w:p>
        </w:tc>
        <w:tc>
          <w:tcPr>
            <w:tcW w:w="4460" w:type="dxa"/>
            <w:vAlign w:val="bottom"/>
            <w:tcBorders>
              <w:bottom w:val="single" w:sz="8" w:color="0C3D25"/>
            </w:tcBorders>
            <w:gridSpan w:val="9"/>
          </w:tcPr>
          <w:p>
            <w:pPr>
              <w:spacing w:after="0"/>
              <w:rPr>
                <w:sz w:val="3"/>
                <w:szCs w:val="3"/>
                <w:color w:val="auto"/>
              </w:rPr>
            </w:pPr>
          </w:p>
        </w:tc>
        <w:tc>
          <w:tcPr>
            <w:tcW w:w="340" w:type="dxa"/>
            <w:vAlign w:val="bottom"/>
            <w:tcBorders>
              <w:bottom w:val="single" w:sz="8" w:color="0C3D25"/>
            </w:tcBorders>
          </w:tcPr>
          <w:p>
            <w:pPr>
              <w:spacing w:after="0"/>
              <w:rPr>
                <w:sz w:val="3"/>
                <w:szCs w:val="3"/>
                <w:color w:val="auto"/>
              </w:rPr>
            </w:pPr>
          </w:p>
        </w:tc>
        <w:tc>
          <w:tcPr>
            <w:tcW w:w="560" w:type="dxa"/>
            <w:vAlign w:val="bottom"/>
            <w:tcBorders>
              <w:bottom w:val="single" w:sz="8" w:color="0C3D25"/>
            </w:tcBorders>
          </w:tcPr>
          <w:p>
            <w:pPr>
              <w:spacing w:after="0"/>
              <w:rPr>
                <w:sz w:val="3"/>
                <w:szCs w:val="3"/>
                <w:color w:val="auto"/>
              </w:rPr>
            </w:pPr>
          </w:p>
        </w:tc>
        <w:tc>
          <w:tcPr>
            <w:tcW w:w="500" w:type="dxa"/>
            <w:vAlign w:val="bottom"/>
            <w:tcBorders>
              <w:bottom w:val="single" w:sz="8" w:color="0C3D25"/>
            </w:tcBorders>
          </w:tcPr>
          <w:p>
            <w:pPr>
              <w:spacing w:after="0"/>
              <w:rPr>
                <w:sz w:val="3"/>
                <w:szCs w:val="3"/>
                <w:color w:val="auto"/>
              </w:rPr>
            </w:pPr>
          </w:p>
        </w:tc>
        <w:tc>
          <w:tcPr>
            <w:tcW w:w="1520" w:type="dxa"/>
            <w:vAlign w:val="bottom"/>
            <w:tcBorders>
              <w:bottom w:val="single" w:sz="8" w:color="0C3D25"/>
            </w:tcBorders>
          </w:tcPr>
          <w:p>
            <w:pPr>
              <w:spacing w:after="0"/>
              <w:rPr>
                <w:sz w:val="3"/>
                <w:szCs w:val="3"/>
                <w:color w:val="auto"/>
              </w:rPr>
            </w:pPr>
          </w:p>
        </w:tc>
        <w:tc>
          <w:tcPr>
            <w:tcW w:w="156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120" w:type="dxa"/>
            <w:vAlign w:val="bottom"/>
            <w:vMerge w:val="continue"/>
          </w:tcPr>
          <w:p>
            <w:pPr>
              <w:spacing w:after="0"/>
              <w:rPr>
                <w:sz w:val="20"/>
                <w:szCs w:val="20"/>
                <w:color w:val="auto"/>
              </w:rPr>
            </w:pPr>
          </w:p>
        </w:tc>
        <w:tc>
          <w:tcPr>
            <w:tcW w:w="4460" w:type="dxa"/>
            <w:vAlign w:val="bottom"/>
            <w:gridSpan w:val="9"/>
          </w:tcPr>
          <w:p>
            <w:pPr>
              <w:ind w:left="20"/>
              <w:spacing w:after="0"/>
              <w:rPr>
                <w:sz w:val="20"/>
                <w:szCs w:val="20"/>
                <w:color w:val="auto"/>
              </w:rPr>
            </w:pPr>
            <w:r>
              <w:rPr>
                <w:rFonts w:ascii="Arial" w:cs="Arial" w:eastAsia="Arial" w:hAnsi="Arial"/>
                <w:sz w:val="19"/>
                <w:szCs w:val="19"/>
                <w:color w:val="auto"/>
              </w:rPr>
              <w:t>Improve or Sustain “Engagement Score” in annual</w:t>
            </w:r>
          </w:p>
        </w:tc>
        <w:tc>
          <w:tcPr>
            <w:tcW w:w="340" w:type="dxa"/>
            <w:vAlign w:val="bottom"/>
          </w:tcPr>
          <w:p>
            <w:pPr>
              <w:spacing w:after="0"/>
              <w:rPr>
                <w:sz w:val="20"/>
                <w:szCs w:val="20"/>
                <w:color w:val="auto"/>
              </w:rPr>
            </w:pPr>
          </w:p>
        </w:tc>
        <w:tc>
          <w:tcPr>
            <w:tcW w:w="1060" w:type="dxa"/>
            <w:vAlign w:val="bottom"/>
            <w:gridSpan w:val="2"/>
            <w:vMerge w:val="restart"/>
          </w:tcPr>
          <w:p>
            <w:pPr>
              <w:jc w:val="right"/>
              <w:ind w:right="264"/>
              <w:spacing w:after="0"/>
              <w:rPr>
                <w:sz w:val="20"/>
                <w:szCs w:val="20"/>
                <w:color w:val="auto"/>
              </w:rPr>
            </w:pPr>
            <w:r>
              <w:rPr>
                <w:rFonts w:ascii="Arial" w:cs="Arial" w:eastAsia="Arial" w:hAnsi="Arial"/>
                <w:sz w:val="15"/>
                <w:szCs w:val="15"/>
                <w:color w:val="auto"/>
              </w:rPr>
              <w:t>78%</w:t>
            </w:r>
          </w:p>
        </w:tc>
        <w:tc>
          <w:tcPr>
            <w:tcW w:w="1520" w:type="dxa"/>
            <w:vAlign w:val="bottom"/>
            <w:vMerge w:val="restart"/>
          </w:tcPr>
          <w:p>
            <w:pPr>
              <w:jc w:val="center"/>
              <w:ind w:left="88"/>
              <w:spacing w:after="0"/>
              <w:rPr>
                <w:sz w:val="20"/>
                <w:szCs w:val="20"/>
                <w:color w:val="auto"/>
              </w:rPr>
            </w:pPr>
            <w:r>
              <w:rPr>
                <w:rFonts w:ascii="Arial" w:cs="Arial" w:eastAsia="Arial" w:hAnsi="Arial"/>
                <w:sz w:val="19"/>
                <w:szCs w:val="19"/>
                <w:color w:val="auto"/>
                <w:w w:val="92"/>
              </w:rPr>
              <w:t>79 – 81%</w:t>
            </w:r>
          </w:p>
        </w:tc>
        <w:tc>
          <w:tcPr>
            <w:tcW w:w="1560" w:type="dxa"/>
            <w:vAlign w:val="bottom"/>
            <w:vMerge w:val="restart"/>
          </w:tcPr>
          <w:p>
            <w:pPr>
              <w:jc w:val="center"/>
              <w:ind w:left="91"/>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130"/>
        </w:trPr>
        <w:tc>
          <w:tcPr>
            <w:tcW w:w="3560" w:type="dxa"/>
            <w:vAlign w:val="bottom"/>
            <w:gridSpan w:val="6"/>
            <w:vMerge w:val="restart"/>
          </w:tcPr>
          <w:p>
            <w:pPr>
              <w:ind w:left="60"/>
              <w:spacing w:after="0"/>
              <w:rPr>
                <w:sz w:val="20"/>
                <w:szCs w:val="20"/>
                <w:color w:val="auto"/>
              </w:rPr>
            </w:pPr>
            <w:r>
              <w:rPr>
                <w:rFonts w:ascii="Arial" w:cs="Arial" w:eastAsia="Arial" w:hAnsi="Arial"/>
                <w:sz w:val="19"/>
                <w:szCs w:val="19"/>
                <w:b w:val="1"/>
                <w:bCs w:val="1"/>
                <w:color w:val="auto"/>
                <w:w w:val="93"/>
              </w:rPr>
              <w:t xml:space="preserve">Engagement </w:t>
            </w:r>
            <w:r>
              <w:rPr>
                <w:rFonts w:ascii="Arial" w:cs="Arial" w:eastAsia="Arial" w:hAnsi="Arial"/>
                <w:sz w:val="19"/>
                <w:szCs w:val="19"/>
                <w:color w:val="auto"/>
                <w:w w:val="93"/>
              </w:rPr>
              <w:t>Voice of the Employee survey</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560" w:type="dxa"/>
            <w:vAlign w:val="bottom"/>
            <w:gridSpan w:val="6"/>
            <w:vMerge w:val="continue"/>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120" w:type="dxa"/>
            <w:vAlign w:val="bottom"/>
          </w:tcPr>
          <w:p>
            <w:pPr>
              <w:spacing w:after="0"/>
              <w:rPr>
                <w:sz w:val="6"/>
                <w:szCs w:val="6"/>
                <w:color w:val="auto"/>
              </w:rPr>
            </w:pPr>
          </w:p>
        </w:tc>
        <w:tc>
          <w:tcPr>
            <w:tcW w:w="3900" w:type="dxa"/>
            <w:vAlign w:val="bottom"/>
            <w:tcBorders>
              <w:bottom w:val="single" w:sz="8" w:color="0C3D25"/>
            </w:tcBorders>
            <w:gridSpan w:val="8"/>
          </w:tcPr>
          <w:p>
            <w:pPr>
              <w:spacing w:after="0"/>
              <w:rPr>
                <w:sz w:val="6"/>
                <w:szCs w:val="6"/>
                <w:color w:val="auto"/>
              </w:rPr>
            </w:pPr>
          </w:p>
        </w:tc>
        <w:tc>
          <w:tcPr>
            <w:tcW w:w="560" w:type="dxa"/>
            <w:vAlign w:val="bottom"/>
            <w:tcBorders>
              <w:bottom w:val="single" w:sz="8" w:color="0C3D25"/>
            </w:tcBorders>
          </w:tcPr>
          <w:p>
            <w:pPr>
              <w:spacing w:after="0"/>
              <w:rPr>
                <w:sz w:val="6"/>
                <w:szCs w:val="6"/>
                <w:color w:val="auto"/>
              </w:rPr>
            </w:pPr>
          </w:p>
        </w:tc>
        <w:tc>
          <w:tcPr>
            <w:tcW w:w="340" w:type="dxa"/>
            <w:vAlign w:val="bottom"/>
            <w:tcBorders>
              <w:bottom w:val="single" w:sz="8" w:color="0C3D25"/>
            </w:tcBorders>
          </w:tcPr>
          <w:p>
            <w:pPr>
              <w:spacing w:after="0"/>
              <w:rPr>
                <w:sz w:val="6"/>
                <w:szCs w:val="6"/>
                <w:color w:val="auto"/>
              </w:rPr>
            </w:pPr>
          </w:p>
        </w:tc>
        <w:tc>
          <w:tcPr>
            <w:tcW w:w="560" w:type="dxa"/>
            <w:vAlign w:val="bottom"/>
            <w:tcBorders>
              <w:bottom w:val="single" w:sz="8" w:color="0C3D25"/>
            </w:tcBorders>
          </w:tcPr>
          <w:p>
            <w:pPr>
              <w:spacing w:after="0"/>
              <w:rPr>
                <w:sz w:val="6"/>
                <w:szCs w:val="6"/>
                <w:color w:val="auto"/>
              </w:rPr>
            </w:pPr>
          </w:p>
        </w:tc>
        <w:tc>
          <w:tcPr>
            <w:tcW w:w="500" w:type="dxa"/>
            <w:vAlign w:val="bottom"/>
            <w:tcBorders>
              <w:bottom w:val="single" w:sz="8" w:color="0C3D25"/>
            </w:tcBorders>
          </w:tcPr>
          <w:p>
            <w:pPr>
              <w:spacing w:after="0"/>
              <w:rPr>
                <w:sz w:val="6"/>
                <w:szCs w:val="6"/>
                <w:color w:val="auto"/>
              </w:rPr>
            </w:pPr>
          </w:p>
        </w:tc>
        <w:tc>
          <w:tcPr>
            <w:tcW w:w="1520" w:type="dxa"/>
            <w:vAlign w:val="bottom"/>
            <w:tcBorders>
              <w:bottom w:val="single" w:sz="8" w:color="0C3D25"/>
            </w:tcBorders>
          </w:tcPr>
          <w:p>
            <w:pPr>
              <w:spacing w:after="0"/>
              <w:rPr>
                <w:sz w:val="6"/>
                <w:szCs w:val="6"/>
                <w:color w:val="auto"/>
              </w:rPr>
            </w:pPr>
          </w:p>
        </w:tc>
        <w:tc>
          <w:tcPr>
            <w:tcW w:w="1560" w:type="dxa"/>
            <w:vAlign w:val="bottom"/>
            <w:tcBorders>
              <w:bottom w:val="single" w:sz="8" w:color="0C3D25"/>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60"/>
              <w:spacing w:after="0"/>
              <w:rPr>
                <w:sz w:val="20"/>
                <w:szCs w:val="20"/>
                <w:color w:val="auto"/>
              </w:rPr>
            </w:pPr>
            <w:r>
              <w:rPr>
                <w:rFonts w:ascii="Arial" w:cs="Arial" w:eastAsia="Arial" w:hAnsi="Arial"/>
                <w:sz w:val="19"/>
                <w:szCs w:val="19"/>
                <w:b w:val="1"/>
                <w:bCs w:val="1"/>
                <w:color w:val="auto"/>
              </w:rPr>
              <w:t>Circularity</w:t>
            </w:r>
          </w:p>
        </w:tc>
        <w:tc>
          <w:tcPr>
            <w:tcW w:w="3900" w:type="dxa"/>
            <w:vAlign w:val="bottom"/>
            <w:gridSpan w:val="8"/>
          </w:tcPr>
          <w:p>
            <w:pPr>
              <w:ind w:left="20"/>
              <w:spacing w:after="0"/>
              <w:rPr>
                <w:sz w:val="20"/>
                <w:szCs w:val="20"/>
                <w:color w:val="auto"/>
              </w:rPr>
            </w:pPr>
            <w:r>
              <w:rPr>
                <w:rFonts w:ascii="Arial" w:cs="Arial" w:eastAsia="Arial" w:hAnsi="Arial"/>
                <w:sz w:val="19"/>
                <w:szCs w:val="19"/>
                <w:color w:val="auto"/>
              </w:rPr>
              <w:t>Increase tons recovered in recycling business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9"/>
                <w:szCs w:val="19"/>
                <w:color w:val="auto"/>
                <w:w w:val="97"/>
              </w:rPr>
              <w:t>10.5 Million</w:t>
            </w:r>
          </w:p>
        </w:tc>
        <w:tc>
          <w:tcPr>
            <w:tcW w:w="1520" w:type="dxa"/>
            <w:vAlign w:val="bottom"/>
          </w:tcPr>
          <w:p>
            <w:pPr>
              <w:jc w:val="center"/>
              <w:ind w:left="88"/>
              <w:spacing w:after="0"/>
              <w:rPr>
                <w:sz w:val="20"/>
                <w:szCs w:val="20"/>
                <w:color w:val="auto"/>
              </w:rPr>
            </w:pPr>
            <w:r>
              <w:rPr>
                <w:rFonts w:ascii="Arial" w:cs="Arial" w:eastAsia="Arial" w:hAnsi="Arial"/>
                <w:sz w:val="19"/>
                <w:szCs w:val="19"/>
                <w:color w:val="auto"/>
                <w:w w:val="92"/>
              </w:rPr>
              <w:t>10.5 to</w:t>
            </w:r>
          </w:p>
        </w:tc>
        <w:tc>
          <w:tcPr>
            <w:tcW w:w="1560" w:type="dxa"/>
            <w:vAlign w:val="bottom"/>
          </w:tcPr>
          <w:p>
            <w:pPr>
              <w:jc w:val="center"/>
              <w:ind w:left="91"/>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400" w:type="dxa"/>
            <w:vAlign w:val="bottom"/>
            <w:tcBorders>
              <w:bottom w:val="single" w:sz="8" w:color="0C3D25"/>
            </w:tcBorders>
            <w:gridSpan w:val="3"/>
          </w:tcPr>
          <w:p>
            <w:pPr>
              <w:ind w:left="20"/>
              <w:spacing w:after="0" w:line="214" w:lineRule="exact"/>
              <w:rPr>
                <w:sz w:val="20"/>
                <w:szCs w:val="20"/>
                <w:color w:val="auto"/>
              </w:rPr>
            </w:pPr>
            <w:r>
              <w:rPr>
                <w:rFonts w:ascii="Arial" w:cs="Arial" w:eastAsia="Arial" w:hAnsi="Arial"/>
                <w:sz w:val="19"/>
                <w:szCs w:val="19"/>
                <w:color w:val="auto"/>
                <w:w w:val="99"/>
              </w:rPr>
              <w:t>(year-over-year)</w:t>
            </w:r>
          </w:p>
        </w:tc>
        <w:tc>
          <w:tcPr>
            <w:tcW w:w="480" w:type="dxa"/>
            <w:vAlign w:val="bottom"/>
            <w:tcBorders>
              <w:bottom w:val="single" w:sz="8" w:color="0C3D25"/>
            </w:tcBorders>
          </w:tcPr>
          <w:p>
            <w:pPr>
              <w:spacing w:after="0"/>
              <w:rPr>
                <w:sz w:val="18"/>
                <w:szCs w:val="18"/>
                <w:color w:val="auto"/>
              </w:rPr>
            </w:pPr>
          </w:p>
        </w:tc>
        <w:tc>
          <w:tcPr>
            <w:tcW w:w="560" w:type="dxa"/>
            <w:vAlign w:val="bottom"/>
            <w:tcBorders>
              <w:bottom w:val="single" w:sz="8" w:color="0C3D25"/>
            </w:tcBorders>
          </w:tcPr>
          <w:p>
            <w:pPr>
              <w:spacing w:after="0"/>
              <w:rPr>
                <w:sz w:val="18"/>
                <w:szCs w:val="18"/>
                <w:color w:val="auto"/>
              </w:rPr>
            </w:pPr>
          </w:p>
        </w:tc>
        <w:tc>
          <w:tcPr>
            <w:tcW w:w="420" w:type="dxa"/>
            <w:vAlign w:val="bottom"/>
            <w:tcBorders>
              <w:bottom w:val="single" w:sz="8" w:color="0C3D25"/>
            </w:tcBorders>
          </w:tcPr>
          <w:p>
            <w:pPr>
              <w:spacing w:after="0"/>
              <w:rPr>
                <w:sz w:val="18"/>
                <w:szCs w:val="18"/>
                <w:color w:val="auto"/>
              </w:rPr>
            </w:pPr>
          </w:p>
        </w:tc>
        <w:tc>
          <w:tcPr>
            <w:tcW w:w="500" w:type="dxa"/>
            <w:vAlign w:val="bottom"/>
            <w:tcBorders>
              <w:bottom w:val="single" w:sz="8" w:color="0C3D25"/>
            </w:tcBorders>
          </w:tcPr>
          <w:p>
            <w:pPr>
              <w:spacing w:after="0"/>
              <w:rPr>
                <w:sz w:val="18"/>
                <w:szCs w:val="18"/>
                <w:color w:val="auto"/>
              </w:rPr>
            </w:pPr>
          </w:p>
        </w:tc>
        <w:tc>
          <w:tcPr>
            <w:tcW w:w="540" w:type="dxa"/>
            <w:vAlign w:val="bottom"/>
            <w:tcBorders>
              <w:bottom w:val="single" w:sz="8" w:color="0C3D25"/>
            </w:tcBorders>
          </w:tcPr>
          <w:p>
            <w:pPr>
              <w:spacing w:after="0"/>
              <w:rPr>
                <w:sz w:val="18"/>
                <w:szCs w:val="18"/>
                <w:color w:val="auto"/>
              </w:rPr>
            </w:pPr>
          </w:p>
        </w:tc>
        <w:tc>
          <w:tcPr>
            <w:tcW w:w="560" w:type="dxa"/>
            <w:vAlign w:val="bottom"/>
            <w:tcBorders>
              <w:bottom w:val="single" w:sz="8" w:color="0C3D25"/>
            </w:tcBorders>
          </w:tcPr>
          <w:p>
            <w:pPr>
              <w:spacing w:after="0"/>
              <w:rPr>
                <w:sz w:val="18"/>
                <w:szCs w:val="18"/>
                <w:color w:val="auto"/>
              </w:rPr>
            </w:pPr>
          </w:p>
        </w:tc>
        <w:tc>
          <w:tcPr>
            <w:tcW w:w="340" w:type="dxa"/>
            <w:vAlign w:val="bottom"/>
            <w:tcBorders>
              <w:bottom w:val="single" w:sz="8" w:color="0C3D25"/>
            </w:tcBorders>
          </w:tcPr>
          <w:p>
            <w:pPr>
              <w:spacing w:after="0"/>
              <w:rPr>
                <w:sz w:val="18"/>
                <w:szCs w:val="18"/>
                <w:color w:val="auto"/>
              </w:rPr>
            </w:pPr>
          </w:p>
        </w:tc>
        <w:tc>
          <w:tcPr>
            <w:tcW w:w="560" w:type="dxa"/>
            <w:vAlign w:val="bottom"/>
            <w:tcBorders>
              <w:bottom w:val="single" w:sz="8" w:color="0C3D25"/>
            </w:tcBorders>
          </w:tcPr>
          <w:p>
            <w:pPr>
              <w:spacing w:after="0"/>
              <w:rPr>
                <w:sz w:val="18"/>
                <w:szCs w:val="18"/>
                <w:color w:val="auto"/>
              </w:rPr>
            </w:pPr>
          </w:p>
        </w:tc>
        <w:tc>
          <w:tcPr>
            <w:tcW w:w="500" w:type="dxa"/>
            <w:vAlign w:val="bottom"/>
            <w:tcBorders>
              <w:bottom w:val="single" w:sz="8" w:color="0C3D25"/>
            </w:tcBorders>
          </w:tcPr>
          <w:p>
            <w:pPr>
              <w:spacing w:after="0"/>
              <w:rPr>
                <w:sz w:val="18"/>
                <w:szCs w:val="18"/>
                <w:color w:val="auto"/>
              </w:rPr>
            </w:pPr>
          </w:p>
        </w:tc>
        <w:tc>
          <w:tcPr>
            <w:tcW w:w="1520" w:type="dxa"/>
            <w:vAlign w:val="bottom"/>
            <w:tcBorders>
              <w:bottom w:val="single" w:sz="8" w:color="0C3D25"/>
            </w:tcBorders>
          </w:tcPr>
          <w:p>
            <w:pPr>
              <w:jc w:val="center"/>
              <w:ind w:left="88"/>
              <w:spacing w:after="0" w:line="214" w:lineRule="exact"/>
              <w:rPr>
                <w:sz w:val="20"/>
                <w:szCs w:val="20"/>
                <w:color w:val="auto"/>
              </w:rPr>
            </w:pPr>
            <w:r>
              <w:rPr>
                <w:rFonts w:ascii="Arial" w:cs="Arial" w:eastAsia="Arial" w:hAnsi="Arial"/>
                <w:sz w:val="19"/>
                <w:szCs w:val="19"/>
                <w:color w:val="auto"/>
                <w:w w:val="97"/>
              </w:rPr>
              <w:t>10.8 Million</w:t>
            </w:r>
          </w:p>
        </w:tc>
        <w:tc>
          <w:tcPr>
            <w:tcW w:w="156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1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Climate</w:t>
            </w:r>
          </w:p>
        </w:tc>
        <w:tc>
          <w:tcPr>
            <w:tcW w:w="3900" w:type="dxa"/>
            <w:vAlign w:val="bottom"/>
            <w:gridSpan w:val="8"/>
          </w:tcPr>
          <w:p>
            <w:pPr>
              <w:ind w:left="20"/>
              <w:spacing w:after="0"/>
              <w:rPr>
                <w:sz w:val="20"/>
                <w:szCs w:val="20"/>
                <w:color w:val="auto"/>
              </w:rPr>
            </w:pPr>
            <w:r>
              <w:rPr>
                <w:rFonts w:ascii="Arial" w:cs="Arial" w:eastAsia="Arial" w:hAnsi="Arial"/>
                <w:sz w:val="19"/>
                <w:szCs w:val="19"/>
                <w:color w:val="auto"/>
                <w:w w:val="97"/>
              </w:rPr>
              <w:t>Increase landfill gas capture and beneficial use</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9"/>
                <w:szCs w:val="19"/>
                <w:color w:val="auto"/>
                <w:w w:val="90"/>
              </w:rPr>
              <w:t>0% to 2%</w:t>
            </w:r>
          </w:p>
        </w:tc>
        <w:tc>
          <w:tcPr>
            <w:tcW w:w="1520" w:type="dxa"/>
            <w:vAlign w:val="bottom"/>
          </w:tcPr>
          <w:p>
            <w:pPr>
              <w:jc w:val="center"/>
              <w:ind w:left="88"/>
              <w:spacing w:after="0"/>
              <w:rPr>
                <w:sz w:val="20"/>
                <w:szCs w:val="20"/>
                <w:color w:val="auto"/>
              </w:rPr>
            </w:pPr>
            <w:r>
              <w:rPr>
                <w:rFonts w:ascii="Arial" w:cs="Arial" w:eastAsia="Arial" w:hAnsi="Arial"/>
                <w:sz w:val="19"/>
                <w:szCs w:val="19"/>
                <w:color w:val="auto"/>
                <w:w w:val="91"/>
              </w:rPr>
              <w:t>2 – 5%</w:t>
            </w:r>
          </w:p>
        </w:tc>
        <w:tc>
          <w:tcPr>
            <w:tcW w:w="1560" w:type="dxa"/>
            <w:vAlign w:val="bottom"/>
            <w:vMerge w:val="restart"/>
          </w:tcPr>
          <w:p>
            <w:pPr>
              <w:jc w:val="center"/>
              <w:ind w:left="91"/>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1400" w:type="dxa"/>
            <w:vAlign w:val="bottom"/>
            <w:gridSpan w:val="3"/>
            <w:vMerge w:val="restart"/>
          </w:tcPr>
          <w:p>
            <w:pPr>
              <w:ind w:left="20"/>
              <w:spacing w:after="0" w:line="214" w:lineRule="exact"/>
              <w:rPr>
                <w:sz w:val="20"/>
                <w:szCs w:val="20"/>
                <w:color w:val="auto"/>
              </w:rPr>
            </w:pPr>
            <w:r>
              <w:rPr>
                <w:rFonts w:ascii="Arial" w:cs="Arial" w:eastAsia="Arial" w:hAnsi="Arial"/>
                <w:sz w:val="19"/>
                <w:szCs w:val="19"/>
                <w:color w:val="auto"/>
                <w:w w:val="99"/>
              </w:rPr>
              <w:t>(year-over-year)</w:t>
            </w: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9"/>
                <w:szCs w:val="19"/>
                <w:color w:val="auto"/>
                <w:w w:val="96"/>
              </w:rPr>
              <w:t>Increase</w:t>
            </w:r>
          </w:p>
        </w:tc>
        <w:tc>
          <w:tcPr>
            <w:tcW w:w="1520" w:type="dxa"/>
            <w:vAlign w:val="bottom"/>
            <w:vMerge w:val="restart"/>
          </w:tcPr>
          <w:p>
            <w:pPr>
              <w:jc w:val="center"/>
              <w:ind w:left="88"/>
              <w:spacing w:after="0"/>
              <w:rPr>
                <w:sz w:val="20"/>
                <w:szCs w:val="20"/>
                <w:color w:val="auto"/>
              </w:rPr>
            </w:pPr>
            <w:r>
              <w:rPr>
                <w:rFonts w:ascii="Arial" w:cs="Arial" w:eastAsia="Arial" w:hAnsi="Arial"/>
                <w:sz w:val="19"/>
                <w:szCs w:val="19"/>
                <w:color w:val="auto"/>
                <w:w w:val="90"/>
              </w:rPr>
              <w:t>Increase</w:t>
            </w:r>
            <w:r>
              <w:rPr>
                <w:rFonts w:ascii="Arial" w:cs="Arial" w:eastAsia="Arial" w:hAnsi="Arial"/>
                <w:sz w:val="22"/>
                <w:szCs w:val="22"/>
                <w:color w:val="auto"/>
                <w:w w:val="90"/>
                <w:vertAlign w:val="superscript"/>
              </w:rPr>
              <w:t>(1)</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3000" w:type="dxa"/>
            <w:vAlign w:val="bottom"/>
            <w:tcBorders>
              <w:bottom w:val="single" w:sz="8" w:color="0C3D25"/>
            </w:tcBorders>
            <w:gridSpan w:val="5"/>
          </w:tcPr>
          <w:p>
            <w:pPr>
              <w:spacing w:after="0"/>
              <w:rPr>
                <w:sz w:val="24"/>
                <w:szCs w:val="24"/>
                <w:color w:val="auto"/>
              </w:rPr>
            </w:pPr>
          </w:p>
        </w:tc>
        <w:tc>
          <w:tcPr>
            <w:tcW w:w="560" w:type="dxa"/>
            <w:vAlign w:val="bottom"/>
            <w:tcBorders>
              <w:bottom w:val="single" w:sz="8" w:color="0C3D25"/>
            </w:tcBorders>
          </w:tcPr>
          <w:p>
            <w:pPr>
              <w:spacing w:after="0"/>
              <w:rPr>
                <w:sz w:val="24"/>
                <w:szCs w:val="24"/>
                <w:color w:val="auto"/>
              </w:rPr>
            </w:pPr>
          </w:p>
        </w:tc>
        <w:tc>
          <w:tcPr>
            <w:tcW w:w="420" w:type="dxa"/>
            <w:vAlign w:val="bottom"/>
            <w:tcBorders>
              <w:bottom w:val="single" w:sz="8" w:color="0C3D25"/>
            </w:tcBorders>
          </w:tcPr>
          <w:p>
            <w:pPr>
              <w:spacing w:after="0"/>
              <w:rPr>
                <w:sz w:val="24"/>
                <w:szCs w:val="24"/>
                <w:color w:val="auto"/>
              </w:rPr>
            </w:pPr>
          </w:p>
        </w:tc>
        <w:tc>
          <w:tcPr>
            <w:tcW w:w="500" w:type="dxa"/>
            <w:vAlign w:val="bottom"/>
            <w:tcBorders>
              <w:bottom w:val="single" w:sz="8" w:color="0C3D25"/>
            </w:tcBorders>
          </w:tcPr>
          <w:p>
            <w:pPr>
              <w:spacing w:after="0"/>
              <w:rPr>
                <w:sz w:val="24"/>
                <w:szCs w:val="24"/>
                <w:color w:val="auto"/>
              </w:rPr>
            </w:pPr>
          </w:p>
        </w:tc>
        <w:tc>
          <w:tcPr>
            <w:tcW w:w="540" w:type="dxa"/>
            <w:vAlign w:val="bottom"/>
            <w:tcBorders>
              <w:bottom w:val="single" w:sz="8" w:color="0C3D25"/>
            </w:tcBorders>
          </w:tcPr>
          <w:p>
            <w:pPr>
              <w:spacing w:after="0"/>
              <w:rPr>
                <w:sz w:val="24"/>
                <w:szCs w:val="24"/>
                <w:color w:val="auto"/>
              </w:rPr>
            </w:pPr>
          </w:p>
        </w:tc>
        <w:tc>
          <w:tcPr>
            <w:tcW w:w="560" w:type="dxa"/>
            <w:vAlign w:val="bottom"/>
            <w:tcBorders>
              <w:bottom w:val="single" w:sz="8" w:color="0C3D25"/>
            </w:tcBorders>
          </w:tcPr>
          <w:p>
            <w:pPr>
              <w:spacing w:after="0"/>
              <w:rPr>
                <w:sz w:val="24"/>
                <w:szCs w:val="24"/>
                <w:color w:val="auto"/>
              </w:rPr>
            </w:pPr>
          </w:p>
        </w:tc>
        <w:tc>
          <w:tcPr>
            <w:tcW w:w="340" w:type="dxa"/>
            <w:vAlign w:val="bottom"/>
            <w:tcBorders>
              <w:bottom w:val="single" w:sz="8" w:color="0C3D25"/>
            </w:tcBorders>
          </w:tcPr>
          <w:p>
            <w:pPr>
              <w:spacing w:after="0"/>
              <w:rPr>
                <w:sz w:val="24"/>
                <w:szCs w:val="24"/>
                <w:color w:val="auto"/>
              </w:rPr>
            </w:pPr>
          </w:p>
        </w:tc>
        <w:tc>
          <w:tcPr>
            <w:tcW w:w="560" w:type="dxa"/>
            <w:vAlign w:val="bottom"/>
            <w:tcBorders>
              <w:bottom w:val="single" w:sz="8" w:color="0C3D25"/>
            </w:tcBorders>
          </w:tcPr>
          <w:p>
            <w:pPr>
              <w:spacing w:after="0"/>
              <w:rPr>
                <w:sz w:val="24"/>
                <w:szCs w:val="24"/>
                <w:color w:val="auto"/>
              </w:rPr>
            </w:pPr>
          </w:p>
        </w:tc>
        <w:tc>
          <w:tcPr>
            <w:tcW w:w="500" w:type="dxa"/>
            <w:vAlign w:val="bottom"/>
            <w:tcBorders>
              <w:bottom w:val="single" w:sz="8" w:color="0C3D25"/>
            </w:tcBorders>
          </w:tcPr>
          <w:p>
            <w:pPr>
              <w:spacing w:after="0"/>
              <w:rPr>
                <w:sz w:val="24"/>
                <w:szCs w:val="24"/>
                <w:color w:val="auto"/>
              </w:rPr>
            </w:pPr>
          </w:p>
        </w:tc>
        <w:tc>
          <w:tcPr>
            <w:tcW w:w="1520" w:type="dxa"/>
            <w:vAlign w:val="bottom"/>
            <w:tcBorders>
              <w:bottom w:val="single" w:sz="8" w:color="0C3D25"/>
            </w:tcBorders>
          </w:tcPr>
          <w:p>
            <w:pPr>
              <w:spacing w:after="0"/>
              <w:rPr>
                <w:sz w:val="24"/>
                <w:szCs w:val="24"/>
                <w:color w:val="auto"/>
              </w:rPr>
            </w:pPr>
          </w:p>
        </w:tc>
        <w:tc>
          <w:tcPr>
            <w:tcW w:w="1560" w:type="dxa"/>
            <w:vAlign w:val="bottom"/>
            <w:tcBorders>
              <w:bottom w:val="single" w:sz="8" w:color="0C3D25"/>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00" w:type="dxa"/>
            <w:vAlign w:val="bottom"/>
            <w:gridSpan w:val="5"/>
          </w:tcPr>
          <w:p>
            <w:pPr>
              <w:ind w:left="120"/>
              <w:spacing w:after="0"/>
              <w:rPr>
                <w:sz w:val="20"/>
                <w:szCs w:val="20"/>
                <w:color w:val="auto"/>
              </w:rPr>
            </w:pPr>
            <w:r>
              <w:rPr>
                <w:rFonts w:ascii="Arial" w:cs="Arial" w:eastAsia="Arial" w:hAnsi="Arial"/>
                <w:sz w:val="16"/>
                <w:szCs w:val="16"/>
                <w:b w:val="1"/>
                <w:bCs w:val="1"/>
                <w:color w:val="0C3D25"/>
                <w:w w:val="94"/>
              </w:rPr>
              <w:t>2025 Sustainability Modifier Point Scale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20" w:type="dxa"/>
            <w:vAlign w:val="bottom"/>
            <w:tcBorders>
              <w:bottom w:val="single" w:sz="8" w:color="0C3D25"/>
            </w:tcBorders>
            <w:gridSpan w:val="2"/>
          </w:tcPr>
          <w:p>
            <w:pPr>
              <w:spacing w:after="0"/>
              <w:rPr>
                <w:sz w:val="3"/>
                <w:szCs w:val="3"/>
                <w:color w:val="auto"/>
              </w:rPr>
            </w:pPr>
          </w:p>
        </w:tc>
        <w:tc>
          <w:tcPr>
            <w:tcW w:w="1100" w:type="dxa"/>
            <w:vAlign w:val="bottom"/>
            <w:tcBorders>
              <w:bottom w:val="single" w:sz="8" w:color="0C3D25"/>
            </w:tcBorders>
            <w:gridSpan w:val="2"/>
          </w:tcPr>
          <w:p>
            <w:pPr>
              <w:spacing w:after="0"/>
              <w:rPr>
                <w:sz w:val="3"/>
                <w:szCs w:val="3"/>
                <w:color w:val="auto"/>
              </w:rPr>
            </w:pPr>
          </w:p>
        </w:tc>
        <w:tc>
          <w:tcPr>
            <w:tcW w:w="480" w:type="dxa"/>
            <w:vAlign w:val="bottom"/>
            <w:tcBorders>
              <w:bottom w:val="single" w:sz="8" w:color="0C3D25"/>
            </w:tcBorders>
          </w:tcPr>
          <w:p>
            <w:pPr>
              <w:spacing w:after="0"/>
              <w:rPr>
                <w:sz w:val="3"/>
                <w:szCs w:val="3"/>
                <w:color w:val="auto"/>
              </w:rPr>
            </w:pPr>
          </w:p>
        </w:tc>
        <w:tc>
          <w:tcPr>
            <w:tcW w:w="560" w:type="dxa"/>
            <w:vAlign w:val="bottom"/>
            <w:tcBorders>
              <w:bottom w:val="single" w:sz="8" w:color="0C3D25"/>
            </w:tcBorders>
          </w:tcPr>
          <w:p>
            <w:pPr>
              <w:spacing w:after="0"/>
              <w:rPr>
                <w:sz w:val="3"/>
                <w:szCs w:val="3"/>
                <w:color w:val="auto"/>
              </w:rPr>
            </w:pPr>
          </w:p>
        </w:tc>
        <w:tc>
          <w:tcPr>
            <w:tcW w:w="420" w:type="dxa"/>
            <w:vAlign w:val="bottom"/>
            <w:tcBorders>
              <w:bottom w:val="single" w:sz="8" w:color="0C3D25"/>
            </w:tcBorders>
          </w:tcPr>
          <w:p>
            <w:pPr>
              <w:spacing w:after="0"/>
              <w:rPr>
                <w:sz w:val="3"/>
                <w:szCs w:val="3"/>
                <w:color w:val="auto"/>
              </w:rPr>
            </w:pPr>
          </w:p>
        </w:tc>
        <w:tc>
          <w:tcPr>
            <w:tcW w:w="500" w:type="dxa"/>
            <w:vAlign w:val="bottom"/>
            <w:tcBorders>
              <w:bottom w:val="single" w:sz="8" w:color="0C3D25"/>
            </w:tcBorders>
          </w:tcPr>
          <w:p>
            <w:pPr>
              <w:spacing w:after="0"/>
              <w:rPr>
                <w:sz w:val="3"/>
                <w:szCs w:val="3"/>
                <w:color w:val="auto"/>
              </w:rPr>
            </w:pPr>
          </w:p>
        </w:tc>
        <w:tc>
          <w:tcPr>
            <w:tcW w:w="540" w:type="dxa"/>
            <w:vAlign w:val="bottom"/>
            <w:tcBorders>
              <w:bottom w:val="single" w:sz="8" w:color="0C3D25"/>
            </w:tcBorders>
          </w:tcPr>
          <w:p>
            <w:pPr>
              <w:spacing w:after="0"/>
              <w:rPr>
                <w:sz w:val="3"/>
                <w:szCs w:val="3"/>
                <w:color w:val="auto"/>
              </w:rPr>
            </w:pPr>
          </w:p>
        </w:tc>
        <w:tc>
          <w:tcPr>
            <w:tcW w:w="560" w:type="dxa"/>
            <w:vAlign w:val="bottom"/>
            <w:tcBorders>
              <w:bottom w:val="single" w:sz="8" w:color="0C3D25"/>
            </w:tcBorders>
          </w:tcPr>
          <w:p>
            <w:pPr>
              <w:spacing w:after="0"/>
              <w:rPr>
                <w:sz w:val="3"/>
                <w:szCs w:val="3"/>
                <w:color w:val="auto"/>
              </w:rPr>
            </w:pPr>
          </w:p>
        </w:tc>
        <w:tc>
          <w:tcPr>
            <w:tcW w:w="340" w:type="dxa"/>
            <w:vAlign w:val="bottom"/>
            <w:tcBorders>
              <w:bottom w:val="single" w:sz="8" w:color="0C3D25"/>
            </w:tcBorders>
          </w:tcPr>
          <w:p>
            <w:pPr>
              <w:spacing w:after="0"/>
              <w:rPr>
                <w:sz w:val="3"/>
                <w:szCs w:val="3"/>
                <w:color w:val="auto"/>
              </w:rPr>
            </w:pPr>
          </w:p>
        </w:tc>
        <w:tc>
          <w:tcPr>
            <w:tcW w:w="560" w:type="dxa"/>
            <w:vAlign w:val="bottom"/>
            <w:tcBorders>
              <w:bottom w:val="single" w:sz="8" w:color="0C3D25"/>
            </w:tcBorders>
          </w:tcPr>
          <w:p>
            <w:pPr>
              <w:spacing w:after="0"/>
              <w:rPr>
                <w:sz w:val="3"/>
                <w:szCs w:val="3"/>
                <w:color w:val="auto"/>
              </w:rPr>
            </w:pPr>
          </w:p>
        </w:tc>
        <w:tc>
          <w:tcPr>
            <w:tcW w:w="500" w:type="dxa"/>
            <w:vAlign w:val="bottom"/>
            <w:tcBorders>
              <w:bottom w:val="single" w:sz="8" w:color="A5A5A5"/>
            </w:tcBorders>
          </w:tcPr>
          <w:p>
            <w:pPr>
              <w:spacing w:after="0"/>
              <w:rPr>
                <w:sz w:val="3"/>
                <w:szCs w:val="3"/>
                <w:color w:val="auto"/>
              </w:rPr>
            </w:pPr>
          </w:p>
        </w:tc>
        <w:tc>
          <w:tcPr>
            <w:tcW w:w="3080" w:type="dxa"/>
            <w:vAlign w:val="bottom"/>
            <w:tcBorders>
              <w:bottom w:val="single" w:sz="8" w:color="0C3D25"/>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420" w:type="dxa"/>
            <w:vAlign w:val="bottom"/>
            <w:gridSpan w:val="2"/>
          </w:tcPr>
          <w:p>
            <w:pPr>
              <w:ind w:left="120"/>
              <w:spacing w:after="0"/>
              <w:rPr>
                <w:sz w:val="20"/>
                <w:szCs w:val="20"/>
                <w:color w:val="auto"/>
              </w:rPr>
            </w:pPr>
            <w:r>
              <w:rPr>
                <w:rFonts w:ascii="Arial" w:cs="Arial" w:eastAsia="Arial" w:hAnsi="Arial"/>
                <w:sz w:val="19"/>
                <w:szCs w:val="19"/>
                <w:b w:val="1"/>
                <w:bCs w:val="1"/>
                <w:color w:val="auto"/>
              </w:rPr>
              <w:t>Modification</w:t>
            </w:r>
          </w:p>
        </w:tc>
        <w:tc>
          <w:tcPr>
            <w:tcW w:w="1100" w:type="dxa"/>
            <w:vAlign w:val="bottom"/>
            <w:gridSpan w:val="2"/>
          </w:tcPr>
          <w:p>
            <w:pPr>
              <w:jc w:val="right"/>
              <w:ind w:right="24"/>
              <w:spacing w:after="0"/>
              <w:rPr>
                <w:sz w:val="20"/>
                <w:szCs w:val="20"/>
                <w:color w:val="auto"/>
              </w:rPr>
            </w:pPr>
            <w:r>
              <w:rPr>
                <w:rFonts w:ascii="Arial" w:cs="Arial" w:eastAsia="Arial" w:hAnsi="Arial"/>
                <w:sz w:val="19"/>
                <w:szCs w:val="19"/>
                <w:color w:val="auto"/>
              </w:rPr>
              <w:t>-10%  -9%</w:t>
            </w: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-8%</w:t>
            </w:r>
          </w:p>
        </w:tc>
        <w:tc>
          <w:tcPr>
            <w:tcW w:w="560" w:type="dxa"/>
            <w:vAlign w:val="bottom"/>
          </w:tcPr>
          <w:p>
            <w:pPr>
              <w:jc w:val="right"/>
              <w:ind w:right="64"/>
              <w:spacing w:after="0"/>
              <w:rPr>
                <w:sz w:val="20"/>
                <w:szCs w:val="20"/>
                <w:color w:val="auto"/>
              </w:rPr>
            </w:pPr>
            <w:r>
              <w:rPr>
                <w:rFonts w:ascii="Arial" w:cs="Arial" w:eastAsia="Arial" w:hAnsi="Arial"/>
                <w:sz w:val="19"/>
                <w:szCs w:val="19"/>
                <w:color w:val="auto"/>
              </w:rPr>
              <w:t>-6%</w:t>
            </w:r>
          </w:p>
        </w:tc>
        <w:tc>
          <w:tcPr>
            <w:tcW w:w="420" w:type="dxa"/>
            <w:vAlign w:val="bottom"/>
          </w:tcPr>
          <w:p>
            <w:pPr>
              <w:jc w:val="right"/>
              <w:spacing w:after="0"/>
              <w:rPr>
                <w:sz w:val="20"/>
                <w:szCs w:val="20"/>
                <w:color w:val="auto"/>
              </w:rPr>
            </w:pPr>
            <w:r>
              <w:rPr>
                <w:rFonts w:ascii="Arial" w:cs="Arial" w:eastAsia="Arial" w:hAnsi="Arial"/>
                <w:sz w:val="19"/>
                <w:szCs w:val="19"/>
                <w:color w:val="auto"/>
                <w:w w:val="94"/>
              </w:rPr>
              <w:t>-4%</w:t>
            </w:r>
          </w:p>
        </w:tc>
        <w:tc>
          <w:tcPr>
            <w:tcW w:w="500" w:type="dxa"/>
            <w:vAlign w:val="bottom"/>
          </w:tcPr>
          <w:p>
            <w:pPr>
              <w:jc w:val="right"/>
              <w:spacing w:after="0"/>
              <w:rPr>
                <w:sz w:val="20"/>
                <w:szCs w:val="20"/>
                <w:color w:val="auto"/>
              </w:rPr>
            </w:pPr>
            <w:r>
              <w:rPr>
                <w:rFonts w:ascii="Arial" w:cs="Arial" w:eastAsia="Arial" w:hAnsi="Arial"/>
                <w:sz w:val="19"/>
                <w:szCs w:val="19"/>
                <w:color w:val="auto"/>
              </w:rPr>
              <w:t>-3%</w:t>
            </w:r>
          </w:p>
        </w:tc>
        <w:tc>
          <w:tcPr>
            <w:tcW w:w="540" w:type="dxa"/>
            <w:vAlign w:val="bottom"/>
          </w:tcPr>
          <w:p>
            <w:pPr>
              <w:jc w:val="right"/>
              <w:ind w:right="44"/>
              <w:spacing w:after="0"/>
              <w:rPr>
                <w:sz w:val="20"/>
                <w:szCs w:val="20"/>
                <w:color w:val="auto"/>
              </w:rPr>
            </w:pPr>
            <w:r>
              <w:rPr>
                <w:rFonts w:ascii="Arial" w:cs="Arial" w:eastAsia="Arial" w:hAnsi="Arial"/>
                <w:sz w:val="19"/>
                <w:szCs w:val="19"/>
                <w:color w:val="auto"/>
              </w:rPr>
              <w:t>-2%</w:t>
            </w:r>
          </w:p>
        </w:tc>
        <w:tc>
          <w:tcPr>
            <w:tcW w:w="560" w:type="dxa"/>
            <w:vAlign w:val="bottom"/>
          </w:tcPr>
          <w:p>
            <w:pPr>
              <w:jc w:val="right"/>
              <w:ind w:right="104"/>
              <w:spacing w:after="0"/>
              <w:rPr>
                <w:sz w:val="20"/>
                <w:szCs w:val="20"/>
                <w:color w:val="auto"/>
              </w:rPr>
            </w:pPr>
            <w:r>
              <w:rPr>
                <w:rFonts w:ascii="Arial" w:cs="Arial" w:eastAsia="Arial" w:hAnsi="Arial"/>
                <w:sz w:val="19"/>
                <w:szCs w:val="19"/>
                <w:color w:val="auto"/>
              </w:rPr>
              <w:t>-1%</w:t>
            </w:r>
          </w:p>
        </w:tc>
        <w:tc>
          <w:tcPr>
            <w:tcW w:w="340" w:type="dxa"/>
            <w:vAlign w:val="bottom"/>
          </w:tcPr>
          <w:p>
            <w:pPr>
              <w:jc w:val="right"/>
              <w:ind w:right="44"/>
              <w:spacing w:after="0"/>
              <w:rPr>
                <w:sz w:val="20"/>
                <w:szCs w:val="20"/>
                <w:color w:val="auto"/>
              </w:rPr>
            </w:pPr>
            <w:r>
              <w:rPr>
                <w:rFonts w:ascii="Arial" w:cs="Arial" w:eastAsia="Arial" w:hAnsi="Arial"/>
                <w:sz w:val="19"/>
                <w:szCs w:val="19"/>
                <w:color w:val="auto"/>
              </w:rPr>
              <w:t>0</w:t>
            </w:r>
          </w:p>
        </w:tc>
        <w:tc>
          <w:tcPr>
            <w:tcW w:w="560" w:type="dxa"/>
            <w:vAlign w:val="bottom"/>
            <w:tcBorders>
              <w:right w:val="single" w:sz="8" w:color="A5A5A5"/>
            </w:tcBorders>
          </w:tcPr>
          <w:p>
            <w:pPr>
              <w:jc w:val="right"/>
              <w:ind w:right="8"/>
              <w:spacing w:after="0"/>
              <w:rPr>
                <w:sz w:val="20"/>
                <w:szCs w:val="20"/>
                <w:color w:val="auto"/>
              </w:rPr>
            </w:pPr>
            <w:r>
              <w:rPr>
                <w:rFonts w:ascii="Arial" w:cs="Arial" w:eastAsia="Arial" w:hAnsi="Arial"/>
                <w:sz w:val="19"/>
                <w:szCs w:val="19"/>
                <w:color w:val="auto"/>
              </w:rPr>
              <w:t>+1%</w:t>
            </w:r>
          </w:p>
        </w:tc>
        <w:tc>
          <w:tcPr>
            <w:tcW w:w="500" w:type="dxa"/>
            <w:vAlign w:val="bottom"/>
            <w:tcBorders>
              <w:right w:val="single" w:sz="8" w:color="A5A5A5"/>
            </w:tcBorders>
            <w:shd w:val="clear" w:color="auto" w:fill="0C3D25"/>
          </w:tcPr>
          <w:p>
            <w:pPr>
              <w:jc w:val="right"/>
              <w:ind w:right="4"/>
              <w:spacing w:after="0"/>
              <w:rPr>
                <w:sz w:val="20"/>
                <w:szCs w:val="20"/>
                <w:color w:val="auto"/>
              </w:rPr>
            </w:pPr>
            <w:r>
              <w:rPr>
                <w:rFonts w:ascii="Arial" w:cs="Arial" w:eastAsia="Arial" w:hAnsi="Arial"/>
                <w:sz w:val="19"/>
                <w:szCs w:val="19"/>
                <w:color w:val="FFFFFF"/>
                <w:w w:val="98"/>
              </w:rPr>
              <w:t>+2%</w:t>
            </w:r>
          </w:p>
        </w:tc>
        <w:tc>
          <w:tcPr>
            <w:tcW w:w="3080" w:type="dxa"/>
            <w:vAlign w:val="bottom"/>
            <w:gridSpan w:val="2"/>
          </w:tcPr>
          <w:p>
            <w:pPr>
              <w:jc w:val="right"/>
              <w:ind w:right="71"/>
              <w:spacing w:after="0"/>
              <w:rPr>
                <w:sz w:val="20"/>
                <w:szCs w:val="20"/>
                <w:color w:val="auto"/>
              </w:rPr>
            </w:pPr>
            <w:r>
              <w:rPr>
                <w:rFonts w:ascii="Arial" w:cs="Arial" w:eastAsia="Arial" w:hAnsi="Arial"/>
                <w:sz w:val="19"/>
                <w:szCs w:val="19"/>
                <w:color w:val="auto"/>
              </w:rPr>
              <w:t>+3%  +4%  +6%  +8%  +9% +10%</w:t>
            </w:r>
          </w:p>
        </w:tc>
        <w:tc>
          <w:tcPr>
            <w:tcW w:w="0" w:type="dxa"/>
            <w:vAlign w:val="bottom"/>
          </w:tcPr>
          <w:p>
            <w:pPr>
              <w:spacing w:after="0"/>
              <w:rPr>
                <w:sz w:val="1"/>
                <w:szCs w:val="1"/>
                <w:color w:val="auto"/>
              </w:rPr>
            </w:pPr>
          </w:p>
        </w:tc>
      </w:tr>
      <w:tr>
        <w:trPr>
          <w:trHeight w:val="67"/>
        </w:trPr>
        <w:tc>
          <w:tcPr>
            <w:tcW w:w="1420" w:type="dxa"/>
            <w:vAlign w:val="bottom"/>
            <w:tcBorders>
              <w:bottom w:val="single" w:sz="8" w:color="0C3D25"/>
            </w:tcBorders>
            <w:gridSpan w:val="2"/>
          </w:tcPr>
          <w:p>
            <w:pPr>
              <w:spacing w:after="0"/>
              <w:rPr>
                <w:sz w:val="5"/>
                <w:szCs w:val="5"/>
                <w:color w:val="auto"/>
              </w:rPr>
            </w:pPr>
          </w:p>
        </w:tc>
        <w:tc>
          <w:tcPr>
            <w:tcW w:w="580" w:type="dxa"/>
            <w:vAlign w:val="bottom"/>
            <w:tcBorders>
              <w:bottom w:val="single" w:sz="8" w:color="0C3D25"/>
            </w:tcBorders>
          </w:tcPr>
          <w:p>
            <w:pPr>
              <w:spacing w:after="0"/>
              <w:rPr>
                <w:sz w:val="5"/>
                <w:szCs w:val="5"/>
                <w:color w:val="auto"/>
              </w:rPr>
            </w:pPr>
          </w:p>
        </w:tc>
        <w:tc>
          <w:tcPr>
            <w:tcW w:w="520" w:type="dxa"/>
            <w:vAlign w:val="bottom"/>
            <w:tcBorders>
              <w:bottom w:val="single" w:sz="8" w:color="0C3D25"/>
            </w:tcBorders>
          </w:tcPr>
          <w:p>
            <w:pPr>
              <w:spacing w:after="0"/>
              <w:rPr>
                <w:sz w:val="5"/>
                <w:szCs w:val="5"/>
                <w:color w:val="auto"/>
              </w:rPr>
            </w:pPr>
          </w:p>
        </w:tc>
        <w:tc>
          <w:tcPr>
            <w:tcW w:w="480" w:type="dxa"/>
            <w:vAlign w:val="bottom"/>
            <w:tcBorders>
              <w:bottom w:val="single" w:sz="8" w:color="0C3D25"/>
            </w:tcBorders>
          </w:tcPr>
          <w:p>
            <w:pPr>
              <w:spacing w:after="0"/>
              <w:rPr>
                <w:sz w:val="5"/>
                <w:szCs w:val="5"/>
                <w:color w:val="auto"/>
              </w:rPr>
            </w:pPr>
          </w:p>
        </w:tc>
        <w:tc>
          <w:tcPr>
            <w:tcW w:w="560" w:type="dxa"/>
            <w:vAlign w:val="bottom"/>
            <w:tcBorders>
              <w:bottom w:val="single" w:sz="8" w:color="0C3D25"/>
            </w:tcBorders>
          </w:tcPr>
          <w:p>
            <w:pPr>
              <w:spacing w:after="0"/>
              <w:rPr>
                <w:sz w:val="5"/>
                <w:szCs w:val="5"/>
                <w:color w:val="auto"/>
              </w:rPr>
            </w:pPr>
          </w:p>
        </w:tc>
        <w:tc>
          <w:tcPr>
            <w:tcW w:w="420" w:type="dxa"/>
            <w:vAlign w:val="bottom"/>
            <w:tcBorders>
              <w:bottom w:val="single" w:sz="8" w:color="0C3D25"/>
            </w:tcBorders>
          </w:tcPr>
          <w:p>
            <w:pPr>
              <w:spacing w:after="0"/>
              <w:rPr>
                <w:sz w:val="5"/>
                <w:szCs w:val="5"/>
                <w:color w:val="auto"/>
              </w:rPr>
            </w:pPr>
          </w:p>
        </w:tc>
        <w:tc>
          <w:tcPr>
            <w:tcW w:w="500" w:type="dxa"/>
            <w:vAlign w:val="bottom"/>
            <w:tcBorders>
              <w:bottom w:val="single" w:sz="8" w:color="0C3D25"/>
            </w:tcBorders>
          </w:tcPr>
          <w:p>
            <w:pPr>
              <w:spacing w:after="0"/>
              <w:rPr>
                <w:sz w:val="5"/>
                <w:szCs w:val="5"/>
                <w:color w:val="auto"/>
              </w:rPr>
            </w:pPr>
          </w:p>
        </w:tc>
        <w:tc>
          <w:tcPr>
            <w:tcW w:w="540" w:type="dxa"/>
            <w:vAlign w:val="bottom"/>
            <w:tcBorders>
              <w:bottom w:val="single" w:sz="8" w:color="0C3D25"/>
            </w:tcBorders>
          </w:tcPr>
          <w:p>
            <w:pPr>
              <w:spacing w:after="0"/>
              <w:rPr>
                <w:sz w:val="5"/>
                <w:szCs w:val="5"/>
                <w:color w:val="auto"/>
              </w:rPr>
            </w:pPr>
          </w:p>
        </w:tc>
        <w:tc>
          <w:tcPr>
            <w:tcW w:w="560" w:type="dxa"/>
            <w:vAlign w:val="bottom"/>
            <w:tcBorders>
              <w:bottom w:val="single" w:sz="8" w:color="0C3D25"/>
            </w:tcBorders>
          </w:tcPr>
          <w:p>
            <w:pPr>
              <w:spacing w:after="0"/>
              <w:rPr>
                <w:sz w:val="5"/>
                <w:szCs w:val="5"/>
                <w:color w:val="auto"/>
              </w:rPr>
            </w:pPr>
          </w:p>
        </w:tc>
        <w:tc>
          <w:tcPr>
            <w:tcW w:w="340" w:type="dxa"/>
            <w:vAlign w:val="bottom"/>
            <w:tcBorders>
              <w:bottom w:val="single" w:sz="8" w:color="0C3D25"/>
            </w:tcBorders>
          </w:tcPr>
          <w:p>
            <w:pPr>
              <w:spacing w:after="0"/>
              <w:rPr>
                <w:sz w:val="5"/>
                <w:szCs w:val="5"/>
                <w:color w:val="auto"/>
              </w:rPr>
            </w:pPr>
          </w:p>
        </w:tc>
        <w:tc>
          <w:tcPr>
            <w:tcW w:w="560" w:type="dxa"/>
            <w:vAlign w:val="bottom"/>
            <w:tcBorders>
              <w:bottom w:val="single" w:sz="8" w:color="0C3D25"/>
              <w:right w:val="single" w:sz="8" w:color="A5A5A5"/>
            </w:tcBorders>
          </w:tcPr>
          <w:p>
            <w:pPr>
              <w:spacing w:after="0"/>
              <w:rPr>
                <w:sz w:val="5"/>
                <w:szCs w:val="5"/>
                <w:color w:val="auto"/>
              </w:rPr>
            </w:pPr>
          </w:p>
        </w:tc>
        <w:tc>
          <w:tcPr>
            <w:tcW w:w="500" w:type="dxa"/>
            <w:vAlign w:val="bottom"/>
            <w:tcBorders>
              <w:bottom w:val="single" w:sz="8" w:color="0C3D25"/>
              <w:right w:val="single" w:sz="8" w:color="A5A5A5"/>
            </w:tcBorders>
            <w:shd w:val="clear" w:color="auto" w:fill="0C3D25"/>
          </w:tcPr>
          <w:p>
            <w:pPr>
              <w:spacing w:after="0"/>
              <w:rPr>
                <w:sz w:val="5"/>
                <w:szCs w:val="5"/>
                <w:color w:val="auto"/>
              </w:rPr>
            </w:pPr>
          </w:p>
        </w:tc>
        <w:tc>
          <w:tcPr>
            <w:tcW w:w="1520" w:type="dxa"/>
            <w:vAlign w:val="bottom"/>
            <w:tcBorders>
              <w:bottom w:val="single" w:sz="8" w:color="0C3D25"/>
            </w:tcBorders>
          </w:tcPr>
          <w:p>
            <w:pPr>
              <w:spacing w:after="0"/>
              <w:rPr>
                <w:sz w:val="5"/>
                <w:szCs w:val="5"/>
                <w:color w:val="auto"/>
              </w:rPr>
            </w:pPr>
          </w:p>
        </w:tc>
        <w:tc>
          <w:tcPr>
            <w:tcW w:w="1560" w:type="dxa"/>
            <w:vAlign w:val="bottom"/>
            <w:tcBorders>
              <w:bottom w:val="single" w:sz="8" w:color="0C3D25"/>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420" w:type="dxa"/>
            <w:vAlign w:val="bottom"/>
            <w:tcBorders>
              <w:bottom w:val="single" w:sz="8" w:color="0C3D25"/>
            </w:tcBorders>
            <w:gridSpan w:val="2"/>
          </w:tcPr>
          <w:p>
            <w:pPr>
              <w:ind w:left="120"/>
              <w:spacing w:after="0"/>
              <w:rPr>
                <w:sz w:val="20"/>
                <w:szCs w:val="20"/>
                <w:color w:val="auto"/>
              </w:rPr>
            </w:pPr>
            <w:r>
              <w:rPr>
                <w:rFonts w:ascii="Arial" w:cs="Arial" w:eastAsia="Arial" w:hAnsi="Arial"/>
                <w:sz w:val="19"/>
                <w:szCs w:val="19"/>
                <w:b w:val="1"/>
                <w:bCs w:val="1"/>
                <w:color w:val="auto"/>
              </w:rPr>
              <w:t>Points Earned</w:t>
            </w:r>
          </w:p>
        </w:tc>
        <w:tc>
          <w:tcPr>
            <w:tcW w:w="580" w:type="dxa"/>
            <w:vAlign w:val="bottom"/>
            <w:tcBorders>
              <w:bottom w:val="single" w:sz="8" w:color="0C3D25"/>
            </w:tcBorders>
          </w:tcPr>
          <w:p>
            <w:pPr>
              <w:jc w:val="right"/>
              <w:ind w:right="104"/>
              <w:spacing w:after="0"/>
              <w:rPr>
                <w:sz w:val="20"/>
                <w:szCs w:val="20"/>
                <w:color w:val="auto"/>
              </w:rPr>
            </w:pPr>
            <w:r>
              <w:rPr>
                <w:rFonts w:ascii="Arial" w:cs="Arial" w:eastAsia="Arial" w:hAnsi="Arial"/>
                <w:sz w:val="19"/>
                <w:szCs w:val="19"/>
                <w:color w:val="auto"/>
              </w:rPr>
              <w:t>4</w:t>
            </w:r>
          </w:p>
        </w:tc>
        <w:tc>
          <w:tcPr>
            <w:tcW w:w="520" w:type="dxa"/>
            <w:vAlign w:val="bottom"/>
            <w:tcBorders>
              <w:bottom w:val="single" w:sz="8" w:color="0C3D25"/>
            </w:tcBorders>
          </w:tcPr>
          <w:p>
            <w:pPr>
              <w:jc w:val="right"/>
              <w:ind w:right="124"/>
              <w:spacing w:after="0"/>
              <w:rPr>
                <w:sz w:val="20"/>
                <w:szCs w:val="20"/>
                <w:color w:val="auto"/>
              </w:rPr>
            </w:pPr>
            <w:r>
              <w:rPr>
                <w:rFonts w:ascii="Arial" w:cs="Arial" w:eastAsia="Arial" w:hAnsi="Arial"/>
                <w:sz w:val="19"/>
                <w:szCs w:val="19"/>
                <w:color w:val="auto"/>
              </w:rPr>
              <w:t>5</w:t>
            </w:r>
          </w:p>
        </w:tc>
        <w:tc>
          <w:tcPr>
            <w:tcW w:w="480" w:type="dxa"/>
            <w:vAlign w:val="bottom"/>
            <w:tcBorders>
              <w:bottom w:val="single" w:sz="8" w:color="0C3D25"/>
            </w:tcBorders>
          </w:tcPr>
          <w:p>
            <w:pPr>
              <w:jc w:val="right"/>
              <w:ind w:right="104"/>
              <w:spacing w:after="0"/>
              <w:rPr>
                <w:sz w:val="20"/>
                <w:szCs w:val="20"/>
                <w:color w:val="auto"/>
              </w:rPr>
            </w:pPr>
            <w:r>
              <w:rPr>
                <w:rFonts w:ascii="Arial" w:cs="Arial" w:eastAsia="Arial" w:hAnsi="Arial"/>
                <w:sz w:val="19"/>
                <w:szCs w:val="19"/>
                <w:color w:val="auto"/>
              </w:rPr>
              <w:t>6</w:t>
            </w:r>
          </w:p>
        </w:tc>
        <w:tc>
          <w:tcPr>
            <w:tcW w:w="560" w:type="dxa"/>
            <w:vAlign w:val="bottom"/>
            <w:tcBorders>
              <w:bottom w:val="single" w:sz="8" w:color="0C3D25"/>
            </w:tcBorders>
          </w:tcPr>
          <w:p>
            <w:pPr>
              <w:jc w:val="right"/>
              <w:ind w:right="184"/>
              <w:spacing w:after="0"/>
              <w:rPr>
                <w:sz w:val="20"/>
                <w:szCs w:val="20"/>
                <w:color w:val="auto"/>
              </w:rPr>
            </w:pPr>
            <w:r>
              <w:rPr>
                <w:rFonts w:ascii="Arial" w:cs="Arial" w:eastAsia="Arial" w:hAnsi="Arial"/>
                <w:sz w:val="19"/>
                <w:szCs w:val="19"/>
                <w:color w:val="auto"/>
              </w:rPr>
              <w:t>7</w:t>
            </w:r>
          </w:p>
        </w:tc>
        <w:tc>
          <w:tcPr>
            <w:tcW w:w="420" w:type="dxa"/>
            <w:vAlign w:val="bottom"/>
            <w:tcBorders>
              <w:bottom w:val="single" w:sz="8" w:color="0C3D25"/>
            </w:tcBorders>
          </w:tcPr>
          <w:p>
            <w:pPr>
              <w:jc w:val="right"/>
              <w:ind w:right="104"/>
              <w:spacing w:after="0"/>
              <w:rPr>
                <w:sz w:val="20"/>
                <w:szCs w:val="20"/>
                <w:color w:val="auto"/>
              </w:rPr>
            </w:pPr>
            <w:r>
              <w:rPr>
                <w:rFonts w:ascii="Arial" w:cs="Arial" w:eastAsia="Arial" w:hAnsi="Arial"/>
                <w:sz w:val="19"/>
                <w:szCs w:val="19"/>
                <w:color w:val="auto"/>
              </w:rPr>
              <w:t>8</w:t>
            </w:r>
          </w:p>
        </w:tc>
        <w:tc>
          <w:tcPr>
            <w:tcW w:w="500" w:type="dxa"/>
            <w:vAlign w:val="bottom"/>
            <w:tcBorders>
              <w:bottom w:val="single" w:sz="8" w:color="0C3D25"/>
            </w:tcBorders>
          </w:tcPr>
          <w:p>
            <w:pPr>
              <w:jc w:val="right"/>
              <w:ind w:right="104"/>
              <w:spacing w:after="0"/>
              <w:rPr>
                <w:sz w:val="20"/>
                <w:szCs w:val="20"/>
                <w:color w:val="auto"/>
              </w:rPr>
            </w:pPr>
            <w:r>
              <w:rPr>
                <w:rFonts w:ascii="Arial" w:cs="Arial" w:eastAsia="Arial" w:hAnsi="Arial"/>
                <w:sz w:val="19"/>
                <w:szCs w:val="19"/>
                <w:color w:val="auto"/>
              </w:rPr>
              <w:t>9</w:t>
            </w:r>
          </w:p>
        </w:tc>
        <w:tc>
          <w:tcPr>
            <w:tcW w:w="540" w:type="dxa"/>
            <w:vAlign w:val="bottom"/>
            <w:tcBorders>
              <w:bottom w:val="single" w:sz="8" w:color="0C3D25"/>
            </w:tcBorders>
          </w:tcPr>
          <w:p>
            <w:pPr>
              <w:jc w:val="right"/>
              <w:ind w:right="104"/>
              <w:spacing w:after="0"/>
              <w:rPr>
                <w:sz w:val="20"/>
                <w:szCs w:val="20"/>
                <w:color w:val="auto"/>
              </w:rPr>
            </w:pPr>
            <w:r>
              <w:rPr>
                <w:rFonts w:ascii="Arial" w:cs="Arial" w:eastAsia="Arial" w:hAnsi="Arial"/>
                <w:sz w:val="19"/>
                <w:szCs w:val="19"/>
                <w:color w:val="auto"/>
              </w:rPr>
              <w:t>10</w:t>
            </w:r>
          </w:p>
        </w:tc>
        <w:tc>
          <w:tcPr>
            <w:tcW w:w="560" w:type="dxa"/>
            <w:vAlign w:val="bottom"/>
            <w:tcBorders>
              <w:bottom w:val="single" w:sz="8" w:color="0C3D25"/>
            </w:tcBorders>
          </w:tcPr>
          <w:p>
            <w:pPr>
              <w:jc w:val="right"/>
              <w:ind w:right="164"/>
              <w:spacing w:after="0"/>
              <w:rPr>
                <w:sz w:val="20"/>
                <w:szCs w:val="20"/>
                <w:color w:val="auto"/>
              </w:rPr>
            </w:pPr>
            <w:r>
              <w:rPr>
                <w:rFonts w:ascii="Arial" w:cs="Arial" w:eastAsia="Arial" w:hAnsi="Arial"/>
                <w:sz w:val="19"/>
                <w:szCs w:val="19"/>
                <w:color w:val="auto"/>
              </w:rPr>
              <w:t>11</w:t>
            </w:r>
          </w:p>
        </w:tc>
        <w:tc>
          <w:tcPr>
            <w:tcW w:w="340" w:type="dxa"/>
            <w:vAlign w:val="bottom"/>
            <w:tcBorders>
              <w:bottom w:val="single" w:sz="8" w:color="0C3D25"/>
            </w:tcBorders>
          </w:tcPr>
          <w:p>
            <w:pPr>
              <w:jc w:val="right"/>
              <w:ind w:right="4"/>
              <w:spacing w:after="0"/>
              <w:rPr>
                <w:sz w:val="20"/>
                <w:szCs w:val="20"/>
                <w:color w:val="auto"/>
              </w:rPr>
            </w:pPr>
            <w:r>
              <w:rPr>
                <w:rFonts w:ascii="Arial" w:cs="Arial" w:eastAsia="Arial" w:hAnsi="Arial"/>
                <w:sz w:val="19"/>
                <w:szCs w:val="19"/>
                <w:color w:val="auto"/>
              </w:rPr>
              <w:t>12</w:t>
            </w:r>
          </w:p>
        </w:tc>
        <w:tc>
          <w:tcPr>
            <w:tcW w:w="560" w:type="dxa"/>
            <w:vAlign w:val="bottom"/>
            <w:tcBorders>
              <w:bottom w:val="single" w:sz="8" w:color="0C3D25"/>
              <w:right w:val="single" w:sz="8" w:color="A5A5A5"/>
            </w:tcBorders>
          </w:tcPr>
          <w:p>
            <w:pPr>
              <w:jc w:val="right"/>
              <w:ind w:right="88"/>
              <w:spacing w:after="0"/>
              <w:rPr>
                <w:sz w:val="20"/>
                <w:szCs w:val="20"/>
                <w:color w:val="auto"/>
              </w:rPr>
            </w:pPr>
            <w:r>
              <w:rPr>
                <w:rFonts w:ascii="Arial" w:cs="Arial" w:eastAsia="Arial" w:hAnsi="Arial"/>
                <w:sz w:val="19"/>
                <w:szCs w:val="19"/>
                <w:color w:val="auto"/>
              </w:rPr>
              <w:t>13</w:t>
            </w:r>
          </w:p>
        </w:tc>
        <w:tc>
          <w:tcPr>
            <w:tcW w:w="500" w:type="dxa"/>
            <w:vAlign w:val="bottom"/>
            <w:tcBorders>
              <w:bottom w:val="single" w:sz="8" w:color="0C3D25"/>
              <w:right w:val="single" w:sz="8" w:color="A5A5A5"/>
            </w:tcBorders>
            <w:shd w:val="clear" w:color="auto" w:fill="0C3D25"/>
          </w:tcPr>
          <w:p>
            <w:pPr>
              <w:jc w:val="right"/>
              <w:ind w:right="84"/>
              <w:spacing w:after="0"/>
              <w:rPr>
                <w:sz w:val="20"/>
                <w:szCs w:val="20"/>
                <w:color w:val="auto"/>
              </w:rPr>
            </w:pPr>
            <w:r>
              <w:rPr>
                <w:rFonts w:ascii="Arial" w:cs="Arial" w:eastAsia="Arial" w:hAnsi="Arial"/>
                <w:sz w:val="19"/>
                <w:szCs w:val="19"/>
                <w:color w:val="FFFFFF"/>
              </w:rPr>
              <w:t>14</w:t>
            </w:r>
          </w:p>
        </w:tc>
        <w:tc>
          <w:tcPr>
            <w:tcW w:w="1520" w:type="dxa"/>
            <w:vAlign w:val="bottom"/>
            <w:tcBorders>
              <w:bottom w:val="single" w:sz="8" w:color="0C3D25"/>
            </w:tcBorders>
          </w:tcPr>
          <w:p>
            <w:pPr>
              <w:jc w:val="right"/>
              <w:ind w:right="128"/>
              <w:spacing w:after="0"/>
              <w:rPr>
                <w:sz w:val="20"/>
                <w:szCs w:val="20"/>
                <w:color w:val="auto"/>
              </w:rPr>
            </w:pPr>
            <w:r>
              <w:rPr>
                <w:rFonts w:ascii="Arial" w:cs="Arial" w:eastAsia="Arial" w:hAnsi="Arial"/>
                <w:sz w:val="19"/>
                <w:szCs w:val="19"/>
                <w:color w:val="auto"/>
              </w:rPr>
              <w:t>15   16   17</w:t>
            </w:r>
          </w:p>
        </w:tc>
        <w:tc>
          <w:tcPr>
            <w:tcW w:w="1560" w:type="dxa"/>
            <w:vAlign w:val="bottom"/>
            <w:tcBorders>
              <w:bottom w:val="single" w:sz="8" w:color="0C3D25"/>
            </w:tcBorders>
          </w:tcPr>
          <w:p>
            <w:pPr>
              <w:jc w:val="right"/>
              <w:ind w:right="191"/>
              <w:spacing w:after="0"/>
              <w:rPr>
                <w:sz w:val="20"/>
                <w:szCs w:val="20"/>
                <w:color w:val="auto"/>
              </w:rPr>
            </w:pPr>
            <w:r>
              <w:rPr>
                <w:rFonts w:ascii="Arial" w:cs="Arial" w:eastAsia="Arial" w:hAnsi="Arial"/>
                <w:sz w:val="19"/>
                <w:szCs w:val="19"/>
                <w:color w:val="auto"/>
              </w:rPr>
              <w:t>18   19   20</w:t>
            </w:r>
          </w:p>
        </w:tc>
        <w:tc>
          <w:tcPr>
            <w:tcW w:w="0" w:type="dxa"/>
            <w:vAlign w:val="bottom"/>
          </w:tcPr>
          <w:p>
            <w:pPr>
              <w:spacing w:after="0"/>
              <w:rPr>
                <w:sz w:val="1"/>
                <w:szCs w:val="1"/>
                <w:color w:val="auto"/>
              </w:rPr>
            </w:pPr>
          </w:p>
        </w:tc>
      </w:tr>
      <w:tr>
        <w:trPr>
          <w:trHeight w:val="44"/>
        </w:trPr>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Borders>
              <w:right w:val="single" w:sz="8" w:color="A5A5A5"/>
            </w:tcBorders>
          </w:tcPr>
          <w:p>
            <w:pPr>
              <w:spacing w:after="0"/>
              <w:rPr>
                <w:sz w:val="3"/>
                <w:szCs w:val="3"/>
                <w:color w:val="auto"/>
              </w:rPr>
            </w:pPr>
          </w:p>
        </w:tc>
        <w:tc>
          <w:tcPr>
            <w:tcW w:w="500" w:type="dxa"/>
            <w:vAlign w:val="bottom"/>
            <w:tcBorders>
              <w:right w:val="single" w:sz="8" w:color="A5A5A5"/>
            </w:tcBorders>
            <w:shd w:val="clear" w:color="auto" w:fill="A5A5A5"/>
          </w:tcPr>
          <w:p>
            <w:pPr>
              <w:spacing w:after="0"/>
              <w:rPr>
                <w:sz w:val="3"/>
                <w:szCs w:val="3"/>
                <w:color w:val="auto"/>
              </w:rPr>
            </w:pPr>
          </w:p>
        </w:tc>
        <w:tc>
          <w:tcPr>
            <w:tcW w:w="15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716915</wp:posOffset>
                </wp:positionH>
                <wp:positionV relativeFrom="paragraph">
                  <wp:posOffset>-2143760</wp:posOffset>
                </wp:positionV>
                <wp:extent cx="567690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5pt,-168.7999pt" to="503.45pt,-168.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716915</wp:posOffset>
                </wp:positionH>
                <wp:positionV relativeFrom="paragraph">
                  <wp:posOffset>-1786890</wp:posOffset>
                </wp:positionV>
                <wp:extent cx="567690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5pt,-140.6999pt" to="503.45pt,-140.6999pt" o:allowincell="f" strokecolor="#000000" strokeweight="0pt"/>
            </w:pict>
          </mc:Fallback>
        </mc:AlternateContent>
      </w:r>
    </w:p>
    <w:p>
      <w:pPr>
        <w:spacing w:after="0" w:line="150" w:lineRule="exact"/>
        <w:rPr>
          <w:sz w:val="20"/>
          <w:szCs w:val="20"/>
          <w:color w:val="auto"/>
        </w:rPr>
      </w:pPr>
    </w:p>
    <w:p>
      <w:pPr>
        <w:jc w:val="both"/>
        <w:ind w:left="402" w:hanging="402"/>
        <w:spacing w:after="0" w:line="245" w:lineRule="auto"/>
        <w:tabs>
          <w:tab w:leader="none" w:pos="4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Climate performance measure includes two sub-metrics, total landfill gas captured and beneficial use of landfill gas. For 2025, the Company achieved a 2% increase in total landfill gas captured and a 5% increase in beneficial use of landfill gas.</w:t>
      </w:r>
    </w:p>
    <w:p>
      <w:pPr>
        <w:spacing w:after="0" w:line="122"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The MD&amp;C Committee believes that the performance measures for 2025, focusing on the areas of safety, employee engagement, circularity and climate, aligned well with the Company’s commitments and values, sustainability growth strategy and 2030 goals presented in the Company’s Sustainability Report.</w:t>
      </w:r>
    </w:p>
    <w:p>
      <w:pPr>
        <w:spacing w:after="0" w:line="124" w:lineRule="exact"/>
        <w:rPr>
          <w:sz w:val="20"/>
          <w:szCs w:val="20"/>
          <w:color w:val="auto"/>
        </w:rPr>
      </w:pPr>
    </w:p>
    <w:p>
      <w:pPr>
        <w:jc w:val="both"/>
        <w:ind w:left="2"/>
        <w:spacing w:after="0" w:line="247" w:lineRule="auto"/>
        <w:rPr>
          <w:sz w:val="20"/>
          <w:szCs w:val="20"/>
          <w:color w:val="auto"/>
        </w:rPr>
      </w:pPr>
      <w:r>
        <w:rPr>
          <w:rFonts w:ascii="Arial" w:cs="Arial" w:eastAsia="Arial" w:hAnsi="Arial"/>
          <w:sz w:val="20"/>
          <w:szCs w:val="20"/>
          <w:i w:val="1"/>
          <w:iCs w:val="1"/>
          <w:u w:val="single" w:color="auto"/>
          <w:color w:val="auto"/>
        </w:rPr>
        <w:t>Annual Cash Incentive Payout for 2025.</w:t>
      </w:r>
      <w:r>
        <w:rPr>
          <w:rFonts w:ascii="Arial" w:cs="Arial" w:eastAsia="Arial" w:hAnsi="Arial"/>
          <w:sz w:val="20"/>
          <w:szCs w:val="20"/>
          <w:i w:val="1"/>
          <w:iCs w:val="1"/>
          <w:color w:val="auto"/>
        </w:rPr>
        <w:t xml:space="preserve"> </w:t>
      </w:r>
      <w:r>
        <w:rPr>
          <w:rFonts w:ascii="Arial" w:cs="Arial" w:eastAsia="Arial" w:hAnsi="Arial"/>
          <w:sz w:val="20"/>
          <w:szCs w:val="20"/>
          <w:color w:val="auto"/>
        </w:rPr>
        <w:t>Target annual cash incentives are a specified percentage of the executives’ base</w:t>
      </w:r>
      <w:r>
        <w:rPr>
          <w:rFonts w:ascii="Arial" w:cs="Arial" w:eastAsia="Arial" w:hAnsi="Arial"/>
          <w:sz w:val="20"/>
          <w:szCs w:val="20"/>
          <w:i w:val="1"/>
          <w:iCs w:val="1"/>
          <w:color w:val="auto"/>
        </w:rPr>
        <w:t xml:space="preserve"> </w:t>
      </w:r>
      <w:r>
        <w:rPr>
          <w:rFonts w:ascii="Arial" w:cs="Arial" w:eastAsia="Arial" w:hAnsi="Arial"/>
          <w:sz w:val="20"/>
          <w:szCs w:val="20"/>
          <w:color w:val="auto"/>
        </w:rPr>
        <w:t>salary. The MD&amp;C Committee retains discretion to increase or decrease an individual named executive’s annual cash incentive payment by up to 25% based on individual performance. The MD&amp;C Committee did not make any individual performance modifications to the named executive’s annual cash incentive payout for 2025. The following table shows each named executive’s target percentage of base salary for 2025 and each named executive’s total annual cash incentive for 2025 paid in March 2026.</w:t>
      </w:r>
    </w:p>
    <w:p>
      <w:pPr>
        <w:spacing w:after="0" w:line="98" w:lineRule="exact"/>
        <w:rPr>
          <w:sz w:val="20"/>
          <w:szCs w:val="20"/>
          <w:color w:val="auto"/>
        </w:rPr>
      </w:pPr>
    </w:p>
    <w:tbl>
      <w:tblPr>
        <w:tblLayout w:type="fixed"/>
        <w:tblInd w:w="402"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740" w:type="dxa"/>
            <w:vAlign w:val="bottom"/>
          </w:tcPr>
          <w:p>
            <w:pPr>
              <w:jc w:val="right"/>
              <w:ind w:right="207"/>
              <w:spacing w:after="0"/>
              <w:rPr>
                <w:sz w:val="20"/>
                <w:szCs w:val="20"/>
                <w:color w:val="auto"/>
              </w:rPr>
            </w:pPr>
            <w:r>
              <w:rPr>
                <w:rFonts w:ascii="Arial" w:cs="Arial" w:eastAsia="Arial" w:hAnsi="Arial"/>
                <w:sz w:val="16"/>
                <w:szCs w:val="16"/>
                <w:b w:val="1"/>
                <w:bCs w:val="1"/>
                <w:color w:val="0C3D25"/>
              </w:rPr>
              <w:t>Target</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0C3D25"/>
              </w:rPr>
              <w:t>Annual Cash</w:t>
            </w:r>
          </w:p>
        </w:tc>
      </w:tr>
      <w:tr>
        <w:trPr>
          <w:trHeight w:val="160"/>
        </w:trPr>
        <w:tc>
          <w:tcPr>
            <w:tcW w:w="4220" w:type="dxa"/>
            <w:vAlign w:val="bottom"/>
          </w:tcPr>
          <w:p>
            <w:pPr>
              <w:spacing w:after="0"/>
              <w:rPr>
                <w:sz w:val="13"/>
                <w:szCs w:val="13"/>
                <w:color w:val="auto"/>
              </w:rPr>
            </w:pPr>
          </w:p>
        </w:tc>
        <w:tc>
          <w:tcPr>
            <w:tcW w:w="3740" w:type="dxa"/>
            <w:vAlign w:val="bottom"/>
          </w:tcPr>
          <w:p>
            <w:pPr>
              <w:jc w:val="right"/>
              <w:ind w:right="207"/>
              <w:spacing w:after="0" w:line="160" w:lineRule="exact"/>
              <w:rPr>
                <w:sz w:val="20"/>
                <w:szCs w:val="20"/>
                <w:color w:val="auto"/>
              </w:rPr>
            </w:pPr>
            <w:r>
              <w:rPr>
                <w:rFonts w:ascii="Arial" w:cs="Arial" w:eastAsia="Arial" w:hAnsi="Arial"/>
                <w:sz w:val="16"/>
                <w:szCs w:val="16"/>
                <w:b w:val="1"/>
                <w:bCs w:val="1"/>
                <w:color w:val="0C3D25"/>
              </w:rPr>
              <w:t>Percentage</w:t>
            </w:r>
          </w:p>
        </w:tc>
        <w:tc>
          <w:tcPr>
            <w:tcW w:w="40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Incentive</w:t>
            </w:r>
          </w:p>
        </w:tc>
      </w:tr>
      <w:tr>
        <w:trPr>
          <w:trHeight w:val="184"/>
        </w:trPr>
        <w:tc>
          <w:tcPr>
            <w:tcW w:w="4220" w:type="dxa"/>
            <w:vAlign w:val="bottom"/>
          </w:tcPr>
          <w:p>
            <w:pPr>
              <w:ind w:left="60"/>
              <w:spacing w:after="0"/>
              <w:rPr>
                <w:sz w:val="20"/>
                <w:szCs w:val="20"/>
                <w:color w:val="auto"/>
              </w:rPr>
            </w:pPr>
            <w:r>
              <w:rPr>
                <w:rFonts w:ascii="Arial" w:cs="Arial" w:eastAsia="Arial" w:hAnsi="Arial"/>
                <w:sz w:val="16"/>
                <w:szCs w:val="16"/>
                <w:b w:val="1"/>
                <w:bCs w:val="1"/>
                <w:color w:val="0C3D25"/>
              </w:rPr>
              <w:t>Named Executive Officer</w:t>
            </w:r>
          </w:p>
        </w:tc>
        <w:tc>
          <w:tcPr>
            <w:tcW w:w="3740" w:type="dxa"/>
            <w:vAlign w:val="bottom"/>
          </w:tcPr>
          <w:p>
            <w:pPr>
              <w:jc w:val="right"/>
              <w:ind w:right="207"/>
              <w:spacing w:after="0"/>
              <w:rPr>
                <w:sz w:val="20"/>
                <w:szCs w:val="20"/>
                <w:color w:val="auto"/>
              </w:rPr>
            </w:pPr>
            <w:r>
              <w:rPr>
                <w:rFonts w:ascii="Arial" w:cs="Arial" w:eastAsia="Arial" w:hAnsi="Arial"/>
                <w:sz w:val="16"/>
                <w:szCs w:val="16"/>
                <w:b w:val="1"/>
                <w:bCs w:val="1"/>
                <w:color w:val="0C3D25"/>
              </w:rPr>
              <w:t>of Base Salary</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C3D25"/>
              </w:rPr>
              <w:t>For 2025</w:t>
            </w:r>
          </w:p>
        </w:tc>
      </w:tr>
      <w:tr>
        <w:trPr>
          <w:trHeight w:val="42"/>
        </w:trPr>
        <w:tc>
          <w:tcPr>
            <w:tcW w:w="4220" w:type="dxa"/>
            <w:vAlign w:val="bottom"/>
            <w:tcBorders>
              <w:bottom w:val="single" w:sz="8" w:color="0C3D25"/>
            </w:tcBorders>
          </w:tcPr>
          <w:p>
            <w:pPr>
              <w:spacing w:after="0"/>
              <w:rPr>
                <w:sz w:val="3"/>
                <w:szCs w:val="3"/>
                <w:color w:val="auto"/>
              </w:rPr>
            </w:pPr>
          </w:p>
        </w:tc>
        <w:tc>
          <w:tcPr>
            <w:tcW w:w="3740" w:type="dxa"/>
            <w:vAlign w:val="bottom"/>
            <w:tcBorders>
              <w:bottom w:val="single" w:sz="8" w:color="0C3D25"/>
            </w:tcBorders>
          </w:tcPr>
          <w:p>
            <w:pPr>
              <w:spacing w:after="0"/>
              <w:rPr>
                <w:sz w:val="3"/>
                <w:szCs w:val="3"/>
                <w:color w:val="auto"/>
              </w:rPr>
            </w:pPr>
          </w:p>
        </w:tc>
        <w:tc>
          <w:tcPr>
            <w:tcW w:w="400" w:type="dxa"/>
            <w:vAlign w:val="bottom"/>
            <w:tcBorders>
              <w:bottom w:val="single" w:sz="8" w:color="0C3D25"/>
            </w:tcBorders>
          </w:tcPr>
          <w:p>
            <w:pPr>
              <w:spacing w:after="0"/>
              <w:rPr>
                <w:sz w:val="3"/>
                <w:szCs w:val="3"/>
                <w:color w:val="auto"/>
              </w:rPr>
            </w:pPr>
          </w:p>
        </w:tc>
        <w:tc>
          <w:tcPr>
            <w:tcW w:w="900" w:type="dxa"/>
            <w:vAlign w:val="bottom"/>
            <w:tcBorders>
              <w:bottom w:val="single" w:sz="8" w:color="0C3D25"/>
            </w:tcBorders>
          </w:tcPr>
          <w:p>
            <w:pPr>
              <w:spacing w:after="0"/>
              <w:rPr>
                <w:sz w:val="3"/>
                <w:szCs w:val="3"/>
                <w:color w:val="auto"/>
              </w:rPr>
            </w:pPr>
          </w:p>
        </w:tc>
      </w:tr>
      <w:tr>
        <w:trPr>
          <w:trHeight w:val="263"/>
        </w:trPr>
        <w:tc>
          <w:tcPr>
            <w:tcW w:w="422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40" w:type="dxa"/>
            <w:vAlign w:val="bottom"/>
          </w:tcPr>
          <w:p>
            <w:pPr>
              <w:jc w:val="right"/>
              <w:ind w:right="547"/>
              <w:spacing w:after="0"/>
              <w:rPr>
                <w:sz w:val="20"/>
                <w:szCs w:val="20"/>
                <w:color w:val="auto"/>
              </w:rPr>
            </w:pPr>
            <w:r>
              <w:rPr>
                <w:rFonts w:ascii="Arial" w:cs="Arial" w:eastAsia="Arial" w:hAnsi="Arial"/>
                <w:sz w:val="20"/>
                <w:szCs w:val="20"/>
                <w:color w:val="auto"/>
              </w:rPr>
              <w:t>160</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92"/>
              </w:rPr>
              <w:t>2,472,480</w:t>
            </w:r>
          </w:p>
        </w:tc>
      </w:tr>
      <w:tr>
        <w:trPr>
          <w:trHeight w:val="27"/>
        </w:trPr>
        <w:tc>
          <w:tcPr>
            <w:tcW w:w="4220" w:type="dxa"/>
            <w:vAlign w:val="bottom"/>
            <w:tcBorders>
              <w:bottom w:val="single" w:sz="8" w:color="0C3D25"/>
            </w:tcBorders>
          </w:tcPr>
          <w:p>
            <w:pPr>
              <w:spacing w:after="0"/>
              <w:rPr>
                <w:sz w:val="2"/>
                <w:szCs w:val="2"/>
                <w:color w:val="auto"/>
              </w:rPr>
            </w:pPr>
          </w:p>
        </w:tc>
        <w:tc>
          <w:tcPr>
            <w:tcW w:w="374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r>
      <w:tr>
        <w:trPr>
          <w:trHeight w:val="279"/>
        </w:trPr>
        <w:tc>
          <w:tcPr>
            <w:tcW w:w="422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b w:val="1"/>
                <w:bCs w:val="1"/>
                <w:color w:val="auto"/>
              </w:rPr>
              <w:t>Mr. Reed</w:t>
            </w:r>
            <w:r>
              <w:rPr>
                <w:rFonts w:ascii="Arial" w:cs="Arial" w:eastAsia="Arial" w:hAnsi="Arial"/>
                <w:sz w:val="25"/>
                <w:szCs w:val="25"/>
                <w:color w:val="auto"/>
                <w:vertAlign w:val="superscript"/>
              </w:rPr>
              <w:t>(1)</w:t>
            </w:r>
          </w:p>
        </w:tc>
        <w:tc>
          <w:tcPr>
            <w:tcW w:w="3740" w:type="dxa"/>
            <w:vAlign w:val="bottom"/>
            <w:tcBorders>
              <w:bottom w:val="single" w:sz="8" w:color="0C3D25"/>
            </w:tcBorders>
          </w:tcPr>
          <w:p>
            <w:pPr>
              <w:jc w:val="right"/>
              <w:ind w:right="547"/>
              <w:spacing w:after="0"/>
              <w:rPr>
                <w:sz w:val="20"/>
                <w:szCs w:val="20"/>
                <w:color w:val="auto"/>
              </w:rPr>
            </w:pPr>
            <w:r>
              <w:rPr>
                <w:rFonts w:ascii="Arial" w:cs="Arial" w:eastAsia="Arial" w:hAnsi="Arial"/>
                <w:sz w:val="20"/>
                <w:szCs w:val="20"/>
                <w:color w:val="auto"/>
              </w:rPr>
              <w:t>100</w:t>
            </w:r>
          </w:p>
        </w:tc>
        <w:tc>
          <w:tcPr>
            <w:tcW w:w="4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474,569</w:t>
            </w:r>
          </w:p>
        </w:tc>
      </w:tr>
      <w:tr>
        <w:trPr>
          <w:trHeight w:val="253"/>
        </w:trPr>
        <w:tc>
          <w:tcPr>
            <w:tcW w:w="422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40" w:type="dxa"/>
            <w:vAlign w:val="bottom"/>
          </w:tcPr>
          <w:p>
            <w:pPr>
              <w:jc w:val="right"/>
              <w:ind w:right="547"/>
              <w:spacing w:after="0"/>
              <w:rPr>
                <w:sz w:val="20"/>
                <w:szCs w:val="20"/>
                <w:color w:val="auto"/>
              </w:rPr>
            </w:pPr>
            <w:r>
              <w:rPr>
                <w:rFonts w:ascii="Arial" w:cs="Arial" w:eastAsia="Arial" w:hAnsi="Arial"/>
                <w:sz w:val="20"/>
                <w:szCs w:val="20"/>
                <w:color w:val="auto"/>
              </w:rPr>
              <w:t>105</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870,687</w:t>
            </w:r>
          </w:p>
        </w:tc>
      </w:tr>
      <w:tr>
        <w:trPr>
          <w:trHeight w:val="27"/>
        </w:trPr>
        <w:tc>
          <w:tcPr>
            <w:tcW w:w="4220" w:type="dxa"/>
            <w:vAlign w:val="bottom"/>
            <w:tcBorders>
              <w:bottom w:val="single" w:sz="8" w:color="0C3D25"/>
            </w:tcBorders>
          </w:tcPr>
          <w:p>
            <w:pPr>
              <w:spacing w:after="0"/>
              <w:rPr>
                <w:sz w:val="2"/>
                <w:szCs w:val="2"/>
                <w:color w:val="auto"/>
              </w:rPr>
            </w:pPr>
          </w:p>
        </w:tc>
        <w:tc>
          <w:tcPr>
            <w:tcW w:w="374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r>
      <w:tr>
        <w:trPr>
          <w:trHeight w:val="253"/>
        </w:trPr>
        <w:tc>
          <w:tcPr>
            <w:tcW w:w="422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40" w:type="dxa"/>
            <w:vAlign w:val="bottom"/>
          </w:tcPr>
          <w:p>
            <w:pPr>
              <w:jc w:val="right"/>
              <w:ind w:right="547"/>
              <w:spacing w:after="0"/>
              <w:rPr>
                <w:sz w:val="20"/>
                <w:szCs w:val="20"/>
                <w:color w:val="auto"/>
              </w:rPr>
            </w:pPr>
            <w:r>
              <w:rPr>
                <w:rFonts w:ascii="Arial" w:cs="Arial" w:eastAsia="Arial" w:hAnsi="Arial"/>
                <w:sz w:val="20"/>
                <w:szCs w:val="20"/>
                <w:color w:val="auto"/>
              </w:rPr>
              <w:t>125</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92"/>
              </w:rPr>
              <w:t>1,287,750</w:t>
            </w:r>
          </w:p>
        </w:tc>
      </w:tr>
      <w:tr>
        <w:trPr>
          <w:trHeight w:val="27"/>
        </w:trPr>
        <w:tc>
          <w:tcPr>
            <w:tcW w:w="4220" w:type="dxa"/>
            <w:vAlign w:val="bottom"/>
            <w:tcBorders>
              <w:bottom w:val="single" w:sz="8" w:color="0C3D25"/>
            </w:tcBorders>
          </w:tcPr>
          <w:p>
            <w:pPr>
              <w:spacing w:after="0"/>
              <w:rPr>
                <w:sz w:val="2"/>
                <w:szCs w:val="2"/>
                <w:color w:val="auto"/>
              </w:rPr>
            </w:pPr>
          </w:p>
        </w:tc>
        <w:tc>
          <w:tcPr>
            <w:tcW w:w="374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r>
      <w:tr>
        <w:trPr>
          <w:trHeight w:val="253"/>
        </w:trPr>
        <w:tc>
          <w:tcPr>
            <w:tcW w:w="422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40" w:type="dxa"/>
            <w:vAlign w:val="bottom"/>
          </w:tcPr>
          <w:p>
            <w:pPr>
              <w:jc w:val="right"/>
              <w:ind w:right="547"/>
              <w:spacing w:after="0"/>
              <w:rPr>
                <w:sz w:val="20"/>
                <w:szCs w:val="20"/>
                <w:color w:val="auto"/>
              </w:rPr>
            </w:pPr>
            <w:r>
              <w:rPr>
                <w:rFonts w:ascii="Arial" w:cs="Arial" w:eastAsia="Arial" w:hAnsi="Arial"/>
                <w:sz w:val="20"/>
                <w:szCs w:val="20"/>
                <w:color w:val="auto"/>
              </w:rPr>
              <w:t>95</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709,061</w:t>
            </w:r>
          </w:p>
        </w:tc>
      </w:tr>
      <w:tr>
        <w:trPr>
          <w:trHeight w:val="27"/>
        </w:trPr>
        <w:tc>
          <w:tcPr>
            <w:tcW w:w="4220" w:type="dxa"/>
            <w:vAlign w:val="bottom"/>
            <w:tcBorders>
              <w:bottom w:val="single" w:sz="8" w:color="0C3D25"/>
            </w:tcBorders>
          </w:tcPr>
          <w:p>
            <w:pPr>
              <w:spacing w:after="0"/>
              <w:rPr>
                <w:sz w:val="2"/>
                <w:szCs w:val="2"/>
                <w:color w:val="auto"/>
              </w:rPr>
            </w:pPr>
          </w:p>
        </w:tc>
        <w:tc>
          <w:tcPr>
            <w:tcW w:w="374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r>
      <w:tr>
        <w:trPr>
          <w:trHeight w:val="253"/>
        </w:trPr>
        <w:tc>
          <w:tcPr>
            <w:tcW w:w="422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40" w:type="dxa"/>
            <w:vAlign w:val="bottom"/>
          </w:tcPr>
          <w:p>
            <w:pPr>
              <w:jc w:val="right"/>
              <w:ind w:right="547"/>
              <w:spacing w:after="0"/>
              <w:rPr>
                <w:sz w:val="20"/>
                <w:szCs w:val="20"/>
                <w:color w:val="auto"/>
              </w:rPr>
            </w:pPr>
            <w:r>
              <w:rPr>
                <w:rFonts w:ascii="Arial" w:cs="Arial" w:eastAsia="Arial" w:hAnsi="Arial"/>
                <w:sz w:val="20"/>
                <w:szCs w:val="20"/>
                <w:color w:val="auto"/>
              </w:rPr>
              <w:t>95</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696,681</w:t>
            </w:r>
          </w:p>
        </w:tc>
      </w:tr>
      <w:tr>
        <w:trPr>
          <w:trHeight w:val="32"/>
        </w:trPr>
        <w:tc>
          <w:tcPr>
            <w:tcW w:w="4220" w:type="dxa"/>
            <w:vAlign w:val="bottom"/>
            <w:tcBorders>
              <w:bottom w:val="single" w:sz="8" w:color="0C3D25"/>
            </w:tcBorders>
          </w:tcPr>
          <w:p>
            <w:pPr>
              <w:spacing w:after="0"/>
              <w:rPr>
                <w:sz w:val="2"/>
                <w:szCs w:val="2"/>
                <w:color w:val="auto"/>
              </w:rPr>
            </w:pPr>
          </w:p>
        </w:tc>
        <w:tc>
          <w:tcPr>
            <w:tcW w:w="3740" w:type="dxa"/>
            <w:vAlign w:val="bottom"/>
            <w:tcBorders>
              <w:bottom w:val="single" w:sz="8" w:color="0C3D25"/>
            </w:tcBorders>
          </w:tcPr>
          <w:p>
            <w:pPr>
              <w:spacing w:after="0"/>
              <w:rPr>
                <w:sz w:val="2"/>
                <w:szCs w:val="2"/>
                <w:color w:val="auto"/>
              </w:rPr>
            </w:pPr>
          </w:p>
        </w:tc>
        <w:tc>
          <w:tcPr>
            <w:tcW w:w="40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r>
    </w:tbl>
    <w:p>
      <w:pPr>
        <w:spacing w:after="0" w:line="76" w:lineRule="exact"/>
        <w:rPr>
          <w:sz w:val="20"/>
          <w:szCs w:val="20"/>
          <w:color w:val="auto"/>
        </w:rPr>
      </w:pPr>
    </w:p>
    <w:p>
      <w:pPr>
        <w:ind w:left="802" w:hanging="403"/>
        <w:spacing w:after="0" w:line="273" w:lineRule="auto"/>
        <w:tabs>
          <w:tab w:leader="none" w:pos="80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increase to Mr. Reed’s target percentage of base salary, effective November 1, 2025, made in connection with his promotion yielded an effective 65.81% target percentage of base salary for the full year of 2025.</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Long-Term Equity Incentives</w:t>
      </w:r>
    </w:p>
    <w:p>
      <w:pPr>
        <w:spacing w:after="0" w:line="131" w:lineRule="exact"/>
        <w:rPr>
          <w:sz w:val="20"/>
          <w:szCs w:val="20"/>
          <w:color w:val="auto"/>
        </w:rPr>
      </w:pPr>
    </w:p>
    <w:p>
      <w:pPr>
        <w:jc w:val="both"/>
        <w:ind w:left="2"/>
        <w:spacing w:after="0" w:line="284"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w:t>
      </w:r>
    </w:p>
    <w:p>
      <w:pPr>
        <w:spacing w:after="0" w:line="391"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3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0" w:name="page51"/>
    <w:bookmarkEnd w:id="50"/>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appropriate awards for the named executives’ 2025 annual long-term incentive award, the MD&amp;C Committee decided to grant both PSUs comprising 80% of each named executive’s award and stock options comprising 20% of each named executive’s award, consistent with prior years. Half of each named executives’ PSUs granted in 2025 are Cash Flow PSUs and the remaining half are TSR PSUs. Meanwhile, stock options encourage focus on increasing the market value of our stock. Before determining the actual number of PSUs and stock options that were granted to each of the named executives in 2025,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discussion addresses only the granting of annual long-term incentive awards to named executives, which occurs in the first quarter of the year. The table below does not include mid-year promotional and retention awards of RSUs that occurred in 2025. Please see “Executive Compensation Decisions in Connection with Leadership Transitions” above and “Restricted Stock Units” below for additional information.</w:t>
      </w:r>
    </w:p>
    <w:p>
      <w:pPr>
        <w:spacing w:after="0" w:line="82"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4640" w:type="dxa"/>
            <w:vAlign w:val="bottom"/>
          </w:tcPr>
          <w:p>
            <w:pPr>
              <w:jc w:val="right"/>
              <w:spacing w:after="0"/>
              <w:rPr>
                <w:sz w:val="20"/>
                <w:szCs w:val="20"/>
                <w:color w:val="auto"/>
              </w:rPr>
            </w:pPr>
            <w:r>
              <w:rPr>
                <w:rFonts w:ascii="Arial" w:cs="Arial" w:eastAsia="Arial" w:hAnsi="Arial"/>
                <w:sz w:val="16"/>
                <w:szCs w:val="16"/>
                <w:b w:val="1"/>
                <w:bCs w:val="1"/>
                <w:color w:val="0C3D25"/>
              </w:rPr>
              <w:t>Dollar Values of 2025</w:t>
            </w:r>
          </w:p>
        </w:tc>
      </w:tr>
      <w:tr>
        <w:trPr>
          <w:trHeight w:val="160"/>
        </w:trPr>
        <w:tc>
          <w:tcPr>
            <w:tcW w:w="3820" w:type="dxa"/>
            <w:vAlign w:val="bottom"/>
          </w:tcPr>
          <w:p>
            <w:pPr>
              <w:spacing w:after="0"/>
              <w:rPr>
                <w:sz w:val="13"/>
                <w:szCs w:val="13"/>
                <w:color w:val="auto"/>
              </w:rPr>
            </w:pPr>
          </w:p>
        </w:tc>
        <w:tc>
          <w:tcPr>
            <w:tcW w:w="464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Annual Long-Term Equity Incentives</w:t>
            </w:r>
          </w:p>
        </w:tc>
      </w:tr>
      <w:tr>
        <w:trPr>
          <w:trHeight w:val="150"/>
        </w:trPr>
        <w:tc>
          <w:tcPr>
            <w:tcW w:w="3820" w:type="dxa"/>
            <w:vAlign w:val="bottom"/>
          </w:tcPr>
          <w:p>
            <w:pPr>
              <w:spacing w:after="0"/>
              <w:rPr>
                <w:sz w:val="13"/>
                <w:szCs w:val="13"/>
                <w:color w:val="auto"/>
              </w:rPr>
            </w:pPr>
          </w:p>
        </w:tc>
        <w:tc>
          <w:tcPr>
            <w:tcW w:w="4640" w:type="dxa"/>
            <w:vAlign w:val="bottom"/>
          </w:tcPr>
          <w:p>
            <w:pPr>
              <w:jc w:val="right"/>
              <w:spacing w:after="0" w:line="150" w:lineRule="exact"/>
              <w:rPr>
                <w:sz w:val="20"/>
                <w:szCs w:val="20"/>
                <w:color w:val="auto"/>
              </w:rPr>
            </w:pPr>
            <w:r>
              <w:rPr>
                <w:rFonts w:ascii="Arial" w:cs="Arial" w:eastAsia="Arial" w:hAnsi="Arial"/>
                <w:sz w:val="16"/>
                <w:szCs w:val="16"/>
                <w:b w:val="1"/>
                <w:bCs w:val="1"/>
                <w:color w:val="0C3D25"/>
              </w:rPr>
              <w:t>Set by the Committee</w:t>
            </w:r>
          </w:p>
        </w:tc>
      </w:tr>
      <w:tr>
        <w:trPr>
          <w:trHeight w:val="231"/>
        </w:trPr>
        <w:tc>
          <w:tcPr>
            <w:tcW w:w="382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Named Executive Officer</w:t>
            </w:r>
          </w:p>
        </w:tc>
        <w:tc>
          <w:tcPr>
            <w:tcW w:w="464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(at Target)</w:t>
            </w:r>
            <w:r>
              <w:rPr>
                <w:rFonts w:ascii="Arial" w:cs="Arial" w:eastAsia="Arial" w:hAnsi="Arial"/>
                <w:sz w:val="19"/>
                <w:szCs w:val="19"/>
                <w:b w:val="1"/>
                <w:bCs w:val="1"/>
                <w:color w:val="0C3D25"/>
                <w:vertAlign w:val="superscript"/>
              </w:rPr>
              <w:t>(1)</w:t>
            </w:r>
          </w:p>
        </w:tc>
      </w:tr>
      <w:tr>
        <w:trPr>
          <w:trHeight w:val="268"/>
        </w:trPr>
        <w:tc>
          <w:tcPr>
            <w:tcW w:w="382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4640" w:type="dxa"/>
            <w:vAlign w:val="bottom"/>
          </w:tcPr>
          <w:p>
            <w:pPr>
              <w:jc w:val="right"/>
              <w:spacing w:after="0"/>
              <w:rPr>
                <w:sz w:val="20"/>
                <w:szCs w:val="20"/>
                <w:color w:val="auto"/>
              </w:rPr>
            </w:pPr>
            <w:r>
              <w:rPr>
                <w:rFonts w:ascii="Arial" w:cs="Arial" w:eastAsia="Arial" w:hAnsi="Arial"/>
                <w:sz w:val="20"/>
                <w:szCs w:val="20"/>
                <w:color w:val="auto"/>
              </w:rPr>
              <w:t>$12,000,000</w:t>
            </w:r>
          </w:p>
        </w:tc>
      </w:tr>
      <w:tr>
        <w:trPr>
          <w:trHeight w:val="27"/>
        </w:trPr>
        <w:tc>
          <w:tcPr>
            <w:tcW w:w="3820" w:type="dxa"/>
            <w:vAlign w:val="bottom"/>
            <w:tcBorders>
              <w:bottom w:val="single" w:sz="8" w:color="0C3D25"/>
            </w:tcBorders>
          </w:tcPr>
          <w:p>
            <w:pPr>
              <w:spacing w:after="0"/>
              <w:rPr>
                <w:sz w:val="2"/>
                <w:szCs w:val="2"/>
                <w:color w:val="auto"/>
              </w:rPr>
            </w:pPr>
          </w:p>
        </w:tc>
        <w:tc>
          <w:tcPr>
            <w:tcW w:w="4640" w:type="dxa"/>
            <w:vAlign w:val="bottom"/>
            <w:tcBorders>
              <w:bottom w:val="single" w:sz="8" w:color="0C3D25"/>
            </w:tcBorders>
          </w:tcPr>
          <w:p>
            <w:pPr>
              <w:spacing w:after="0"/>
              <w:rPr>
                <w:sz w:val="2"/>
                <w:szCs w:val="2"/>
                <w:color w:val="auto"/>
              </w:rPr>
            </w:pPr>
          </w:p>
        </w:tc>
      </w:tr>
      <w:tr>
        <w:trPr>
          <w:trHeight w:val="279"/>
        </w:trPr>
        <w:tc>
          <w:tcPr>
            <w:tcW w:w="382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b w:val="1"/>
                <w:bCs w:val="1"/>
                <w:color w:val="auto"/>
              </w:rPr>
              <w:t>Mr. Reed</w:t>
            </w:r>
            <w:r>
              <w:rPr>
                <w:rFonts w:ascii="Arial" w:cs="Arial" w:eastAsia="Arial" w:hAnsi="Arial"/>
                <w:sz w:val="25"/>
                <w:szCs w:val="25"/>
                <w:color w:val="auto"/>
                <w:vertAlign w:val="superscript"/>
              </w:rPr>
              <w:t>(2)</w:t>
            </w:r>
          </w:p>
        </w:tc>
        <w:tc>
          <w:tcPr>
            <w:tcW w:w="46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$400,000</w:t>
            </w:r>
          </w:p>
        </w:tc>
      </w:tr>
      <w:tr>
        <w:trPr>
          <w:trHeight w:val="253"/>
        </w:trPr>
        <w:tc>
          <w:tcPr>
            <w:tcW w:w="382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4640" w:type="dxa"/>
            <w:vAlign w:val="bottom"/>
          </w:tcPr>
          <w:p>
            <w:pPr>
              <w:jc w:val="right"/>
              <w:spacing w:after="0"/>
              <w:rPr>
                <w:sz w:val="20"/>
                <w:szCs w:val="20"/>
                <w:color w:val="auto"/>
              </w:rPr>
            </w:pPr>
            <w:r>
              <w:rPr>
                <w:rFonts w:ascii="Arial" w:cs="Arial" w:eastAsia="Arial" w:hAnsi="Arial"/>
                <w:sz w:val="20"/>
                <w:szCs w:val="20"/>
                <w:color w:val="auto"/>
              </w:rPr>
              <w:t>$2,700,000</w:t>
            </w:r>
          </w:p>
        </w:tc>
      </w:tr>
      <w:tr>
        <w:trPr>
          <w:trHeight w:val="27"/>
        </w:trPr>
        <w:tc>
          <w:tcPr>
            <w:tcW w:w="3820" w:type="dxa"/>
            <w:vAlign w:val="bottom"/>
            <w:tcBorders>
              <w:bottom w:val="single" w:sz="8" w:color="0C3D25"/>
            </w:tcBorders>
          </w:tcPr>
          <w:p>
            <w:pPr>
              <w:spacing w:after="0"/>
              <w:rPr>
                <w:sz w:val="2"/>
                <w:szCs w:val="2"/>
                <w:color w:val="auto"/>
              </w:rPr>
            </w:pPr>
          </w:p>
        </w:tc>
        <w:tc>
          <w:tcPr>
            <w:tcW w:w="4640" w:type="dxa"/>
            <w:vAlign w:val="bottom"/>
            <w:tcBorders>
              <w:bottom w:val="single" w:sz="8" w:color="0C3D25"/>
            </w:tcBorders>
          </w:tcPr>
          <w:p>
            <w:pPr>
              <w:spacing w:after="0"/>
              <w:rPr>
                <w:sz w:val="2"/>
                <w:szCs w:val="2"/>
                <w:color w:val="auto"/>
              </w:rPr>
            </w:pPr>
          </w:p>
        </w:tc>
      </w:tr>
      <w:tr>
        <w:trPr>
          <w:trHeight w:val="253"/>
        </w:trPr>
        <w:tc>
          <w:tcPr>
            <w:tcW w:w="382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4640" w:type="dxa"/>
            <w:vAlign w:val="bottom"/>
          </w:tcPr>
          <w:p>
            <w:pPr>
              <w:jc w:val="right"/>
              <w:spacing w:after="0"/>
              <w:rPr>
                <w:sz w:val="20"/>
                <w:szCs w:val="20"/>
                <w:color w:val="auto"/>
              </w:rPr>
            </w:pPr>
            <w:r>
              <w:rPr>
                <w:rFonts w:ascii="Arial" w:cs="Arial" w:eastAsia="Arial" w:hAnsi="Arial"/>
                <w:sz w:val="20"/>
                <w:szCs w:val="20"/>
                <w:color w:val="auto"/>
              </w:rPr>
              <w:t>$3,100,000</w:t>
            </w:r>
          </w:p>
        </w:tc>
      </w:tr>
      <w:tr>
        <w:trPr>
          <w:trHeight w:val="27"/>
        </w:trPr>
        <w:tc>
          <w:tcPr>
            <w:tcW w:w="3820" w:type="dxa"/>
            <w:vAlign w:val="bottom"/>
            <w:tcBorders>
              <w:bottom w:val="single" w:sz="8" w:color="0C3D25"/>
            </w:tcBorders>
          </w:tcPr>
          <w:p>
            <w:pPr>
              <w:spacing w:after="0"/>
              <w:rPr>
                <w:sz w:val="2"/>
                <w:szCs w:val="2"/>
                <w:color w:val="auto"/>
              </w:rPr>
            </w:pPr>
          </w:p>
        </w:tc>
        <w:tc>
          <w:tcPr>
            <w:tcW w:w="4640" w:type="dxa"/>
            <w:vAlign w:val="bottom"/>
            <w:tcBorders>
              <w:bottom w:val="single" w:sz="8" w:color="0C3D25"/>
            </w:tcBorders>
          </w:tcPr>
          <w:p>
            <w:pPr>
              <w:spacing w:after="0"/>
              <w:rPr>
                <w:sz w:val="2"/>
                <w:szCs w:val="2"/>
                <w:color w:val="auto"/>
              </w:rPr>
            </w:pPr>
          </w:p>
        </w:tc>
      </w:tr>
      <w:tr>
        <w:trPr>
          <w:trHeight w:val="253"/>
        </w:trPr>
        <w:tc>
          <w:tcPr>
            <w:tcW w:w="382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4640" w:type="dxa"/>
            <w:vAlign w:val="bottom"/>
          </w:tcPr>
          <w:p>
            <w:pPr>
              <w:jc w:val="right"/>
              <w:spacing w:after="0"/>
              <w:rPr>
                <w:sz w:val="20"/>
                <w:szCs w:val="20"/>
                <w:color w:val="auto"/>
              </w:rPr>
            </w:pPr>
            <w:r>
              <w:rPr>
                <w:rFonts w:ascii="Arial" w:cs="Arial" w:eastAsia="Arial" w:hAnsi="Arial"/>
                <w:sz w:val="20"/>
                <w:szCs w:val="20"/>
                <w:color w:val="auto"/>
              </w:rPr>
              <w:t>$2,100,000</w:t>
            </w:r>
          </w:p>
        </w:tc>
      </w:tr>
      <w:tr>
        <w:trPr>
          <w:trHeight w:val="27"/>
        </w:trPr>
        <w:tc>
          <w:tcPr>
            <w:tcW w:w="3820" w:type="dxa"/>
            <w:vAlign w:val="bottom"/>
            <w:tcBorders>
              <w:bottom w:val="single" w:sz="8" w:color="0C3D25"/>
            </w:tcBorders>
          </w:tcPr>
          <w:p>
            <w:pPr>
              <w:spacing w:after="0"/>
              <w:rPr>
                <w:sz w:val="2"/>
                <w:szCs w:val="2"/>
                <w:color w:val="auto"/>
              </w:rPr>
            </w:pPr>
          </w:p>
        </w:tc>
        <w:tc>
          <w:tcPr>
            <w:tcW w:w="4640" w:type="dxa"/>
            <w:vAlign w:val="bottom"/>
            <w:tcBorders>
              <w:bottom w:val="single" w:sz="8" w:color="0C3D25"/>
            </w:tcBorders>
          </w:tcPr>
          <w:p>
            <w:pPr>
              <w:spacing w:after="0"/>
              <w:rPr>
                <w:sz w:val="2"/>
                <w:szCs w:val="2"/>
                <w:color w:val="auto"/>
              </w:rPr>
            </w:pPr>
          </w:p>
        </w:tc>
      </w:tr>
      <w:tr>
        <w:trPr>
          <w:trHeight w:val="253"/>
        </w:trPr>
        <w:tc>
          <w:tcPr>
            <w:tcW w:w="382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4640" w:type="dxa"/>
            <w:vAlign w:val="bottom"/>
          </w:tcPr>
          <w:p>
            <w:pPr>
              <w:jc w:val="right"/>
              <w:spacing w:after="0"/>
              <w:rPr>
                <w:sz w:val="20"/>
                <w:szCs w:val="20"/>
                <w:color w:val="auto"/>
              </w:rPr>
            </w:pPr>
            <w:r>
              <w:rPr>
                <w:rFonts w:ascii="Arial" w:cs="Arial" w:eastAsia="Arial" w:hAnsi="Arial"/>
                <w:sz w:val="20"/>
                <w:szCs w:val="20"/>
                <w:color w:val="auto"/>
              </w:rPr>
              <w:t>$2,100,000</w:t>
            </w:r>
          </w:p>
        </w:tc>
      </w:tr>
      <w:tr>
        <w:trPr>
          <w:trHeight w:val="32"/>
        </w:trPr>
        <w:tc>
          <w:tcPr>
            <w:tcW w:w="3820" w:type="dxa"/>
            <w:vAlign w:val="bottom"/>
            <w:tcBorders>
              <w:bottom w:val="single" w:sz="8" w:color="0C3D25"/>
            </w:tcBorders>
          </w:tcPr>
          <w:p>
            <w:pPr>
              <w:spacing w:after="0"/>
              <w:rPr>
                <w:sz w:val="2"/>
                <w:szCs w:val="2"/>
                <w:color w:val="auto"/>
              </w:rPr>
            </w:pPr>
          </w:p>
        </w:tc>
        <w:tc>
          <w:tcPr>
            <w:tcW w:w="4640" w:type="dxa"/>
            <w:vAlign w:val="bottom"/>
            <w:tcBorders>
              <w:bottom w:val="single" w:sz="8" w:color="0C3D25"/>
            </w:tcBorders>
          </w:tcPr>
          <w:p>
            <w:pPr>
              <w:spacing w:after="0"/>
              <w:rPr>
                <w:sz w:val="2"/>
                <w:szCs w:val="2"/>
                <w:color w:val="auto"/>
              </w:rPr>
            </w:pPr>
          </w:p>
        </w:tc>
      </w:tr>
    </w:tbl>
    <w:p>
      <w:pPr>
        <w:spacing w:after="0" w:line="101" w:lineRule="exact"/>
        <w:rPr>
          <w:sz w:val="20"/>
          <w:szCs w:val="20"/>
          <w:color w:val="auto"/>
        </w:rPr>
      </w:pPr>
    </w:p>
    <w:p>
      <w:pPr>
        <w:ind w:left="1200" w:hanging="404"/>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Amount does not include mid-year promotional and retention awards of RSUs.</w:t>
      </w:r>
    </w:p>
    <w:p>
      <w:pPr>
        <w:spacing w:after="0" w:line="153" w:lineRule="exact"/>
        <w:rPr>
          <w:rFonts w:ascii="Arial" w:cs="Arial" w:eastAsia="Arial" w:hAnsi="Arial"/>
          <w:sz w:val="20"/>
          <w:szCs w:val="20"/>
          <w:color w:val="auto"/>
        </w:rPr>
      </w:pPr>
    </w:p>
    <w:p>
      <w:pPr>
        <w:ind w:left="1200" w:hanging="404"/>
        <w:spacing w:after="0" w:line="259" w:lineRule="auto"/>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Amount reflects Mr. Reed’s annual long-term equity incentive award prior to his promotion to the senior leadership team.</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Overview of Performance Share Units.</w:t>
      </w:r>
    </w:p>
    <w:p>
      <w:pPr>
        <w:spacing w:after="0" w:line="153" w:lineRule="exact"/>
        <w:rPr>
          <w:sz w:val="20"/>
          <w:szCs w:val="20"/>
          <w:color w:val="auto"/>
        </w:rPr>
      </w:pPr>
    </w:p>
    <w:p>
      <w:pPr>
        <w:ind w:left="600" w:hanging="203"/>
        <w:spacing w:after="0" w:line="315" w:lineRule="auto"/>
        <w:tabs>
          <w:tab w:leader="none" w:pos="600" w:val="left"/>
        </w:tabs>
        <w:numPr>
          <w:ilvl w:val="0"/>
          <w:numId w:val="23"/>
        </w:numPr>
        <w:rPr>
          <w:rFonts w:ascii="Arial" w:cs="Arial" w:eastAsia="Arial" w:hAnsi="Arial"/>
          <w:sz w:val="18"/>
          <w:szCs w:val="18"/>
          <w:color w:val="0C3D25"/>
        </w:rPr>
      </w:pPr>
      <w:r>
        <w:rPr>
          <w:rFonts w:ascii="Arial" w:cs="Arial" w:eastAsia="Arial" w:hAnsi="Arial"/>
          <w:sz w:val="18"/>
          <w:szCs w:val="18"/>
          <w:i w:val="1"/>
          <w:iCs w:val="1"/>
          <w:color w:val="auto"/>
        </w:rPr>
        <w:t>Named executives were granted new PSUs with a three-year performance period ending December 31, 2027. Half of each named executive’s PSUs granted in 2025 are Cash Flow PSUs and the remaining half are TSR PSUs.</w:t>
      </w:r>
    </w:p>
    <w:p>
      <w:pPr>
        <w:spacing w:after="0" w:line="89" w:lineRule="exact"/>
        <w:rPr>
          <w:rFonts w:ascii="Arial" w:cs="Arial" w:eastAsia="Arial" w:hAnsi="Arial"/>
          <w:sz w:val="18"/>
          <w:szCs w:val="18"/>
          <w:color w:val="0C3D25"/>
        </w:rPr>
      </w:pPr>
    </w:p>
    <w:p>
      <w:pPr>
        <w:jc w:val="both"/>
        <w:ind w:left="600" w:hanging="203"/>
        <w:spacing w:after="0" w:line="260" w:lineRule="auto"/>
        <w:tabs>
          <w:tab w:leader="none" w:pos="600" w:val="left"/>
        </w:tabs>
        <w:numPr>
          <w:ilvl w:val="0"/>
          <w:numId w:val="23"/>
        </w:numPr>
        <w:rPr>
          <w:rFonts w:ascii="Arial" w:cs="Arial" w:eastAsia="Arial" w:hAnsi="Arial"/>
          <w:sz w:val="20"/>
          <w:szCs w:val="20"/>
          <w:color w:val="0C3D25"/>
        </w:rPr>
      </w:pPr>
      <w:r>
        <w:rPr>
          <w:rFonts w:ascii="Arial" w:cs="Arial" w:eastAsia="Arial" w:hAnsi="Arial"/>
          <w:sz w:val="20"/>
          <w:szCs w:val="20"/>
          <w:i w:val="1"/>
          <w:iCs w:val="1"/>
          <w:color w:val="auto"/>
        </w:rPr>
        <w:t>Named executives received a payout of 115.99% of the PSUs granted in 2023 with a three-year performance period ended December 31, 2025. The Company exceeded the target level of performance for the Cash Flow PSUs and the TSR PSUs.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u w:val="single" w:color="auto"/>
          <w:color w:val="auto"/>
        </w:rPr>
        <w:t>PSUs Granted in 2025.</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share units are granted to our named executive officers annually to align</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MD&amp;C Committee determined the number of PSUs that were granted to each of the named executives in 2025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2025 are shown in the table below.</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1" w:name="page52"/>
    <w:bookmarkEnd w:id="51"/>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81"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Arial" w:cs="Arial" w:eastAsia="Arial" w:hAnsi="Arial"/>
                <w:sz w:val="16"/>
                <w:szCs w:val="16"/>
                <w:b w:val="1"/>
                <w:bCs w:val="1"/>
                <w:color w:val="0C3D25"/>
              </w:rPr>
              <w:t>Number</w:t>
            </w:r>
          </w:p>
        </w:tc>
      </w:tr>
      <w:tr>
        <w:trPr>
          <w:trHeight w:val="184"/>
        </w:trPr>
        <w:tc>
          <w:tcPr>
            <w:tcW w:w="4800" w:type="dxa"/>
            <w:vAlign w:val="bottom"/>
          </w:tcPr>
          <w:p>
            <w:pPr>
              <w:ind w:left="60"/>
              <w:spacing w:after="0"/>
              <w:rPr>
                <w:sz w:val="20"/>
                <w:szCs w:val="20"/>
                <w:color w:val="auto"/>
              </w:rPr>
            </w:pPr>
            <w:r>
              <w:rPr>
                <w:rFonts w:ascii="Arial" w:cs="Arial" w:eastAsia="Arial" w:hAnsi="Arial"/>
                <w:sz w:val="16"/>
                <w:szCs w:val="16"/>
                <w:b w:val="1"/>
                <w:bCs w:val="1"/>
                <w:color w:val="0C3D25"/>
              </w:rPr>
              <w:t>Named Executive Officer</w:t>
            </w:r>
          </w:p>
        </w:tc>
        <w:tc>
          <w:tcPr>
            <w:tcW w:w="3660" w:type="dxa"/>
            <w:vAlign w:val="bottom"/>
          </w:tcPr>
          <w:p>
            <w:pPr>
              <w:jc w:val="right"/>
              <w:spacing w:after="0"/>
              <w:rPr>
                <w:sz w:val="20"/>
                <w:szCs w:val="20"/>
                <w:color w:val="auto"/>
              </w:rPr>
            </w:pPr>
            <w:r>
              <w:rPr>
                <w:rFonts w:ascii="Arial" w:cs="Arial" w:eastAsia="Arial" w:hAnsi="Arial"/>
                <w:sz w:val="16"/>
                <w:szCs w:val="16"/>
                <w:b w:val="1"/>
                <w:bCs w:val="1"/>
                <w:color w:val="0C3D25"/>
              </w:rPr>
              <w:t>of PSUs</w:t>
            </w:r>
          </w:p>
        </w:tc>
      </w:tr>
      <w:tr>
        <w:trPr>
          <w:trHeight w:val="42"/>
        </w:trPr>
        <w:tc>
          <w:tcPr>
            <w:tcW w:w="4800" w:type="dxa"/>
            <w:vAlign w:val="bottom"/>
            <w:tcBorders>
              <w:bottom w:val="single" w:sz="8" w:color="0C3D25"/>
            </w:tcBorders>
          </w:tcPr>
          <w:p>
            <w:pPr>
              <w:spacing w:after="0"/>
              <w:rPr>
                <w:sz w:val="3"/>
                <w:szCs w:val="3"/>
                <w:color w:val="auto"/>
              </w:rPr>
            </w:pPr>
          </w:p>
        </w:tc>
        <w:tc>
          <w:tcPr>
            <w:tcW w:w="3660" w:type="dxa"/>
            <w:vAlign w:val="bottom"/>
            <w:tcBorders>
              <w:bottom w:val="single" w:sz="8" w:color="0C3D25"/>
            </w:tcBorders>
          </w:tcPr>
          <w:p>
            <w:pPr>
              <w:spacing w:after="0"/>
              <w:rPr>
                <w:sz w:val="3"/>
                <w:szCs w:val="3"/>
                <w:color w:val="auto"/>
              </w:rPr>
            </w:pPr>
          </w:p>
        </w:tc>
      </w:tr>
      <w:tr>
        <w:trPr>
          <w:trHeight w:val="26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660" w:type="dxa"/>
            <w:vAlign w:val="bottom"/>
          </w:tcPr>
          <w:p>
            <w:pPr>
              <w:jc w:val="right"/>
              <w:spacing w:after="0"/>
              <w:rPr>
                <w:sz w:val="20"/>
                <w:szCs w:val="20"/>
                <w:color w:val="auto"/>
              </w:rPr>
            </w:pPr>
            <w:r>
              <w:rPr>
                <w:rFonts w:ascii="Arial" w:cs="Arial" w:eastAsia="Arial" w:hAnsi="Arial"/>
                <w:sz w:val="20"/>
                <w:szCs w:val="20"/>
                <w:color w:val="auto"/>
              </w:rPr>
              <w:t>43,636</w:t>
            </w:r>
          </w:p>
        </w:tc>
      </w:tr>
      <w:tr>
        <w:trPr>
          <w:trHeight w:val="27"/>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r>
        <w:trPr>
          <w:trHeight w:val="252"/>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Reed</w:t>
            </w:r>
          </w:p>
        </w:tc>
        <w:tc>
          <w:tcPr>
            <w:tcW w:w="3660" w:type="dxa"/>
            <w:vAlign w:val="bottom"/>
          </w:tcPr>
          <w:p>
            <w:pPr>
              <w:jc w:val="right"/>
              <w:spacing w:after="0"/>
              <w:rPr>
                <w:sz w:val="20"/>
                <w:szCs w:val="20"/>
                <w:color w:val="auto"/>
              </w:rPr>
            </w:pPr>
            <w:r>
              <w:rPr>
                <w:rFonts w:ascii="Arial" w:cs="Arial" w:eastAsia="Arial" w:hAnsi="Arial"/>
                <w:sz w:val="20"/>
                <w:szCs w:val="20"/>
                <w:color w:val="auto"/>
              </w:rPr>
              <w:t>1,090</w:t>
            </w:r>
          </w:p>
        </w:tc>
      </w:tr>
      <w:tr>
        <w:trPr>
          <w:trHeight w:val="27"/>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r>
        <w:trPr>
          <w:trHeight w:val="252"/>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660" w:type="dxa"/>
            <w:vAlign w:val="bottom"/>
          </w:tcPr>
          <w:p>
            <w:pPr>
              <w:jc w:val="right"/>
              <w:spacing w:after="0"/>
              <w:rPr>
                <w:sz w:val="20"/>
                <w:szCs w:val="20"/>
                <w:color w:val="auto"/>
              </w:rPr>
            </w:pPr>
            <w:r>
              <w:rPr>
                <w:rFonts w:ascii="Arial" w:cs="Arial" w:eastAsia="Arial" w:hAnsi="Arial"/>
                <w:sz w:val="20"/>
                <w:szCs w:val="20"/>
                <w:color w:val="auto"/>
              </w:rPr>
              <w:t>9,818</w:t>
            </w:r>
          </w:p>
        </w:tc>
      </w:tr>
      <w:tr>
        <w:trPr>
          <w:trHeight w:val="27"/>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r>
        <w:trPr>
          <w:trHeight w:val="252"/>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660" w:type="dxa"/>
            <w:vAlign w:val="bottom"/>
          </w:tcPr>
          <w:p>
            <w:pPr>
              <w:jc w:val="right"/>
              <w:spacing w:after="0"/>
              <w:rPr>
                <w:sz w:val="20"/>
                <w:szCs w:val="20"/>
                <w:color w:val="auto"/>
              </w:rPr>
            </w:pPr>
            <w:r>
              <w:rPr>
                <w:rFonts w:ascii="Arial" w:cs="Arial" w:eastAsia="Arial" w:hAnsi="Arial"/>
                <w:sz w:val="20"/>
                <w:szCs w:val="20"/>
                <w:color w:val="auto"/>
              </w:rPr>
              <w:t>11,272</w:t>
            </w:r>
          </w:p>
        </w:tc>
      </w:tr>
      <w:tr>
        <w:trPr>
          <w:trHeight w:val="27"/>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r>
        <w:trPr>
          <w:trHeight w:val="252"/>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660" w:type="dxa"/>
            <w:vAlign w:val="bottom"/>
          </w:tcPr>
          <w:p>
            <w:pPr>
              <w:jc w:val="right"/>
              <w:spacing w:after="0"/>
              <w:rPr>
                <w:sz w:val="20"/>
                <w:szCs w:val="20"/>
                <w:color w:val="auto"/>
              </w:rPr>
            </w:pPr>
            <w:r>
              <w:rPr>
                <w:rFonts w:ascii="Arial" w:cs="Arial" w:eastAsia="Arial" w:hAnsi="Arial"/>
                <w:sz w:val="20"/>
                <w:szCs w:val="20"/>
                <w:color w:val="auto"/>
              </w:rPr>
              <w:t>7,636</w:t>
            </w:r>
          </w:p>
        </w:tc>
      </w:tr>
      <w:tr>
        <w:trPr>
          <w:trHeight w:val="27"/>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r>
        <w:trPr>
          <w:trHeight w:val="252"/>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660" w:type="dxa"/>
            <w:vAlign w:val="bottom"/>
          </w:tcPr>
          <w:p>
            <w:pPr>
              <w:jc w:val="right"/>
              <w:spacing w:after="0"/>
              <w:rPr>
                <w:sz w:val="20"/>
                <w:szCs w:val="20"/>
                <w:color w:val="auto"/>
              </w:rPr>
            </w:pPr>
            <w:r>
              <w:rPr>
                <w:rFonts w:ascii="Arial" w:cs="Arial" w:eastAsia="Arial" w:hAnsi="Arial"/>
                <w:sz w:val="20"/>
                <w:szCs w:val="20"/>
                <w:color w:val="auto"/>
              </w:rPr>
              <w:t>7,636</w:t>
            </w:r>
          </w:p>
        </w:tc>
      </w:tr>
      <w:tr>
        <w:trPr>
          <w:trHeight w:val="32"/>
        </w:trPr>
        <w:tc>
          <w:tcPr>
            <w:tcW w:w="4800" w:type="dxa"/>
            <w:vAlign w:val="bottom"/>
            <w:tcBorders>
              <w:bottom w:val="single" w:sz="8" w:color="0C3D25"/>
            </w:tcBorders>
          </w:tcPr>
          <w:p>
            <w:pPr>
              <w:spacing w:after="0"/>
              <w:rPr>
                <w:sz w:val="2"/>
                <w:szCs w:val="2"/>
                <w:color w:val="auto"/>
              </w:rPr>
            </w:pPr>
          </w:p>
        </w:tc>
        <w:tc>
          <w:tcPr>
            <w:tcW w:w="3660" w:type="dxa"/>
            <w:vAlign w:val="bottom"/>
            <w:tcBorders>
              <w:bottom w:val="single" w:sz="8" w:color="0C3D25"/>
            </w:tcBorders>
          </w:tcPr>
          <w:p>
            <w:pPr>
              <w:spacing w:after="0"/>
              <w:rPr>
                <w:sz w:val="2"/>
                <w:szCs w:val="2"/>
                <w:color w:val="auto"/>
              </w:rPr>
            </w:pPr>
          </w:p>
        </w:tc>
      </w:tr>
    </w:tbl>
    <w:p>
      <w:pPr>
        <w:spacing w:after="0" w:line="82" w:lineRule="exact"/>
        <w:rPr>
          <w:sz w:val="20"/>
          <w:szCs w:val="20"/>
          <w:color w:val="auto"/>
        </w:rPr>
      </w:pPr>
    </w:p>
    <w:p>
      <w:pPr>
        <w:jc w:val="both"/>
        <w:ind w:left="2"/>
        <w:spacing w:after="0" w:line="282"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in recognition of goals to increase customer and business base while minimizing operating costs; and</w:t>
      </w:r>
    </w:p>
    <w:p>
      <w:pPr>
        <w:spacing w:after="0" w:line="2" w:lineRule="exact"/>
        <w:rPr>
          <w:sz w:val="20"/>
          <w:szCs w:val="20"/>
          <w:color w:val="auto"/>
        </w:rPr>
      </w:pPr>
    </w:p>
    <w:p>
      <w:pPr>
        <w:jc w:val="both"/>
        <w:ind w:left="2" w:hanging="2"/>
        <w:spacing w:after="0" w:line="266" w:lineRule="auto"/>
        <w:tabs>
          <w:tab w:leader="none" w:pos="252"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material impacts resulting from accounting rule or tax law changes that were not anticipated when the performance targets were established are disregarded. Additionally, the following adjustments will be made when the aggregate impact of the following items has a greater than 5% impact on goal attainment: (a) impacts from strategic acquisitions or divestitures of assets and business are excluded (impacts from normal course of business acquisition and divestitures are included); (b) impacts from discrete growth capital investment projects made to support the long-term organic growth of the business that were not planned for when the performance targets were established are excluded; and (c) material changes in the realization of earnings and cash flow contributions for growth capital investments caused by items outside of the Company’s control will be excluded (the “2025 Cash Flow PSU Definition”).</w:t>
      </w:r>
    </w:p>
    <w:p>
      <w:pPr>
        <w:spacing w:after="0" w:line="114" w:lineRule="exact"/>
        <w:rPr>
          <w:sz w:val="20"/>
          <w:szCs w:val="20"/>
          <w:color w:val="auto"/>
        </w:rPr>
      </w:pPr>
    </w:p>
    <w:p>
      <w:pPr>
        <w:jc w:val="both"/>
        <w:ind w:left="2"/>
        <w:spacing w:after="0" w:line="251" w:lineRule="auto"/>
        <w:rPr>
          <w:sz w:val="20"/>
          <w:szCs w:val="20"/>
          <w:color w:val="auto"/>
        </w:rPr>
      </w:pPr>
      <w:r>
        <w:rPr>
          <w:rFonts w:ascii="Arial" w:cs="Arial" w:eastAsia="Arial" w:hAnsi="Arial"/>
          <w:sz w:val="20"/>
          <w:szCs w:val="20"/>
          <w:color w:val="auto"/>
        </w:rPr>
        <w:t>The table below shows the required achievement of the cash flow generation performance measure and the corresponding potential payouts under our Cash Flow PSUs granted in 2025.</w:t>
      </w:r>
    </w:p>
    <w:p>
      <w:pPr>
        <w:spacing w:after="0" w:line="11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0C3D25"/>
              </w:rPr>
              <w:t>Threshold</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C3D25"/>
              </w:rPr>
              <w:t>Target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0C3D25"/>
              </w:rPr>
              <w:t>Maximum</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6"/>
        </w:trPr>
        <w:tc>
          <w:tcPr>
            <w:tcW w:w="25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40" w:type="dxa"/>
            <w:vAlign w:val="bottom"/>
            <w:tcBorders>
              <w:bottom w:val="single" w:sz="8" w:color="0C3D25"/>
            </w:tcBorders>
          </w:tcPr>
          <w:p>
            <w:pPr>
              <w:spacing w:after="0"/>
              <w:rPr>
                <w:sz w:val="3"/>
                <w:szCs w:val="3"/>
                <w:color w:val="auto"/>
              </w:rPr>
            </w:pPr>
          </w:p>
        </w:tc>
        <w:tc>
          <w:tcPr>
            <w:tcW w:w="500" w:type="dxa"/>
            <w:vAlign w:val="bottom"/>
            <w:tcBorders>
              <w:bottom w:val="single" w:sz="8" w:color="0C3D25"/>
            </w:tcBorders>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560" w:type="dxa"/>
            <w:vAlign w:val="bottom"/>
            <w:tcBorders>
              <w:bottom w:val="single" w:sz="8" w:color="0C3D25"/>
            </w:tcBorders>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Borders>
              <w:bottom w:val="single" w:sz="8" w:color="0C3D25"/>
            </w:tcBorders>
          </w:tcPr>
          <w:p>
            <w:pPr>
              <w:spacing w:after="0"/>
              <w:rPr>
                <w:sz w:val="3"/>
                <w:szCs w:val="3"/>
                <w:color w:val="auto"/>
              </w:rPr>
            </w:pPr>
          </w:p>
        </w:tc>
        <w:tc>
          <w:tcPr>
            <w:tcW w:w="540" w:type="dxa"/>
            <w:vAlign w:val="bottom"/>
            <w:tcBorders>
              <w:bottom w:val="single" w:sz="8" w:color="0C3D25"/>
            </w:tcBorders>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2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b w:val="1"/>
                <w:bCs w:val="1"/>
                <w:color w:val="0C3D25"/>
              </w:rPr>
              <w:t>Performance</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C3D25"/>
                <w:w w:val="89"/>
              </w:rPr>
              <w:t>Payout</w:t>
            </w:r>
          </w:p>
        </w:tc>
        <w:tc>
          <w:tcPr>
            <w:tcW w:w="1200" w:type="dxa"/>
            <w:vAlign w:val="bottom"/>
          </w:tcPr>
          <w:p>
            <w:pPr>
              <w:jc w:val="right"/>
              <w:ind w:right="74"/>
              <w:spacing w:after="0"/>
              <w:rPr>
                <w:sz w:val="20"/>
                <w:szCs w:val="20"/>
                <w:color w:val="auto"/>
              </w:rPr>
            </w:pPr>
            <w:r>
              <w:rPr>
                <w:rFonts w:ascii="Arial" w:cs="Arial" w:eastAsia="Arial" w:hAnsi="Arial"/>
                <w:sz w:val="16"/>
                <w:szCs w:val="16"/>
                <w:b w:val="1"/>
                <w:bCs w:val="1"/>
                <w:color w:val="0C3D25"/>
              </w:rPr>
              <w:t>Performance</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C3D25"/>
              </w:rPr>
              <w:t>Payout</w:t>
            </w:r>
          </w:p>
        </w:tc>
        <w:tc>
          <w:tcPr>
            <w:tcW w:w="1320" w:type="dxa"/>
            <w:vAlign w:val="bottom"/>
          </w:tcPr>
          <w:p>
            <w:pPr>
              <w:jc w:val="right"/>
              <w:ind w:right="94"/>
              <w:spacing w:after="0"/>
              <w:rPr>
                <w:sz w:val="20"/>
                <w:szCs w:val="20"/>
                <w:color w:val="auto"/>
              </w:rPr>
            </w:pPr>
            <w:r>
              <w:rPr>
                <w:rFonts w:ascii="Arial" w:cs="Arial" w:eastAsia="Arial" w:hAnsi="Arial"/>
                <w:sz w:val="16"/>
                <w:szCs w:val="16"/>
                <w:b w:val="1"/>
                <w:bCs w:val="1"/>
                <w:color w:val="0C3D25"/>
              </w:rPr>
              <w:t>Performance</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C3D25"/>
                <w:w w:val="97"/>
              </w:rPr>
              <w:t>Payout</w:t>
            </w:r>
          </w:p>
        </w:tc>
      </w:tr>
      <w:tr>
        <w:trPr>
          <w:trHeight w:val="42"/>
        </w:trPr>
        <w:tc>
          <w:tcPr>
            <w:tcW w:w="2560" w:type="dxa"/>
            <w:vAlign w:val="bottom"/>
            <w:tcBorders>
              <w:bottom w:val="single" w:sz="8" w:color="0C3D25"/>
            </w:tcBorders>
          </w:tcPr>
          <w:p>
            <w:pPr>
              <w:spacing w:after="0"/>
              <w:rPr>
                <w:sz w:val="3"/>
                <w:szCs w:val="3"/>
                <w:color w:val="auto"/>
              </w:rPr>
            </w:pPr>
          </w:p>
        </w:tc>
        <w:tc>
          <w:tcPr>
            <w:tcW w:w="2840" w:type="dxa"/>
            <w:vAlign w:val="bottom"/>
            <w:tcBorders>
              <w:bottom w:val="single" w:sz="8" w:color="0C3D25"/>
            </w:tcBorders>
            <w:gridSpan w:val="2"/>
          </w:tcPr>
          <w:p>
            <w:pPr>
              <w:spacing w:after="0"/>
              <w:rPr>
                <w:sz w:val="3"/>
                <w:szCs w:val="3"/>
                <w:color w:val="auto"/>
              </w:rPr>
            </w:pPr>
          </w:p>
        </w:tc>
        <w:tc>
          <w:tcPr>
            <w:tcW w:w="740" w:type="dxa"/>
            <w:vAlign w:val="bottom"/>
            <w:tcBorders>
              <w:bottom w:val="single" w:sz="8" w:color="0C3D25"/>
            </w:tcBorders>
            <w:gridSpan w:val="2"/>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00" w:type="dxa"/>
            <w:vAlign w:val="bottom"/>
            <w:tcBorders>
              <w:bottom w:val="single" w:sz="8" w:color="0C3D25"/>
            </w:tcBorders>
            <w:gridSpan w:val="2"/>
          </w:tcPr>
          <w:p>
            <w:pPr>
              <w:spacing w:after="0"/>
              <w:rPr>
                <w:sz w:val="3"/>
                <w:szCs w:val="3"/>
                <w:color w:val="auto"/>
              </w:rPr>
            </w:pPr>
          </w:p>
        </w:tc>
        <w:tc>
          <w:tcPr>
            <w:tcW w:w="1320" w:type="dxa"/>
            <w:vAlign w:val="bottom"/>
            <w:tcBorders>
              <w:bottom w:val="single" w:sz="8" w:color="0C3D25"/>
            </w:tcBorders>
          </w:tcPr>
          <w:p>
            <w:pPr>
              <w:spacing w:after="0"/>
              <w:rPr>
                <w:sz w:val="3"/>
                <w:szCs w:val="3"/>
                <w:color w:val="auto"/>
              </w:rPr>
            </w:pPr>
          </w:p>
        </w:tc>
        <w:tc>
          <w:tcPr>
            <w:tcW w:w="600" w:type="dxa"/>
            <w:vAlign w:val="bottom"/>
            <w:tcBorders>
              <w:bottom w:val="single" w:sz="8" w:color="0C3D25"/>
            </w:tcBorders>
            <w:gridSpan w:val="2"/>
          </w:tcPr>
          <w:p>
            <w:pPr>
              <w:spacing w:after="0"/>
              <w:rPr>
                <w:sz w:val="3"/>
                <w:szCs w:val="3"/>
                <w:color w:val="auto"/>
              </w:rPr>
            </w:pPr>
          </w:p>
        </w:tc>
      </w:tr>
      <w:tr>
        <w:trPr>
          <w:trHeight w:val="263"/>
        </w:trPr>
        <w:tc>
          <w:tcPr>
            <w:tcW w:w="2560" w:type="dxa"/>
            <w:vAlign w:val="bottom"/>
          </w:tcPr>
          <w:p>
            <w:pPr>
              <w:ind w:left="60"/>
              <w:spacing w:after="0"/>
              <w:rPr>
                <w:sz w:val="20"/>
                <w:szCs w:val="20"/>
                <w:color w:val="auto"/>
              </w:rPr>
            </w:pPr>
            <w:r>
              <w:rPr>
                <w:rFonts w:ascii="Arial" w:cs="Arial" w:eastAsia="Arial" w:hAnsi="Arial"/>
                <w:sz w:val="20"/>
                <w:szCs w:val="20"/>
                <w:b w:val="1"/>
                <w:bCs w:val="1"/>
                <w:color w:val="auto"/>
              </w:rPr>
              <w:t>Cash Flow</w:t>
            </w:r>
          </w:p>
        </w:tc>
        <w:tc>
          <w:tcPr>
            <w:tcW w:w="2840" w:type="dxa"/>
            <w:vAlign w:val="bottom"/>
            <w:gridSpan w:val="2"/>
          </w:tcPr>
          <w:p>
            <w:pPr>
              <w:jc w:val="right"/>
              <w:ind w:right="140"/>
              <w:spacing w:after="0"/>
              <w:rPr>
                <w:sz w:val="20"/>
                <w:szCs w:val="20"/>
                <w:color w:val="auto"/>
              </w:rPr>
            </w:pPr>
            <w:r>
              <w:rPr>
                <w:rFonts w:ascii="Arial" w:cs="Arial" w:eastAsia="Arial" w:hAnsi="Arial"/>
                <w:sz w:val="20"/>
                <w:szCs w:val="20"/>
                <w:color w:val="auto"/>
              </w:rPr>
              <w:t>$9.14 billion</w:t>
            </w:r>
          </w:p>
        </w:tc>
        <w:tc>
          <w:tcPr>
            <w:tcW w:w="740" w:type="dxa"/>
            <w:vAlign w:val="bottom"/>
            <w:gridSpan w:val="2"/>
          </w:tcPr>
          <w:p>
            <w:pPr>
              <w:jc w:val="right"/>
              <w:ind w:right="220"/>
              <w:spacing w:after="0"/>
              <w:rPr>
                <w:sz w:val="20"/>
                <w:szCs w:val="20"/>
                <w:color w:val="auto"/>
              </w:rPr>
            </w:pPr>
            <w:r>
              <w:rPr>
                <w:rFonts w:ascii="Arial" w:cs="Arial" w:eastAsia="Arial" w:hAnsi="Arial"/>
                <w:sz w:val="20"/>
                <w:szCs w:val="20"/>
                <w:color w:val="auto"/>
              </w:rPr>
              <w:t>50%</w:t>
            </w:r>
          </w:p>
        </w:tc>
        <w:tc>
          <w:tcPr>
            <w:tcW w:w="1200" w:type="dxa"/>
            <w:vAlign w:val="bottom"/>
          </w:tcPr>
          <w:p>
            <w:pPr>
              <w:jc w:val="right"/>
              <w:ind w:right="74"/>
              <w:spacing w:after="0"/>
              <w:rPr>
                <w:sz w:val="20"/>
                <w:szCs w:val="20"/>
                <w:color w:val="auto"/>
              </w:rPr>
            </w:pPr>
            <w:r>
              <w:rPr>
                <w:rFonts w:ascii="Arial" w:cs="Arial" w:eastAsia="Arial" w:hAnsi="Arial"/>
                <w:sz w:val="20"/>
                <w:szCs w:val="20"/>
                <w:color w:val="auto"/>
                <w:w w:val="95"/>
              </w:rPr>
              <w:t>$9.89 billion</w:t>
            </w: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auto"/>
              </w:rPr>
              <w:t>100%</w:t>
            </w:r>
          </w:p>
        </w:tc>
        <w:tc>
          <w:tcPr>
            <w:tcW w:w="1320" w:type="dxa"/>
            <w:vAlign w:val="bottom"/>
          </w:tcPr>
          <w:p>
            <w:pPr>
              <w:jc w:val="right"/>
              <w:ind w:right="94"/>
              <w:spacing w:after="0"/>
              <w:rPr>
                <w:sz w:val="20"/>
                <w:szCs w:val="20"/>
                <w:color w:val="auto"/>
              </w:rPr>
            </w:pPr>
            <w:r>
              <w:rPr>
                <w:rFonts w:ascii="Arial" w:cs="Arial" w:eastAsia="Arial" w:hAnsi="Arial"/>
                <w:sz w:val="20"/>
                <w:szCs w:val="20"/>
                <w:color w:val="auto"/>
                <w:w w:val="95"/>
              </w:rPr>
              <w:t>$10.64 billion</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200%</w:t>
            </w:r>
          </w:p>
        </w:tc>
      </w:tr>
      <w:tr>
        <w:trPr>
          <w:trHeight w:val="32"/>
        </w:trPr>
        <w:tc>
          <w:tcPr>
            <w:tcW w:w="2560" w:type="dxa"/>
            <w:vAlign w:val="bottom"/>
            <w:tcBorders>
              <w:bottom w:val="single" w:sz="8" w:color="0C3D25"/>
            </w:tcBorders>
          </w:tcPr>
          <w:p>
            <w:pPr>
              <w:spacing w:after="0"/>
              <w:rPr>
                <w:sz w:val="2"/>
                <w:szCs w:val="2"/>
                <w:color w:val="auto"/>
              </w:rPr>
            </w:pPr>
          </w:p>
        </w:tc>
        <w:tc>
          <w:tcPr>
            <w:tcW w:w="1600" w:type="dxa"/>
            <w:vAlign w:val="bottom"/>
            <w:tcBorders>
              <w:bottom w:val="single" w:sz="8" w:color="0C3D25"/>
            </w:tcBorders>
          </w:tcPr>
          <w:p>
            <w:pPr>
              <w:spacing w:after="0"/>
              <w:rPr>
                <w:sz w:val="2"/>
                <w:szCs w:val="2"/>
                <w:color w:val="auto"/>
              </w:rPr>
            </w:pPr>
          </w:p>
        </w:tc>
        <w:tc>
          <w:tcPr>
            <w:tcW w:w="1240" w:type="dxa"/>
            <w:vAlign w:val="bottom"/>
            <w:tcBorders>
              <w:bottom w:val="single" w:sz="8" w:color="0C3D25"/>
            </w:tcBorders>
          </w:tcPr>
          <w:p>
            <w:pPr>
              <w:spacing w:after="0"/>
              <w:rPr>
                <w:sz w:val="2"/>
                <w:szCs w:val="2"/>
                <w:color w:val="auto"/>
              </w:rPr>
            </w:pPr>
          </w:p>
        </w:tc>
        <w:tc>
          <w:tcPr>
            <w:tcW w:w="50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56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1320" w:type="dxa"/>
            <w:vAlign w:val="bottom"/>
            <w:tcBorders>
              <w:bottom w:val="single" w:sz="8" w:color="0C3D25"/>
            </w:tcBorders>
          </w:tcPr>
          <w:p>
            <w:pPr>
              <w:spacing w:after="0"/>
              <w:rPr>
                <w:sz w:val="2"/>
                <w:szCs w:val="2"/>
                <w:color w:val="auto"/>
              </w:rPr>
            </w:pPr>
          </w:p>
        </w:tc>
        <w:tc>
          <w:tcPr>
            <w:tcW w:w="54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bl>
    <w:p>
      <w:pPr>
        <w:spacing w:after="0" w:line="80" w:lineRule="exact"/>
        <w:rPr>
          <w:sz w:val="20"/>
          <w:szCs w:val="20"/>
          <w:color w:val="auto"/>
        </w:rPr>
      </w:pPr>
    </w:p>
    <w:p>
      <w:pPr>
        <w:jc w:val="both"/>
        <w:ind w:left="2"/>
        <w:spacing w:after="0" w:line="251" w:lineRule="auto"/>
        <w:rPr>
          <w:sz w:val="20"/>
          <w:szCs w:val="20"/>
          <w:color w:val="auto"/>
        </w:rPr>
      </w:pPr>
      <w:r>
        <w:rPr>
          <w:rFonts w:ascii="Arial" w:cs="Arial" w:eastAsia="Arial" w:hAnsi="Arial"/>
          <w:sz w:val="20"/>
          <w:szCs w:val="20"/>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2025.</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0C3D25"/>
        </w:rPr>
        <w:t>Total Shareholder Return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544830</wp:posOffset>
                </wp:positionH>
                <wp:positionV relativeFrom="paragraph">
                  <wp:posOffset>28575</wp:posOffset>
                </wp:positionV>
                <wp:extent cx="529653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6535" cy="4763"/>
                        </a:xfrm>
                        <a:prstGeom prst="line">
                          <a:avLst/>
                        </a:prstGeom>
                        <a:solidFill>
                          <a:srgbClr val="FFFFFF"/>
                        </a:solidFill>
                        <a:ln w="5041">
                          <a:solidFill>
                            <a:srgbClr val="0C3D25"/>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pt,2.25pt" to="459.95pt,2.25pt" o:allowincell="f" strokecolor="#0C3D25" strokeweight="0.3969pt"/>
            </w:pict>
          </mc:Fallback>
        </mc:AlternateContent>
      </w:r>
    </w:p>
    <w:p>
      <w:pPr>
        <w:spacing w:after="0" w:line="63"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6460" w:type="dxa"/>
            <w:vAlign w:val="bottom"/>
          </w:tcPr>
          <w:p>
            <w:pPr>
              <w:jc w:val="center"/>
              <w:ind w:left="1165"/>
              <w:spacing w:after="0"/>
              <w:rPr>
                <w:sz w:val="20"/>
                <w:szCs w:val="20"/>
                <w:color w:val="auto"/>
              </w:rPr>
            </w:pPr>
            <w:r>
              <w:rPr>
                <w:rFonts w:ascii="Arial" w:cs="Arial" w:eastAsia="Arial" w:hAnsi="Arial"/>
                <w:sz w:val="16"/>
                <w:szCs w:val="16"/>
                <w:b w:val="1"/>
                <w:bCs w:val="1"/>
                <w:color w:val="0C3D25"/>
                <w:w w:val="94"/>
              </w:rPr>
              <w:t>Performance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0C3D25"/>
              </w:rPr>
              <w:t>Payout</w:t>
            </w:r>
          </w:p>
        </w:tc>
      </w:tr>
      <w:tr>
        <w:trPr>
          <w:trHeight w:val="42"/>
        </w:trPr>
        <w:tc>
          <w:tcPr>
            <w:tcW w:w="6460" w:type="dxa"/>
            <w:vAlign w:val="bottom"/>
            <w:tcBorders>
              <w:bottom w:val="single" w:sz="8" w:color="0C3D25"/>
            </w:tcBorders>
          </w:tcPr>
          <w:p>
            <w:pPr>
              <w:spacing w:after="0"/>
              <w:rPr>
                <w:sz w:val="3"/>
                <w:szCs w:val="3"/>
                <w:color w:val="auto"/>
              </w:rPr>
            </w:pPr>
          </w:p>
        </w:tc>
        <w:tc>
          <w:tcPr>
            <w:tcW w:w="2000" w:type="dxa"/>
            <w:vAlign w:val="bottom"/>
            <w:tcBorders>
              <w:bottom w:val="single" w:sz="8" w:color="0C3D25"/>
            </w:tcBorders>
          </w:tcPr>
          <w:p>
            <w:pPr>
              <w:spacing w:after="0"/>
              <w:rPr>
                <w:sz w:val="3"/>
                <w:szCs w:val="3"/>
                <w:color w:val="auto"/>
              </w:rPr>
            </w:pPr>
          </w:p>
        </w:tc>
      </w:tr>
      <w:tr>
        <w:trPr>
          <w:trHeight w:val="290"/>
        </w:trPr>
        <w:tc>
          <w:tcPr>
            <w:tcW w:w="6460" w:type="dxa"/>
            <w:vAlign w:val="bottom"/>
            <w:tcBorders>
              <w:bottom w:val="single" w:sz="8" w:color="0C3D25"/>
            </w:tcBorders>
          </w:tcPr>
          <w:p>
            <w:pPr>
              <w:jc w:val="center"/>
              <w:ind w:left="1165"/>
              <w:spacing w:after="0"/>
              <w:rPr>
                <w:sz w:val="20"/>
                <w:szCs w:val="20"/>
                <w:color w:val="auto"/>
              </w:rPr>
            </w:pPr>
            <w:r>
              <w:rPr>
                <w:rFonts w:ascii="Arial" w:cs="Arial" w:eastAsia="Arial" w:hAnsi="Arial"/>
                <w:sz w:val="20"/>
                <w:szCs w:val="20"/>
                <w:color w:val="auto"/>
                <w:w w:val="95"/>
              </w:rPr>
              <w:t>75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(Maximum)</w:t>
            </w:r>
          </w:p>
        </w:tc>
        <w:tc>
          <w:tcPr>
            <w:tcW w:w="20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200%</w:t>
            </w:r>
          </w:p>
        </w:tc>
      </w:tr>
      <w:tr>
        <w:trPr>
          <w:trHeight w:val="279"/>
        </w:trPr>
        <w:tc>
          <w:tcPr>
            <w:tcW w:w="6460" w:type="dxa"/>
            <w:vAlign w:val="bottom"/>
            <w:tcBorders>
              <w:bottom w:val="single" w:sz="8" w:color="0C3D25"/>
            </w:tcBorders>
          </w:tcPr>
          <w:p>
            <w:pPr>
              <w:jc w:val="center"/>
              <w:ind w:left="1165"/>
              <w:spacing w:after="0" w:line="280" w:lineRule="exact"/>
              <w:rPr>
                <w:sz w:val="20"/>
                <w:szCs w:val="20"/>
                <w:color w:val="auto"/>
              </w:rPr>
            </w:pPr>
            <w:r>
              <w:rPr>
                <w:rFonts w:ascii="Arial" w:cs="Arial" w:eastAsia="Arial" w:hAnsi="Arial"/>
                <w:sz w:val="20"/>
                <w:szCs w:val="20"/>
                <w:color w:val="auto"/>
                <w:w w:val="95"/>
              </w:rPr>
              <w:t>50</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(Target)</w:t>
            </w:r>
          </w:p>
        </w:tc>
        <w:tc>
          <w:tcPr>
            <w:tcW w:w="20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100%</w:t>
            </w:r>
          </w:p>
        </w:tc>
      </w:tr>
      <w:tr>
        <w:trPr>
          <w:trHeight w:val="284"/>
        </w:trPr>
        <w:tc>
          <w:tcPr>
            <w:tcW w:w="6460" w:type="dxa"/>
            <w:vAlign w:val="bottom"/>
            <w:tcBorders>
              <w:bottom w:val="single" w:sz="8" w:color="0C3D25"/>
            </w:tcBorders>
          </w:tcPr>
          <w:p>
            <w:pPr>
              <w:jc w:val="center"/>
              <w:ind w:left="1185"/>
              <w:spacing w:after="0" w:line="284" w:lineRule="exact"/>
              <w:rPr>
                <w:sz w:val="20"/>
                <w:szCs w:val="20"/>
                <w:color w:val="auto"/>
              </w:rPr>
            </w:pPr>
            <w:r>
              <w:rPr>
                <w:rFonts w:ascii="Arial" w:cs="Arial" w:eastAsia="Arial" w:hAnsi="Arial"/>
                <w:sz w:val="20"/>
                <w:szCs w:val="20"/>
                <w:color w:val="auto"/>
                <w:w w:val="95"/>
              </w:rPr>
              <w:t>25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(Threshold)</w:t>
            </w:r>
          </w:p>
        </w:tc>
        <w:tc>
          <w:tcPr>
            <w:tcW w:w="20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50%</w:t>
            </w:r>
          </w:p>
        </w:tc>
      </w:tr>
    </w:tbl>
    <w:p>
      <w:pPr>
        <w:spacing w:after="0" w:line="80" w:lineRule="exact"/>
        <w:rPr>
          <w:sz w:val="20"/>
          <w:szCs w:val="20"/>
          <w:color w:val="auto"/>
        </w:rPr>
      </w:pPr>
    </w:p>
    <w:p>
      <w:pPr>
        <w:jc w:val="both"/>
        <w:ind w:left="2"/>
        <w:spacing w:after="0" w:line="266" w:lineRule="auto"/>
        <w:rPr>
          <w:sz w:val="20"/>
          <w:szCs w:val="20"/>
          <w:color w:val="auto"/>
        </w:rPr>
      </w:pPr>
      <w:r>
        <w:rPr>
          <w:rFonts w:ascii="Arial" w:cs="Arial" w:eastAsia="Arial" w:hAnsi="Arial"/>
          <w:sz w:val="19"/>
          <w:szCs w:val="19"/>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2025 and beyond, including macroeconomic and market conditions and economic indicators for future periods, to align the cash flow targets with the Company’s long-range strategic plan. The 2025 cash flow targets were also reflective of on-going capital spending commitments to expand and accelerate our sustainability growth strategy that includes significant investments in our renewable energy and recycling processing and sales businesses.</w:t>
      </w:r>
    </w:p>
    <w:p>
      <w:pPr>
        <w:spacing w:after="0" w:line="200" w:lineRule="exact"/>
        <w:rPr>
          <w:sz w:val="20"/>
          <w:szCs w:val="20"/>
          <w:color w:val="auto"/>
        </w:rPr>
      </w:pPr>
    </w:p>
    <w:p>
      <w:pPr>
        <w:spacing w:after="0" w:line="211"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2" w:name="page53"/>
    <w:bookmarkEnd w:id="52"/>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ind w:left="2"/>
        <w:spacing w:after="0" w:line="281"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2025.</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the PSUs granted in 2023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ended December 31, 2025 were TSR PSUs, and the remaining half of the PSUs granted in 2023 were Cash Flow PSUs. With respect to the TSR PSUs with a three-year performance period ended December 31, 2025, the performance of the Company’s Common Stock on this measure translated into a percentile rank relative to the S&amp;P 500 of 55.26%, resulting in a 121.03% payout in shares of Common Stock that were issued in the first quarter of 2026.</w:t>
      </w:r>
    </w:p>
    <w:p>
      <w:pPr>
        <w:spacing w:after="0" w:line="95" w:lineRule="exact"/>
        <w:rPr>
          <w:sz w:val="20"/>
          <w:szCs w:val="20"/>
          <w:color w:val="auto"/>
        </w:rPr>
      </w:pPr>
    </w:p>
    <w:p>
      <w:pPr>
        <w:jc w:val="both"/>
        <w:ind w:left="2"/>
        <w:spacing w:after="0" w:line="275" w:lineRule="auto"/>
        <w:rPr>
          <w:sz w:val="20"/>
          <w:szCs w:val="20"/>
          <w:color w:val="auto"/>
        </w:rPr>
      </w:pPr>
      <w:r>
        <w:rPr>
          <w:rFonts w:ascii="Arial" w:cs="Arial" w:eastAsia="Arial" w:hAnsi="Arial"/>
          <w:sz w:val="18"/>
          <w:szCs w:val="18"/>
          <w:color w:val="auto"/>
        </w:rPr>
        <w:t>For purposes of the Cash Flow PSUs with a three-year performance period ended December 31, 2025, the Company generated net cash flow from operating activities, less capital expenditures, of $7.377 billion, exceeding the target criteria of $7.300 billion; this performance level yielded a 110.93% payout in shares of Common Stock that were issued in the first quarter of 2026. This performance was calculated in accordance with the following definition of cash flow generation set forth in the award agreement for the Cash Flow PSUs granted in 2023 (the “2023 Cash Flow PSU Definition”):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(d) cash proceeds from divestitures of any other businesses and assets are included; and</w:t>
      </w:r>
    </w:p>
    <w:p>
      <w:pPr>
        <w:spacing w:after="0" w:line="3" w:lineRule="exact"/>
        <w:rPr>
          <w:sz w:val="20"/>
          <w:szCs w:val="20"/>
          <w:color w:val="auto"/>
        </w:rPr>
      </w:pPr>
    </w:p>
    <w:p>
      <w:pPr>
        <w:ind w:left="2" w:hanging="2"/>
        <w:spacing w:after="0" w:line="247" w:lineRule="auto"/>
        <w:tabs>
          <w:tab w:leader="none" w:pos="258"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material impacts resulting from accounting rule or tax law changes that were not anticipated when the performance targets were established are disregarded.</w:t>
      </w:r>
    </w:p>
    <w:p>
      <w:pPr>
        <w:spacing w:after="0" w:line="123" w:lineRule="exact"/>
        <w:rPr>
          <w:sz w:val="20"/>
          <w:szCs w:val="20"/>
          <w:color w:val="auto"/>
        </w:rPr>
      </w:pPr>
    </w:p>
    <w:p>
      <w:pPr>
        <w:jc w:val="both"/>
        <w:ind w:left="2"/>
        <w:spacing w:after="0" w:line="263" w:lineRule="auto"/>
        <w:rPr>
          <w:sz w:val="20"/>
          <w:szCs w:val="20"/>
          <w:color w:val="auto"/>
        </w:rPr>
      </w:pPr>
      <w:r>
        <w:rPr>
          <w:rFonts w:ascii="Arial" w:cs="Arial" w:eastAsia="Arial" w:hAnsi="Arial"/>
          <w:sz w:val="19"/>
          <w:szCs w:val="19"/>
          <w:color w:val="auto"/>
        </w:rPr>
        <w:t>Additionally, in line with the MD&amp;C Committee’s policy on calculation adjustments discussed above, the MD&amp;C Committee approved certain adjustments to the measurement of performance on the cash flow measure that are aligned with the MD&amp;C Committee’s philosophy and goal for providing consistency in approach to appropriately address the impact of one-time and special events to eliminate disproportionate or counterproductive results. The nature of such adjustments has now been incorporated in the 2025 Cash Flow PSU Definition discussed above, such that, with respect to the Cash Flow PSUs granted in 2025, discretionary consideration of similar adjustments will not be necessary. These adjustments exclude (i) the impact of $415 million of capital expenditures allocated to strategic investments in our renewable energy and recycling processing and sales businesses that were not contemplated at the time the performance measure was established and (ii) the benefit from associated investment tax credits. The incremental cash flow generation from these strategic investments that were not contemplated at the time the performance measure was established did not materially impact the calculated results for executive compensation performance measures in 2025. Additionally, in accordance with the 2023 Cash Flow PSU Definition discussed above, the calculation of performance excludes the following additional items that also were not contemplated at the time the performance measure was established: contributions from the acquired Stericycle business; transaction and integration costs related to the Stericycle acquisition; and benefits from bonus depreciation legislation. See Appendix B for additional information about the calculation of these results</w:t>
      </w:r>
    </w:p>
    <w:p>
      <w:pPr>
        <w:spacing w:after="0" w:line="120" w:lineRule="exact"/>
        <w:rPr>
          <w:sz w:val="20"/>
          <w:szCs w:val="20"/>
          <w:color w:val="auto"/>
        </w:rPr>
      </w:pPr>
    </w:p>
    <w:p>
      <w:pPr>
        <w:jc w:val="both"/>
        <w:ind w:left="2"/>
        <w:spacing w:after="0" w:line="282"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 growth element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strategy. The grant of options made to the named executive officers in the first quarter of 2025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69"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0C3D25"/>
              </w:rPr>
              <w:t>Number</w:t>
            </w:r>
          </w:p>
        </w:tc>
      </w:tr>
      <w:tr>
        <w:trPr>
          <w:trHeight w:val="184"/>
        </w:trPr>
        <w:tc>
          <w:tcPr>
            <w:tcW w:w="4740" w:type="dxa"/>
            <w:vAlign w:val="bottom"/>
          </w:tcPr>
          <w:p>
            <w:pPr>
              <w:ind w:left="60"/>
              <w:spacing w:after="0"/>
              <w:rPr>
                <w:sz w:val="20"/>
                <w:szCs w:val="20"/>
                <w:color w:val="auto"/>
              </w:rPr>
            </w:pPr>
            <w:r>
              <w:rPr>
                <w:rFonts w:ascii="Arial" w:cs="Arial" w:eastAsia="Arial" w:hAnsi="Arial"/>
                <w:sz w:val="16"/>
                <w:szCs w:val="16"/>
                <w:b w:val="1"/>
                <w:bCs w:val="1"/>
                <w:color w:val="0C3D25"/>
              </w:rPr>
              <w:t>Named Executive Officer</w:t>
            </w:r>
          </w:p>
        </w:tc>
        <w:tc>
          <w:tcPr>
            <w:tcW w:w="3720" w:type="dxa"/>
            <w:vAlign w:val="bottom"/>
          </w:tcPr>
          <w:p>
            <w:pPr>
              <w:jc w:val="right"/>
              <w:spacing w:after="0"/>
              <w:rPr>
                <w:sz w:val="20"/>
                <w:szCs w:val="20"/>
                <w:color w:val="auto"/>
              </w:rPr>
            </w:pPr>
            <w:r>
              <w:rPr>
                <w:rFonts w:ascii="Arial" w:cs="Arial" w:eastAsia="Arial" w:hAnsi="Arial"/>
                <w:sz w:val="16"/>
                <w:szCs w:val="16"/>
                <w:b w:val="1"/>
                <w:bCs w:val="1"/>
                <w:color w:val="0C3D25"/>
              </w:rPr>
              <w:t>of Options</w:t>
            </w:r>
          </w:p>
        </w:tc>
      </w:tr>
      <w:tr>
        <w:trPr>
          <w:trHeight w:val="42"/>
        </w:trPr>
        <w:tc>
          <w:tcPr>
            <w:tcW w:w="4740" w:type="dxa"/>
            <w:vAlign w:val="bottom"/>
            <w:tcBorders>
              <w:bottom w:val="single" w:sz="8" w:color="0C3D25"/>
            </w:tcBorders>
          </w:tcPr>
          <w:p>
            <w:pPr>
              <w:spacing w:after="0"/>
              <w:rPr>
                <w:sz w:val="3"/>
                <w:szCs w:val="3"/>
                <w:color w:val="auto"/>
              </w:rPr>
            </w:pPr>
          </w:p>
        </w:tc>
        <w:tc>
          <w:tcPr>
            <w:tcW w:w="3720" w:type="dxa"/>
            <w:vAlign w:val="bottom"/>
            <w:tcBorders>
              <w:bottom w:val="single" w:sz="8" w:color="0C3D25"/>
            </w:tcBorders>
          </w:tcPr>
          <w:p>
            <w:pPr>
              <w:spacing w:after="0"/>
              <w:rPr>
                <w:sz w:val="3"/>
                <w:szCs w:val="3"/>
                <w:color w:val="auto"/>
              </w:rPr>
            </w:pPr>
          </w:p>
        </w:tc>
      </w:tr>
      <w:tr>
        <w:trPr>
          <w:trHeight w:val="26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20" w:type="dxa"/>
            <w:vAlign w:val="bottom"/>
          </w:tcPr>
          <w:p>
            <w:pPr>
              <w:jc w:val="right"/>
              <w:ind w:right="45"/>
              <w:spacing w:after="0"/>
              <w:rPr>
                <w:sz w:val="20"/>
                <w:szCs w:val="20"/>
                <w:color w:val="auto"/>
              </w:rPr>
            </w:pPr>
            <w:r>
              <w:rPr>
                <w:rFonts w:ascii="Arial" w:cs="Arial" w:eastAsia="Arial" w:hAnsi="Arial"/>
                <w:sz w:val="20"/>
                <w:szCs w:val="20"/>
                <w:color w:val="auto"/>
              </w:rPr>
              <w:t>50,580</w:t>
            </w:r>
          </w:p>
        </w:tc>
      </w:tr>
      <w:tr>
        <w:trPr>
          <w:trHeight w:val="27"/>
        </w:trPr>
        <w:tc>
          <w:tcPr>
            <w:tcW w:w="4740" w:type="dxa"/>
            <w:vAlign w:val="bottom"/>
            <w:tcBorders>
              <w:bottom w:val="single" w:sz="8" w:color="0C3D25"/>
            </w:tcBorders>
          </w:tcPr>
          <w:p>
            <w:pPr>
              <w:spacing w:after="0"/>
              <w:rPr>
                <w:sz w:val="2"/>
                <w:szCs w:val="2"/>
                <w:color w:val="auto"/>
              </w:rPr>
            </w:pPr>
          </w:p>
        </w:tc>
        <w:tc>
          <w:tcPr>
            <w:tcW w:w="3720" w:type="dxa"/>
            <w:vAlign w:val="bottom"/>
            <w:tcBorders>
              <w:bottom w:val="single" w:sz="8" w:color="0C3D25"/>
            </w:tcBorders>
          </w:tcPr>
          <w:p>
            <w:pPr>
              <w:spacing w:after="0"/>
              <w:rPr>
                <w:sz w:val="2"/>
                <w:szCs w:val="2"/>
                <w:color w:val="auto"/>
              </w:rPr>
            </w:pPr>
          </w:p>
        </w:tc>
      </w:tr>
      <w:tr>
        <w:trPr>
          <w:trHeight w:val="279"/>
        </w:trPr>
        <w:tc>
          <w:tcPr>
            <w:tcW w:w="4740" w:type="dxa"/>
            <w:vAlign w:val="bottom"/>
            <w:tcBorders>
              <w:bottom w:val="single" w:sz="8" w:color="0C3D25"/>
            </w:tcBorders>
          </w:tcPr>
          <w:p>
            <w:pPr>
              <w:ind w:left="60"/>
              <w:spacing w:after="0" w:line="280" w:lineRule="exact"/>
              <w:rPr>
                <w:sz w:val="20"/>
                <w:szCs w:val="20"/>
                <w:color w:val="auto"/>
              </w:rPr>
            </w:pPr>
            <w:r>
              <w:rPr>
                <w:rFonts w:ascii="Arial" w:cs="Arial" w:eastAsia="Arial" w:hAnsi="Arial"/>
                <w:sz w:val="20"/>
                <w:szCs w:val="20"/>
                <w:b w:val="1"/>
                <w:bCs w:val="1"/>
                <w:color w:val="auto"/>
              </w:rPr>
              <w:t>Mr. Reed</w:t>
            </w:r>
            <w:r>
              <w:rPr>
                <w:rFonts w:ascii="Arial" w:cs="Arial" w:eastAsia="Arial" w:hAnsi="Arial"/>
                <w:sz w:val="25"/>
                <w:szCs w:val="25"/>
                <w:color w:val="auto"/>
                <w:vertAlign w:val="superscript"/>
              </w:rPr>
              <w:t>(1)</w:t>
            </w:r>
          </w:p>
        </w:tc>
        <w:tc>
          <w:tcPr>
            <w:tcW w:w="3720" w:type="dxa"/>
            <w:vAlign w:val="bottom"/>
            <w:tcBorders>
              <w:bottom w:val="single" w:sz="8" w:color="0C3D25"/>
            </w:tcBorders>
          </w:tcPr>
          <w:p>
            <w:pPr>
              <w:jc w:val="right"/>
              <w:ind w:right="45"/>
              <w:spacing w:after="0"/>
              <w:rPr>
                <w:sz w:val="20"/>
                <w:szCs w:val="20"/>
                <w:color w:val="auto"/>
              </w:rPr>
            </w:pPr>
            <w:r>
              <w:rPr>
                <w:rFonts w:ascii="Arial" w:cs="Arial" w:eastAsia="Arial" w:hAnsi="Arial"/>
                <w:sz w:val="20"/>
                <w:szCs w:val="20"/>
                <w:color w:val="auto"/>
              </w:rPr>
              <w:t>—</w:t>
            </w: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20" w:type="dxa"/>
            <w:vAlign w:val="bottom"/>
          </w:tcPr>
          <w:p>
            <w:pPr>
              <w:jc w:val="right"/>
              <w:ind w:right="45"/>
              <w:spacing w:after="0"/>
              <w:rPr>
                <w:sz w:val="20"/>
                <w:szCs w:val="20"/>
                <w:color w:val="auto"/>
              </w:rPr>
            </w:pPr>
            <w:r>
              <w:rPr>
                <w:rFonts w:ascii="Arial" w:cs="Arial" w:eastAsia="Arial" w:hAnsi="Arial"/>
                <w:sz w:val="20"/>
                <w:szCs w:val="20"/>
                <w:color w:val="auto"/>
              </w:rPr>
              <w:t>11,380</w:t>
            </w:r>
          </w:p>
        </w:tc>
      </w:tr>
      <w:tr>
        <w:trPr>
          <w:trHeight w:val="27"/>
        </w:trPr>
        <w:tc>
          <w:tcPr>
            <w:tcW w:w="4740" w:type="dxa"/>
            <w:vAlign w:val="bottom"/>
            <w:tcBorders>
              <w:bottom w:val="single" w:sz="8" w:color="0C3D25"/>
            </w:tcBorders>
          </w:tcPr>
          <w:p>
            <w:pPr>
              <w:spacing w:after="0"/>
              <w:rPr>
                <w:sz w:val="2"/>
                <w:szCs w:val="2"/>
                <w:color w:val="auto"/>
              </w:rPr>
            </w:pPr>
          </w:p>
        </w:tc>
        <w:tc>
          <w:tcPr>
            <w:tcW w:w="3720" w:type="dxa"/>
            <w:vAlign w:val="bottom"/>
            <w:tcBorders>
              <w:bottom w:val="single" w:sz="8" w:color="0C3D25"/>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20" w:type="dxa"/>
            <w:vAlign w:val="bottom"/>
          </w:tcPr>
          <w:p>
            <w:pPr>
              <w:jc w:val="right"/>
              <w:ind w:right="45"/>
              <w:spacing w:after="0"/>
              <w:rPr>
                <w:sz w:val="20"/>
                <w:szCs w:val="20"/>
                <w:color w:val="auto"/>
              </w:rPr>
            </w:pPr>
            <w:r>
              <w:rPr>
                <w:rFonts w:ascii="Arial" w:cs="Arial" w:eastAsia="Arial" w:hAnsi="Arial"/>
                <w:sz w:val="20"/>
                <w:szCs w:val="20"/>
                <w:color w:val="auto"/>
              </w:rPr>
              <w:t>13,066</w:t>
            </w:r>
          </w:p>
        </w:tc>
      </w:tr>
      <w:tr>
        <w:trPr>
          <w:trHeight w:val="27"/>
        </w:trPr>
        <w:tc>
          <w:tcPr>
            <w:tcW w:w="4740" w:type="dxa"/>
            <w:vAlign w:val="bottom"/>
            <w:tcBorders>
              <w:bottom w:val="single" w:sz="8" w:color="0C3D25"/>
            </w:tcBorders>
          </w:tcPr>
          <w:p>
            <w:pPr>
              <w:spacing w:after="0"/>
              <w:rPr>
                <w:sz w:val="2"/>
                <w:szCs w:val="2"/>
                <w:color w:val="auto"/>
              </w:rPr>
            </w:pPr>
          </w:p>
        </w:tc>
        <w:tc>
          <w:tcPr>
            <w:tcW w:w="3720" w:type="dxa"/>
            <w:vAlign w:val="bottom"/>
            <w:tcBorders>
              <w:bottom w:val="single" w:sz="8" w:color="0C3D25"/>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20" w:type="dxa"/>
            <w:vAlign w:val="bottom"/>
          </w:tcPr>
          <w:p>
            <w:pPr>
              <w:jc w:val="right"/>
              <w:ind w:right="45"/>
              <w:spacing w:after="0"/>
              <w:rPr>
                <w:sz w:val="20"/>
                <w:szCs w:val="20"/>
                <w:color w:val="auto"/>
              </w:rPr>
            </w:pPr>
            <w:r>
              <w:rPr>
                <w:rFonts w:ascii="Arial" w:cs="Arial" w:eastAsia="Arial" w:hAnsi="Arial"/>
                <w:sz w:val="20"/>
                <w:szCs w:val="20"/>
                <w:color w:val="auto"/>
              </w:rPr>
              <w:t>8,851</w:t>
            </w:r>
          </w:p>
        </w:tc>
      </w:tr>
      <w:tr>
        <w:trPr>
          <w:trHeight w:val="27"/>
        </w:trPr>
        <w:tc>
          <w:tcPr>
            <w:tcW w:w="4740" w:type="dxa"/>
            <w:vAlign w:val="bottom"/>
            <w:tcBorders>
              <w:bottom w:val="single" w:sz="8" w:color="0C3D25"/>
            </w:tcBorders>
          </w:tcPr>
          <w:p>
            <w:pPr>
              <w:spacing w:after="0"/>
              <w:rPr>
                <w:sz w:val="2"/>
                <w:szCs w:val="2"/>
                <w:color w:val="auto"/>
              </w:rPr>
            </w:pPr>
          </w:p>
        </w:tc>
        <w:tc>
          <w:tcPr>
            <w:tcW w:w="3720" w:type="dxa"/>
            <w:vAlign w:val="bottom"/>
            <w:tcBorders>
              <w:bottom w:val="single" w:sz="8" w:color="0C3D25"/>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20" w:type="dxa"/>
            <w:vAlign w:val="bottom"/>
          </w:tcPr>
          <w:p>
            <w:pPr>
              <w:jc w:val="right"/>
              <w:ind w:right="45"/>
              <w:spacing w:after="0"/>
              <w:rPr>
                <w:sz w:val="20"/>
                <w:szCs w:val="20"/>
                <w:color w:val="auto"/>
              </w:rPr>
            </w:pPr>
            <w:r>
              <w:rPr>
                <w:rFonts w:ascii="Arial" w:cs="Arial" w:eastAsia="Arial" w:hAnsi="Arial"/>
                <w:sz w:val="20"/>
                <w:szCs w:val="20"/>
                <w:color w:val="auto"/>
              </w:rPr>
              <w:t>8,851</w:t>
            </w:r>
          </w:p>
        </w:tc>
      </w:tr>
      <w:tr>
        <w:trPr>
          <w:trHeight w:val="32"/>
        </w:trPr>
        <w:tc>
          <w:tcPr>
            <w:tcW w:w="4740" w:type="dxa"/>
            <w:vAlign w:val="bottom"/>
            <w:tcBorders>
              <w:bottom w:val="single" w:sz="8" w:color="0C3D25"/>
            </w:tcBorders>
          </w:tcPr>
          <w:p>
            <w:pPr>
              <w:spacing w:after="0"/>
              <w:rPr>
                <w:sz w:val="2"/>
                <w:szCs w:val="2"/>
                <w:color w:val="auto"/>
              </w:rPr>
            </w:pPr>
          </w:p>
        </w:tc>
        <w:tc>
          <w:tcPr>
            <w:tcW w:w="372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jc w:val="both"/>
        <w:ind w:left="1202" w:hanging="404"/>
        <w:spacing w:after="0" w:line="249" w:lineRule="auto"/>
        <w:tabs>
          <w:tab w:leader="none" w:pos="12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Mr. Reed did not receive stock options, as annual long-term equity incentive awards were granted prior to his promotion to the senior leadership team. In 2025, only members of the senior leadership team received stock options as a component of annual long-term equity incentive awards.</w:t>
      </w:r>
    </w:p>
    <w:p>
      <w:pPr>
        <w:spacing w:after="0" w:line="200" w:lineRule="exact"/>
        <w:rPr>
          <w:sz w:val="20"/>
          <w:szCs w:val="20"/>
          <w:color w:val="auto"/>
        </w:rPr>
      </w:pPr>
    </w:p>
    <w:p>
      <w:pPr>
        <w:spacing w:after="0" w:line="221"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3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stock options granted in 2025 vest ratably in three annual increments, beginning on the first anniversary of the date of grant. The exercise price of the options granted in 2025 is $231.195,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u w:val="single" w:color="auto"/>
          <w:color w:val="auto"/>
        </w:rPr>
        <w:t>Restricted Stock Units.</w:t>
      </w:r>
      <w:r>
        <w:rPr>
          <w:rFonts w:ascii="Arial" w:cs="Arial" w:eastAsia="Arial" w:hAnsi="Arial"/>
          <w:sz w:val="19"/>
          <w:szCs w:val="19"/>
          <w:i w:val="1"/>
          <w:iCs w:val="1"/>
          <w:color w:val="auto"/>
        </w:rPr>
        <w:t xml:space="preserve"> </w:t>
      </w:r>
      <w:r>
        <w:rPr>
          <w:rFonts w:ascii="Arial" w:cs="Arial" w:eastAsia="Arial" w:hAnsi="Arial"/>
          <w:sz w:val="19"/>
          <w:szCs w:val="19"/>
          <w:color w:val="auto"/>
        </w:rPr>
        <w:t>As discussed above under “Executive Compensation Decisions in Connection with Leadership</w:t>
      </w:r>
      <w:r>
        <w:rPr>
          <w:rFonts w:ascii="Arial" w:cs="Arial" w:eastAsia="Arial" w:hAnsi="Arial"/>
          <w:sz w:val="19"/>
          <w:szCs w:val="19"/>
          <w:i w:val="1"/>
          <w:iCs w:val="1"/>
          <w:color w:val="auto"/>
        </w:rPr>
        <w:t xml:space="preserve"> </w:t>
      </w:r>
      <w:r>
        <w:rPr>
          <w:rFonts w:ascii="Arial" w:cs="Arial" w:eastAsia="Arial" w:hAnsi="Arial"/>
          <w:sz w:val="19"/>
          <w:szCs w:val="19"/>
          <w:color w:val="auto"/>
        </w:rPr>
        <w:t>Transitions,” Mr. Morris, Mr. Reed and Ms. Hemmer received grants of RSUs in 2025, and they are the only named executives with unvested RSUs as of December 31, 2025. Dividends on the RSUs will accrue and be paid in cash upon vesting. RSUs granted in 2025 vest ratably in three annual increments, beginning on the first anniversary of the date of grant, with the exception of RSUs granted to Ms. Hemmer, of which 50% vest on the second anniversary of the date of grant and 50% vest on the third anniversary of date of grant.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 RSUs are not a routine component of annual equity compensation awards for the named executives. The MD&amp;C Committee has historically made grants of RSUs to named executives in cases such as a significant promotion, increased responsibilities, special recognition and to attract new hires.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Mr. Reed had RSUs vest in 2025 that were granted prior to his promotion to the senior leadership team. Additionally, each of Ms. Rankin, Mr. Morris, Ms. Hemmer and Mr. Carrasco had RSUs vest that were granted in 2022 in connection with achievement of targeted synergies from the Company’s 2020 acquisition of Advanced Disposal. RSUs discussed in this paragraph vested in full on the third anniversary of the date of grant. Dividends on the RSUs accrued and were paid in cash upon vesting.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Post-Employment and Change in Control Compensation; Clawback Policies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u w:val="single" w:color="auto"/>
          <w:color w:val="auto"/>
        </w:rPr>
        <w:t>Severance Protection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In December 2017, we adopted an Executive Severance Protection Plan (the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plan-based approach. Going forward, the Company does not anticipate entering into new employment agreements with our executive officers, and none of Mr. Reed, Ms. Hemmer or Mr. Carrasco is a party to an employment agreement with the Company.</w:t>
      </w:r>
    </w:p>
    <w:p>
      <w:pPr>
        <w:spacing w:after="0" w:line="10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u w:val="single" w:color="auto"/>
          <w:color w:val="auto"/>
        </w:rPr>
        <w:t>Post-Employment Covenants.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 noncompetition and nonsolicitation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 Our current equity award agreements also include a requirement that, in order to be eligible to vest in any portion of the award, the employee must enter into an agreement containing restrictive covenants applicable to the employee’s behavior following termination.</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u w:val="single" w:color="auto"/>
          <w:color w:val="auto"/>
        </w:rPr>
        <w:t>Clawback Policies.</w:t>
      </w:r>
      <w:r>
        <w:rPr>
          <w:rFonts w:ascii="Arial" w:cs="Arial" w:eastAsia="Arial" w:hAnsi="Arial"/>
          <w:sz w:val="19"/>
          <w:szCs w:val="19"/>
          <w:i w:val="1"/>
          <w:iCs w:val="1"/>
          <w:color w:val="auto"/>
        </w:rPr>
        <w:t xml:space="preserve"> </w:t>
      </w:r>
      <w:r>
        <w:rPr>
          <w:rFonts w:ascii="Arial" w:cs="Arial" w:eastAsia="Arial" w:hAnsi="Arial"/>
          <w:sz w:val="19"/>
          <w:szCs w:val="19"/>
          <w:color w:val="auto"/>
        </w:rPr>
        <w:t>In 2023, the MD&amp;C Committee adopted the executive compensation clawback policy mandated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Stock Exchange, which is accessible through the Exhibit List to the Company’s Annual Report on Form 10-K. This clawback policy provides for the recovery of erroneously awarded incentive-based compensation received by current and former executive officers in connection with a financial restatement, regardless of fault or misconduct. No obligation has arisen to recover executive compensation pursuant to this policy.</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Additionally, our award agreements for both time-based and performance-based equity awards include compensation clawback provisions that provide, if the MD&amp;C Committee determines that an employee either engaged in or benefited</w:t>
      </w:r>
    </w:p>
    <w:p>
      <w:pPr>
        <w:spacing w:after="0" w:line="39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3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54" w:name="page55"/>
    <w:bookmarkEnd w:id="54"/>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C3D25"/>
        </w:rPr>
        <w:t>Other Compensation Policies and Practices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 generally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 subject to stock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currently-serving named executive’s ownership guideline multiple of base salary and ownership multiple of base salary attained as of March 17, 2026 using the closing price of our Common Stock on such date and base salaries in effect on December 31, 2025, are set forth below. Each of our currently-serving named executives have reached their ownership guideline with the exception of Mr. Reed, who was promoted to his position in November 2025 and is making appropriate progress toward his ownership guideline. Shares owned outright, vested equity awards that have been deferred, Common Stock equivalents based on holdings in the Company’s 401(k) Retirement Savings Plan and phantom stock held in the Company’s 409A Deferral Plan count toward meeting the ownership guidelines. PSUs, RSUs and restricted stock, if any, do not count toward meeting the ownership guidelines until they are vested or earned. Unvested stock options and vested unexercised stock options do not count toward meeting the ownership guidelines.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0">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0C3D25"/>
              </w:rPr>
              <w:t>Ownership</w:t>
            </w:r>
          </w:p>
        </w:tc>
      </w:tr>
      <w:tr>
        <w:trPr>
          <w:trHeight w:val="160"/>
        </w:trPr>
        <w:tc>
          <w:tcPr>
            <w:tcW w:w="35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Multiple of</w:t>
            </w:r>
          </w:p>
        </w:tc>
      </w:tr>
      <w:tr>
        <w:trPr>
          <w:trHeight w:val="160"/>
        </w:trPr>
        <w:tc>
          <w:tcPr>
            <w:tcW w:w="3500" w:type="dxa"/>
            <w:vAlign w:val="bottom"/>
          </w:tcPr>
          <w:p>
            <w:pPr>
              <w:spacing w:after="0"/>
              <w:rPr>
                <w:sz w:val="13"/>
                <w:szCs w:val="13"/>
                <w:color w:val="auto"/>
              </w:rPr>
            </w:pPr>
          </w:p>
        </w:tc>
        <w:tc>
          <w:tcPr>
            <w:tcW w:w="3700" w:type="dxa"/>
            <w:vAlign w:val="bottom"/>
          </w:tcPr>
          <w:p>
            <w:pPr>
              <w:ind w:left="2800"/>
              <w:spacing w:after="0" w:line="160" w:lineRule="exact"/>
              <w:rPr>
                <w:sz w:val="20"/>
                <w:szCs w:val="20"/>
                <w:color w:val="auto"/>
              </w:rPr>
            </w:pPr>
            <w:r>
              <w:rPr>
                <w:rFonts w:ascii="Arial" w:cs="Arial" w:eastAsia="Arial" w:hAnsi="Arial"/>
                <w:sz w:val="16"/>
                <w:szCs w:val="16"/>
                <w:b w:val="1"/>
                <w:bCs w:val="1"/>
                <w:color w:val="0C3D25"/>
              </w:rPr>
              <w:t>Ownership</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Base Salary</w:t>
            </w:r>
          </w:p>
        </w:tc>
      </w:tr>
      <w:tr>
        <w:trPr>
          <w:trHeight w:val="160"/>
        </w:trPr>
        <w:tc>
          <w:tcPr>
            <w:tcW w:w="3500" w:type="dxa"/>
            <w:vAlign w:val="bottom"/>
          </w:tcPr>
          <w:p>
            <w:pPr>
              <w:spacing w:after="0"/>
              <w:rPr>
                <w:sz w:val="13"/>
                <w:szCs w:val="13"/>
                <w:color w:val="auto"/>
              </w:rPr>
            </w:pPr>
          </w:p>
        </w:tc>
        <w:tc>
          <w:tcPr>
            <w:tcW w:w="37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Guideline Multiple</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Attained as of</w:t>
            </w:r>
          </w:p>
        </w:tc>
      </w:tr>
      <w:tr>
        <w:trPr>
          <w:trHeight w:val="184"/>
        </w:trPr>
        <w:tc>
          <w:tcPr>
            <w:tcW w:w="3500" w:type="dxa"/>
            <w:vAlign w:val="bottom"/>
          </w:tcPr>
          <w:p>
            <w:pPr>
              <w:spacing w:after="0"/>
              <w:rPr>
                <w:sz w:val="15"/>
                <w:szCs w:val="15"/>
                <w:color w:val="auto"/>
              </w:rPr>
            </w:pPr>
          </w:p>
        </w:tc>
        <w:tc>
          <w:tcPr>
            <w:tcW w:w="3700" w:type="dxa"/>
            <w:vAlign w:val="bottom"/>
          </w:tcPr>
          <w:p>
            <w:pPr>
              <w:jc w:val="right"/>
              <w:ind w:right="28"/>
              <w:spacing w:after="0"/>
              <w:rPr>
                <w:sz w:val="20"/>
                <w:szCs w:val="20"/>
                <w:color w:val="auto"/>
              </w:rPr>
            </w:pPr>
            <w:r>
              <w:rPr>
                <w:rFonts w:ascii="Arial" w:cs="Arial" w:eastAsia="Arial" w:hAnsi="Arial"/>
                <w:sz w:val="16"/>
                <w:szCs w:val="16"/>
                <w:b w:val="1"/>
                <w:bCs w:val="1"/>
                <w:color w:val="0C3D25"/>
              </w:rPr>
              <w:t>of Base Salary</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C3D25"/>
              </w:rPr>
              <w:t>March 17, 2026</w:t>
            </w:r>
          </w:p>
        </w:tc>
      </w:tr>
      <w:tr>
        <w:trPr>
          <w:trHeight w:val="42"/>
        </w:trPr>
        <w:tc>
          <w:tcPr>
            <w:tcW w:w="3500" w:type="dxa"/>
            <w:vAlign w:val="bottom"/>
            <w:tcBorders>
              <w:bottom w:val="single" w:sz="8" w:color="0C3D25"/>
            </w:tcBorders>
          </w:tcPr>
          <w:p>
            <w:pPr>
              <w:spacing w:after="0"/>
              <w:rPr>
                <w:sz w:val="3"/>
                <w:szCs w:val="3"/>
                <w:color w:val="auto"/>
              </w:rPr>
            </w:pPr>
          </w:p>
        </w:tc>
        <w:tc>
          <w:tcPr>
            <w:tcW w:w="3700" w:type="dxa"/>
            <w:vAlign w:val="bottom"/>
            <w:tcBorders>
              <w:bottom w:val="single" w:sz="8" w:color="0C3D25"/>
            </w:tcBorders>
          </w:tcPr>
          <w:p>
            <w:pPr>
              <w:spacing w:after="0"/>
              <w:rPr>
                <w:sz w:val="3"/>
                <w:szCs w:val="3"/>
                <w:color w:val="auto"/>
              </w:rPr>
            </w:pPr>
          </w:p>
        </w:tc>
        <w:tc>
          <w:tcPr>
            <w:tcW w:w="1260" w:type="dxa"/>
            <w:vAlign w:val="bottom"/>
            <w:tcBorders>
              <w:bottom w:val="single" w:sz="8" w:color="0C3D25"/>
            </w:tcBorders>
          </w:tcPr>
          <w:p>
            <w:pPr>
              <w:spacing w:after="0"/>
              <w:rPr>
                <w:sz w:val="3"/>
                <w:szCs w:val="3"/>
                <w:color w:val="auto"/>
              </w:rPr>
            </w:pPr>
          </w:p>
        </w:tc>
      </w:tr>
      <w:tr>
        <w:trPr>
          <w:trHeight w:val="263"/>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00" w:type="dxa"/>
            <w:vAlign w:val="bottom"/>
          </w:tcPr>
          <w:p>
            <w:pPr>
              <w:ind w:left="2840"/>
              <w:spacing w:after="0"/>
              <w:rPr>
                <w:sz w:val="20"/>
                <w:szCs w:val="20"/>
                <w:color w:val="auto"/>
              </w:rPr>
            </w:pPr>
            <w:r>
              <w:rPr>
                <w:rFonts w:ascii="Arial" w:cs="Arial" w:eastAsia="Arial" w:hAnsi="Arial"/>
                <w:sz w:val="20"/>
                <w:szCs w:val="20"/>
                <w:color w:val="auto"/>
              </w:rPr>
              <w:t>6x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50x</w:t>
            </w:r>
          </w:p>
        </w:tc>
      </w:tr>
      <w:tr>
        <w:trPr>
          <w:trHeight w:val="27"/>
        </w:trPr>
        <w:tc>
          <w:tcPr>
            <w:tcW w:w="3500" w:type="dxa"/>
            <w:vAlign w:val="bottom"/>
            <w:tcBorders>
              <w:bottom w:val="single" w:sz="8" w:color="0C3D25"/>
            </w:tcBorders>
          </w:tcPr>
          <w:p>
            <w:pPr>
              <w:spacing w:after="0"/>
              <w:rPr>
                <w:sz w:val="2"/>
                <w:szCs w:val="2"/>
                <w:color w:val="auto"/>
              </w:rPr>
            </w:pPr>
          </w:p>
        </w:tc>
        <w:tc>
          <w:tcPr>
            <w:tcW w:w="37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r>
      <w:tr>
        <w:trPr>
          <w:trHeight w:val="253"/>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Reed</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2x</w:t>
            </w:r>
          </w:p>
        </w:tc>
      </w:tr>
      <w:tr>
        <w:trPr>
          <w:trHeight w:val="27"/>
        </w:trPr>
        <w:tc>
          <w:tcPr>
            <w:tcW w:w="3500" w:type="dxa"/>
            <w:vAlign w:val="bottom"/>
            <w:tcBorders>
              <w:bottom w:val="single" w:sz="8" w:color="0C3D25"/>
            </w:tcBorders>
          </w:tcPr>
          <w:p>
            <w:pPr>
              <w:spacing w:after="0"/>
              <w:rPr>
                <w:sz w:val="2"/>
                <w:szCs w:val="2"/>
                <w:color w:val="auto"/>
              </w:rPr>
            </w:pPr>
          </w:p>
        </w:tc>
        <w:tc>
          <w:tcPr>
            <w:tcW w:w="37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r>
      <w:tr>
        <w:trPr>
          <w:trHeight w:val="253"/>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24x</w:t>
            </w:r>
          </w:p>
        </w:tc>
      </w:tr>
      <w:tr>
        <w:trPr>
          <w:trHeight w:val="27"/>
        </w:trPr>
        <w:tc>
          <w:tcPr>
            <w:tcW w:w="3500" w:type="dxa"/>
            <w:vAlign w:val="bottom"/>
            <w:tcBorders>
              <w:bottom w:val="single" w:sz="8" w:color="0C3D25"/>
            </w:tcBorders>
          </w:tcPr>
          <w:p>
            <w:pPr>
              <w:spacing w:after="0"/>
              <w:rPr>
                <w:sz w:val="2"/>
                <w:szCs w:val="2"/>
                <w:color w:val="auto"/>
              </w:rPr>
            </w:pPr>
          </w:p>
        </w:tc>
        <w:tc>
          <w:tcPr>
            <w:tcW w:w="37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r>
      <w:tr>
        <w:trPr>
          <w:trHeight w:val="253"/>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23x</w:t>
            </w:r>
          </w:p>
        </w:tc>
      </w:tr>
      <w:tr>
        <w:trPr>
          <w:trHeight w:val="27"/>
        </w:trPr>
        <w:tc>
          <w:tcPr>
            <w:tcW w:w="3500" w:type="dxa"/>
            <w:vAlign w:val="bottom"/>
            <w:tcBorders>
              <w:bottom w:val="single" w:sz="8" w:color="0C3D25"/>
            </w:tcBorders>
          </w:tcPr>
          <w:p>
            <w:pPr>
              <w:spacing w:after="0"/>
              <w:rPr>
                <w:sz w:val="2"/>
                <w:szCs w:val="2"/>
                <w:color w:val="auto"/>
              </w:rPr>
            </w:pPr>
          </w:p>
        </w:tc>
        <w:tc>
          <w:tcPr>
            <w:tcW w:w="37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r>
      <w:tr>
        <w:trPr>
          <w:trHeight w:val="253"/>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5x</w:t>
            </w:r>
          </w:p>
        </w:tc>
      </w:tr>
      <w:tr>
        <w:trPr>
          <w:trHeight w:val="32"/>
        </w:trPr>
        <w:tc>
          <w:tcPr>
            <w:tcW w:w="3500" w:type="dxa"/>
            <w:vAlign w:val="bottom"/>
            <w:tcBorders>
              <w:bottom w:val="single" w:sz="8" w:color="0C3D25"/>
            </w:tcBorders>
          </w:tcPr>
          <w:p>
            <w:pPr>
              <w:spacing w:after="0"/>
              <w:rPr>
                <w:sz w:val="2"/>
                <w:szCs w:val="2"/>
                <w:color w:val="auto"/>
              </w:rPr>
            </w:pPr>
          </w:p>
        </w:tc>
        <w:tc>
          <w:tcPr>
            <w:tcW w:w="37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Insider Trading; Prohibition of Hedging and Pledging Company Securities.</w:t>
      </w:r>
      <w:r>
        <w:rPr>
          <w:sz w:val="20"/>
          <w:szCs w:val="20"/>
          <w:color w:val="auto"/>
        </w:rPr>
        <w:t xml:space="preserve"> </w:t>
      </w:r>
      <w:r>
        <w:rPr>
          <w:rFonts w:ascii="Arial" w:cs="Arial" w:eastAsia="Arial" w:hAnsi="Arial"/>
          <w:sz w:val="20"/>
          <w:szCs w:val="20"/>
          <w:color w:val="auto"/>
        </w:rPr>
        <w:t>The Company’s Insider 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executive officers and designated insiders may not pledge Company securities or hold Company securities in a margin account.</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u w:val="single" w:color="auto"/>
          <w:color w:val="auto"/>
        </w:rPr>
        <w:t>Timing of Grants of Certain Equity Awards Close in Time to the Release of Material Nonpublic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have a formal policy regarding the timing of awards of stock options in relation to the disclosure of material nonpublic information by the Company. However, the Company’s long-standing historical practice has been to make annual grants of equity awards, including all stock option awards, in connection with our regularly scheduled first quarter meeting of the MD&amp;C Committee and the Board. This meeting occurs following the release of the Company’s financial results for the fourth quarter and prior fiscal year, when our stock trading window for designated insiders is typically open. As a result, our stock option awards are made at a time when possession of material nonpublic information is not generally anticipated. Stock options are not granted at any other time of the year, as they are not a component of any off-cycle awards. The Company has not timed the disclosure of material nonpublic information for the purpose of affecting the value of executive compensation. The MD&amp;C Committee granted annual long-term equity incentive awards, including stock options, to designated employees, including our named executives, on February 25, 2025 in accordance with our historical practice, and such equity awards were timely reported on a Current Report on Form 8-K.</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1">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42">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6" w:name="page57"/>
    <w:bookmarkEnd w:id="56"/>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EXECUTIVE COMPENSATION TABLES</w:t>
      </w:r>
    </w:p>
    <w:p>
      <w:pPr>
        <w:spacing w:after="0" w:line="81" w:lineRule="exact"/>
        <w:rPr>
          <w:sz w:val="20"/>
          <w:szCs w:val="20"/>
          <w:color w:val="auto"/>
        </w:rPr>
      </w:pPr>
    </w:p>
    <w:p>
      <w:pPr>
        <w:jc w:val="both"/>
        <w:ind w:left="2"/>
        <w:spacing w:after="0" w:line="247" w:lineRule="auto"/>
        <w:rPr>
          <w:sz w:val="20"/>
          <w:szCs w:val="20"/>
          <w:color w:val="auto"/>
        </w:rPr>
      </w:pPr>
      <w:r>
        <w:rPr>
          <w:rFonts w:ascii="Arial" w:cs="Arial" w:eastAsia="Arial" w:hAnsi="Arial"/>
          <w:sz w:val="20"/>
          <w:szCs w:val="20"/>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contains a discussion that should be read in conjunction with these tables to gain a complete understanding of our executive compensation philosophy, programs and decisions. Information pertaining to Ms. Rankin, our former Executive Vice President and Chief Financial Officer, is included in the following tables in accordance with SEC rules, although she resigned from her executive officer role as of November 1, 2025, and Mr. Reed was promoted to succeed Ms. Rankin as Executive Vice President and Chief Financial Officer. Please see “Compensation Discussion and Analysis — Executive Compensation Decisions in Connection with Leadership Transitions.”</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Summary Compensation Table</w:t>
      </w:r>
    </w:p>
    <w:p>
      <w:pPr>
        <w:spacing w:after="0" w:line="5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6"/>
                <w:szCs w:val="16"/>
                <w:b w:val="1"/>
                <w:bCs w:val="1"/>
                <w:color w:val="0C3D25"/>
              </w:rPr>
              <w:t>Stock</w:t>
            </w:r>
          </w:p>
        </w:tc>
        <w:tc>
          <w:tcPr>
            <w:tcW w:w="98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Arial" w:cs="Arial" w:eastAsia="Arial" w:hAnsi="Arial"/>
                <w:sz w:val="16"/>
                <w:szCs w:val="16"/>
                <w:b w:val="1"/>
                <w:bCs w:val="1"/>
                <w:color w:val="0C3D25"/>
              </w:rPr>
              <w:t>Non-Equity</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jc w:val="right"/>
              <w:ind w:right="56"/>
              <w:spacing w:after="0" w:line="160" w:lineRule="exact"/>
              <w:rPr>
                <w:sz w:val="20"/>
                <w:szCs w:val="20"/>
                <w:color w:val="auto"/>
              </w:rPr>
            </w:pPr>
            <w:r>
              <w:rPr>
                <w:rFonts w:ascii="Arial" w:cs="Arial" w:eastAsia="Arial" w:hAnsi="Arial"/>
                <w:sz w:val="16"/>
                <w:szCs w:val="16"/>
                <w:b w:val="1"/>
                <w:bCs w:val="1"/>
                <w:color w:val="0C3D25"/>
              </w:rPr>
              <w:t>Option</w:t>
            </w:r>
          </w:p>
        </w:tc>
        <w:tc>
          <w:tcPr>
            <w:tcW w:w="1280" w:type="dxa"/>
            <w:vAlign w:val="bottom"/>
          </w:tcPr>
          <w:p>
            <w:pPr>
              <w:jc w:val="right"/>
              <w:ind w:right="56"/>
              <w:spacing w:after="0" w:line="160" w:lineRule="exact"/>
              <w:rPr>
                <w:sz w:val="20"/>
                <w:szCs w:val="20"/>
                <w:color w:val="auto"/>
              </w:rPr>
            </w:pPr>
            <w:r>
              <w:rPr>
                <w:rFonts w:ascii="Arial" w:cs="Arial" w:eastAsia="Arial" w:hAnsi="Arial"/>
                <w:sz w:val="16"/>
                <w:szCs w:val="16"/>
                <w:b w:val="1"/>
                <w:bCs w:val="1"/>
                <w:color w:val="0C3D25"/>
              </w:rPr>
              <w:t>Incentive Plan</w:t>
            </w:r>
          </w:p>
        </w:tc>
        <w:tc>
          <w:tcPr>
            <w:tcW w:w="1280" w:type="dxa"/>
            <w:vAlign w:val="bottom"/>
          </w:tcPr>
          <w:p>
            <w:pPr>
              <w:jc w:val="right"/>
              <w:ind w:right="56"/>
              <w:spacing w:after="0" w:line="160" w:lineRule="exact"/>
              <w:rPr>
                <w:sz w:val="20"/>
                <w:szCs w:val="20"/>
                <w:color w:val="auto"/>
              </w:rPr>
            </w:pPr>
            <w:r>
              <w:rPr>
                <w:rFonts w:ascii="Arial" w:cs="Arial" w:eastAsia="Arial" w:hAnsi="Arial"/>
                <w:sz w:val="16"/>
                <w:szCs w:val="16"/>
                <w:b w:val="1"/>
                <w:bCs w:val="1"/>
                <w:color w:val="0C3D25"/>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1220" w:type="dxa"/>
            <w:vAlign w:val="bottom"/>
          </w:tcPr>
          <w:p>
            <w:pPr>
              <w:jc w:val="right"/>
              <w:ind w:right="116"/>
              <w:spacing w:after="0" w:line="150" w:lineRule="exact"/>
              <w:rPr>
                <w:sz w:val="20"/>
                <w:szCs w:val="20"/>
                <w:color w:val="auto"/>
              </w:rPr>
            </w:pPr>
            <w:r>
              <w:rPr>
                <w:rFonts w:ascii="Arial" w:cs="Arial" w:eastAsia="Arial" w:hAnsi="Arial"/>
                <w:sz w:val="16"/>
                <w:szCs w:val="16"/>
                <w:b w:val="1"/>
                <w:bCs w:val="1"/>
                <w:color w:val="0C3D25"/>
              </w:rPr>
              <w:t>Salary</w:t>
            </w:r>
          </w:p>
        </w:tc>
        <w:tc>
          <w:tcPr>
            <w:tcW w:w="1020" w:type="dxa"/>
            <w:vAlign w:val="bottom"/>
          </w:tcPr>
          <w:p>
            <w:pPr>
              <w:jc w:val="right"/>
              <w:ind w:right="56"/>
              <w:spacing w:after="0" w:line="150" w:lineRule="exact"/>
              <w:rPr>
                <w:sz w:val="20"/>
                <w:szCs w:val="20"/>
                <w:color w:val="auto"/>
              </w:rPr>
            </w:pPr>
            <w:r>
              <w:rPr>
                <w:rFonts w:ascii="Arial" w:cs="Arial" w:eastAsia="Arial" w:hAnsi="Arial"/>
                <w:sz w:val="16"/>
                <w:szCs w:val="16"/>
                <w:b w:val="1"/>
                <w:bCs w:val="1"/>
                <w:color w:val="0C3D25"/>
              </w:rPr>
              <w:t>Awards</w:t>
            </w:r>
          </w:p>
        </w:tc>
        <w:tc>
          <w:tcPr>
            <w:tcW w:w="980" w:type="dxa"/>
            <w:vAlign w:val="bottom"/>
          </w:tcPr>
          <w:p>
            <w:pPr>
              <w:jc w:val="right"/>
              <w:ind w:right="56"/>
              <w:spacing w:after="0" w:line="150" w:lineRule="exact"/>
              <w:rPr>
                <w:sz w:val="20"/>
                <w:szCs w:val="20"/>
                <w:color w:val="auto"/>
              </w:rPr>
            </w:pPr>
            <w:r>
              <w:rPr>
                <w:rFonts w:ascii="Arial" w:cs="Arial" w:eastAsia="Arial" w:hAnsi="Arial"/>
                <w:sz w:val="16"/>
                <w:szCs w:val="16"/>
                <w:b w:val="1"/>
                <w:bCs w:val="1"/>
                <w:color w:val="0C3D25"/>
              </w:rPr>
              <w:t>Awards</w:t>
            </w:r>
          </w:p>
        </w:tc>
        <w:tc>
          <w:tcPr>
            <w:tcW w:w="1280" w:type="dxa"/>
            <w:vAlign w:val="bottom"/>
          </w:tcPr>
          <w:p>
            <w:pPr>
              <w:jc w:val="right"/>
              <w:ind w:right="56"/>
              <w:spacing w:after="0" w:line="150" w:lineRule="exact"/>
              <w:rPr>
                <w:sz w:val="20"/>
                <w:szCs w:val="20"/>
                <w:color w:val="auto"/>
              </w:rPr>
            </w:pPr>
            <w:r>
              <w:rPr>
                <w:rFonts w:ascii="Arial" w:cs="Arial" w:eastAsia="Arial" w:hAnsi="Arial"/>
                <w:sz w:val="16"/>
                <w:szCs w:val="16"/>
                <w:b w:val="1"/>
                <w:bCs w:val="1"/>
                <w:color w:val="0C3D25"/>
              </w:rPr>
              <w:t>Compensation</w:t>
            </w:r>
          </w:p>
        </w:tc>
        <w:tc>
          <w:tcPr>
            <w:tcW w:w="1280" w:type="dxa"/>
            <w:vAlign w:val="bottom"/>
          </w:tcPr>
          <w:p>
            <w:pPr>
              <w:jc w:val="right"/>
              <w:ind w:right="56"/>
              <w:spacing w:after="0" w:line="150" w:lineRule="exact"/>
              <w:rPr>
                <w:sz w:val="20"/>
                <w:szCs w:val="20"/>
                <w:color w:val="auto"/>
              </w:rPr>
            </w:pPr>
            <w:r>
              <w:rPr>
                <w:rFonts w:ascii="Arial" w:cs="Arial" w:eastAsia="Arial" w:hAnsi="Arial"/>
                <w:sz w:val="16"/>
                <w:szCs w:val="16"/>
                <w:b w:val="1"/>
                <w:bCs w:val="1"/>
                <w:color w:val="0C3D25"/>
              </w:rPr>
              <w:t>Compensation</w:t>
            </w:r>
          </w:p>
        </w:tc>
        <w:tc>
          <w:tcPr>
            <w:tcW w:w="1000" w:type="dxa"/>
            <w:vAlign w:val="bottom"/>
          </w:tcPr>
          <w:p>
            <w:pPr>
              <w:jc w:val="right"/>
              <w:spacing w:after="0" w:line="150" w:lineRule="exact"/>
              <w:rPr>
                <w:sz w:val="20"/>
                <w:szCs w:val="20"/>
                <w:color w:val="auto"/>
              </w:rPr>
            </w:pPr>
            <w:r>
              <w:rPr>
                <w:rFonts w:ascii="Arial" w:cs="Arial" w:eastAsia="Arial" w:hAnsi="Arial"/>
                <w:sz w:val="16"/>
                <w:szCs w:val="16"/>
                <w:b w:val="1"/>
                <w:bCs w:val="1"/>
                <w:color w:val="0C3D25"/>
              </w:rPr>
              <w:t>Total</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Year</w:t>
            </w:r>
          </w:p>
        </w:tc>
        <w:tc>
          <w:tcPr>
            <w:tcW w:w="1220" w:type="dxa"/>
            <w:vAlign w:val="bottom"/>
            <w:tcBorders>
              <w:bottom w:val="single" w:sz="8" w:color="0C3D25"/>
            </w:tcBorders>
          </w:tcPr>
          <w:p>
            <w:pPr>
              <w:jc w:val="right"/>
              <w:ind w:right="116"/>
              <w:spacing w:after="0"/>
              <w:rPr>
                <w:sz w:val="20"/>
                <w:szCs w:val="20"/>
                <w:color w:val="auto"/>
              </w:rPr>
            </w:pPr>
            <w:r>
              <w:rPr>
                <w:rFonts w:ascii="Arial" w:cs="Arial" w:eastAsia="Arial" w:hAnsi="Arial"/>
                <w:sz w:val="16"/>
                <w:szCs w:val="16"/>
                <w:b w:val="1"/>
                <w:bCs w:val="1"/>
                <w:color w:val="0C3D25"/>
              </w:rPr>
              <w:t>($)</w:t>
            </w:r>
          </w:p>
        </w:tc>
        <w:tc>
          <w:tcPr>
            <w:tcW w:w="1020" w:type="dxa"/>
            <w:vAlign w:val="bottom"/>
            <w:tcBorders>
              <w:bottom w:val="single" w:sz="8" w:color="0C3D25"/>
            </w:tcBorders>
          </w:tcPr>
          <w:p>
            <w:pPr>
              <w:jc w:val="right"/>
              <w:ind w:right="56"/>
              <w:spacing w:after="0" w:line="195" w:lineRule="exact"/>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(1)</w:t>
            </w:r>
          </w:p>
        </w:tc>
        <w:tc>
          <w:tcPr>
            <w:tcW w:w="980" w:type="dxa"/>
            <w:vAlign w:val="bottom"/>
            <w:tcBorders>
              <w:bottom w:val="single" w:sz="8" w:color="0C3D25"/>
            </w:tcBorders>
          </w:tcPr>
          <w:p>
            <w:pPr>
              <w:jc w:val="right"/>
              <w:ind w:right="56"/>
              <w:spacing w:after="0" w:line="195" w:lineRule="exact"/>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(2)</w:t>
            </w:r>
          </w:p>
        </w:tc>
        <w:tc>
          <w:tcPr>
            <w:tcW w:w="1280" w:type="dxa"/>
            <w:vAlign w:val="bottom"/>
            <w:tcBorders>
              <w:bottom w:val="single" w:sz="8" w:color="0C3D25"/>
            </w:tcBorders>
          </w:tcPr>
          <w:p>
            <w:pPr>
              <w:jc w:val="right"/>
              <w:ind w:right="56"/>
              <w:spacing w:after="0" w:line="195" w:lineRule="exact"/>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(3)</w:t>
            </w:r>
          </w:p>
        </w:tc>
        <w:tc>
          <w:tcPr>
            <w:tcW w:w="1280" w:type="dxa"/>
            <w:vAlign w:val="bottom"/>
            <w:tcBorders>
              <w:bottom w:val="single" w:sz="8" w:color="0C3D25"/>
            </w:tcBorders>
          </w:tcPr>
          <w:p>
            <w:pPr>
              <w:jc w:val="right"/>
              <w:ind w:right="56"/>
              <w:spacing w:after="0" w:line="195" w:lineRule="exact"/>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(4)</w:t>
            </w:r>
          </w:p>
        </w:tc>
        <w:tc>
          <w:tcPr>
            <w:tcW w:w="100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w:t>
            </w:r>
          </w:p>
        </w:tc>
        <w:tc>
          <w:tcPr>
            <w:tcW w:w="0" w:type="dxa"/>
            <w:vAlign w:val="bottom"/>
          </w:tcPr>
          <w:p>
            <w:pPr>
              <w:spacing w:after="0"/>
              <w:rPr>
                <w:sz w:val="1"/>
                <w:szCs w:val="1"/>
                <w:color w:val="auto"/>
              </w:rPr>
            </w:pPr>
          </w:p>
        </w:tc>
      </w:tr>
      <w:tr>
        <w:trPr>
          <w:trHeight w:val="170"/>
        </w:trPr>
        <w:tc>
          <w:tcPr>
            <w:tcW w:w="3280" w:type="dxa"/>
            <w:vAlign w:val="bottom"/>
          </w:tcPr>
          <w:p>
            <w:pPr>
              <w:ind w:left="60"/>
              <w:spacing w:after="0" w:line="170" w:lineRule="exact"/>
              <w:rPr>
                <w:sz w:val="20"/>
                <w:szCs w:val="20"/>
                <w:color w:val="auto"/>
              </w:rPr>
            </w:pPr>
            <w:r>
              <w:rPr>
                <w:rFonts w:ascii="Arial" w:cs="Arial" w:eastAsia="Arial" w:hAnsi="Arial"/>
                <w:sz w:val="17"/>
                <w:szCs w:val="17"/>
                <w:b w:val="1"/>
                <w:bCs w:val="1"/>
                <w:color w:val="auto"/>
              </w:rPr>
              <w:t>James C. Fish, Jr.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0C3D25"/>
            </w:tcBorders>
          </w:tcPr>
          <w:p>
            <w:pPr>
              <w:ind w:left="60"/>
              <w:spacing w:after="0" w:line="190" w:lineRule="exact"/>
              <w:rPr>
                <w:sz w:val="20"/>
                <w:szCs w:val="20"/>
                <w:color w:val="auto"/>
              </w:rPr>
            </w:pPr>
            <w:r>
              <w:rPr>
                <w:rFonts w:ascii="Arial" w:cs="Arial" w:eastAsia="Arial" w:hAnsi="Arial"/>
                <w:sz w:val="17"/>
                <w:szCs w:val="17"/>
                <w:b w:val="1"/>
                <w:bCs w:val="1"/>
                <w:color w:val="auto"/>
              </w:rPr>
              <w:t>Chief Executive Officer</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6"/>
                <w:szCs w:val="16"/>
                <w:color w:val="auto"/>
              </w:rPr>
              <w:t>1,486,538</w:t>
            </w:r>
            <w:r>
              <w:rPr>
                <w:rFonts w:ascii="Arial" w:cs="Arial" w:eastAsia="Arial" w:hAnsi="Arial"/>
                <w:sz w:val="20"/>
                <w:szCs w:val="20"/>
                <w:color w:val="auto"/>
                <w:vertAlign w:val="superscript"/>
              </w:rPr>
              <w:t>(5)</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12,406,478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2,400,021</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2,472,480</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283,269</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19,048,786</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2024</w:t>
            </w:r>
          </w:p>
        </w:tc>
        <w:tc>
          <w:tcPr>
            <w:tcW w:w="122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6"/>
                <w:szCs w:val="16"/>
                <w:color w:val="auto"/>
              </w:rPr>
              <w:t>1,429,290</w:t>
            </w:r>
            <w:r>
              <w:rPr>
                <w:rFonts w:ascii="Arial" w:cs="Arial" w:eastAsia="Arial" w:hAnsi="Arial"/>
                <w:sz w:val="20"/>
                <w:szCs w:val="20"/>
                <w:color w:val="auto"/>
                <w:vertAlign w:val="superscript"/>
              </w:rPr>
              <w:t>(5)</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10,292,103</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1,950,007</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3,180,080</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245,640</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17,097,120</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2023</w:t>
            </w:r>
          </w:p>
        </w:tc>
        <w:tc>
          <w:tcPr>
            <w:tcW w:w="122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6"/>
                <w:szCs w:val="16"/>
                <w:color w:val="auto"/>
              </w:rPr>
              <w:t>1,388,461</w:t>
            </w:r>
            <w:r>
              <w:rPr>
                <w:rFonts w:ascii="Arial" w:cs="Arial" w:eastAsia="Arial" w:hAnsi="Arial"/>
                <w:sz w:val="20"/>
                <w:szCs w:val="20"/>
                <w:color w:val="auto"/>
                <w:vertAlign w:val="superscript"/>
              </w:rPr>
              <w:t>(5)</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8,405,433</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1,950,000</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2,638,116</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246,844</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14,628,854</w:t>
            </w:r>
          </w:p>
        </w:tc>
        <w:tc>
          <w:tcPr>
            <w:tcW w:w="0" w:type="dxa"/>
            <w:vAlign w:val="bottom"/>
          </w:tcPr>
          <w:p>
            <w:pPr>
              <w:spacing w:after="0"/>
              <w:rPr>
                <w:sz w:val="1"/>
                <w:szCs w:val="1"/>
                <w:color w:val="auto"/>
              </w:rPr>
            </w:pPr>
          </w:p>
        </w:tc>
      </w:tr>
      <w:tr>
        <w:trPr>
          <w:trHeight w:val="159"/>
        </w:trPr>
        <w:tc>
          <w:tcPr>
            <w:tcW w:w="3280" w:type="dxa"/>
            <w:vAlign w:val="bottom"/>
          </w:tcPr>
          <w:p>
            <w:pPr>
              <w:ind w:left="60"/>
              <w:spacing w:after="0" w:line="159" w:lineRule="exact"/>
              <w:rPr>
                <w:sz w:val="20"/>
                <w:szCs w:val="20"/>
                <w:color w:val="auto"/>
              </w:rPr>
            </w:pPr>
            <w:r>
              <w:rPr>
                <w:rFonts w:ascii="Arial" w:cs="Arial" w:eastAsia="Arial" w:hAnsi="Arial"/>
                <w:sz w:val="17"/>
                <w:szCs w:val="17"/>
                <w:b w:val="1"/>
                <w:bCs w:val="1"/>
                <w:color w:val="auto"/>
              </w:rPr>
              <w:t>David L. Reed</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0C3D25"/>
            </w:tcBorders>
          </w:tcPr>
          <w:p>
            <w:pPr>
              <w:ind w:left="60"/>
              <w:spacing w:after="0" w:line="190" w:lineRule="exact"/>
              <w:rPr>
                <w:sz w:val="20"/>
                <w:szCs w:val="20"/>
                <w:color w:val="auto"/>
              </w:rPr>
            </w:pPr>
            <w:r>
              <w:rPr>
                <w:rFonts w:ascii="Arial" w:cs="Arial" w:eastAsia="Arial" w:hAnsi="Arial"/>
                <w:sz w:val="17"/>
                <w:szCs w:val="17"/>
                <w:b w:val="1"/>
                <w:bCs w:val="1"/>
                <w:color w:val="auto"/>
              </w:rPr>
              <w:t>EVP and Chief Financial Officer</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461,354</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994,991</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474,569</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37,926</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1,968,840</w:t>
            </w:r>
          </w:p>
        </w:tc>
        <w:tc>
          <w:tcPr>
            <w:tcW w:w="0" w:type="dxa"/>
            <w:vAlign w:val="bottom"/>
          </w:tcPr>
          <w:p>
            <w:pPr>
              <w:spacing w:after="0"/>
              <w:rPr>
                <w:sz w:val="1"/>
                <w:szCs w:val="1"/>
                <w:color w:val="auto"/>
              </w:rPr>
            </w:pPr>
          </w:p>
        </w:tc>
      </w:tr>
      <w:tr>
        <w:trPr>
          <w:trHeight w:val="159"/>
        </w:trPr>
        <w:tc>
          <w:tcPr>
            <w:tcW w:w="3280" w:type="dxa"/>
            <w:vAlign w:val="bottom"/>
          </w:tcPr>
          <w:p>
            <w:pPr>
              <w:ind w:left="60"/>
              <w:spacing w:after="0" w:line="159" w:lineRule="exact"/>
              <w:rPr>
                <w:sz w:val="20"/>
                <w:szCs w:val="20"/>
                <w:color w:val="auto"/>
              </w:rPr>
            </w:pPr>
            <w:r>
              <w:rPr>
                <w:rFonts w:ascii="Arial" w:cs="Arial" w:eastAsia="Arial" w:hAnsi="Arial"/>
                <w:sz w:val="17"/>
                <w:szCs w:val="17"/>
                <w:b w:val="1"/>
                <w:bCs w:val="1"/>
                <w:color w:val="auto"/>
              </w:rPr>
              <w:t>Devina A. Rankin</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0C3D25"/>
            </w:tcBorders>
          </w:tcPr>
          <w:p>
            <w:pPr>
              <w:ind w:left="60"/>
              <w:spacing w:after="0" w:line="190" w:lineRule="exact"/>
              <w:rPr>
                <w:sz w:val="20"/>
                <w:szCs w:val="20"/>
                <w:color w:val="auto"/>
              </w:rPr>
            </w:pPr>
            <w:r>
              <w:rPr>
                <w:rFonts w:ascii="Arial" w:cs="Arial" w:eastAsia="Arial" w:hAnsi="Arial"/>
                <w:sz w:val="17"/>
                <w:szCs w:val="17"/>
                <w:b w:val="1"/>
                <w:bCs w:val="1"/>
                <w:color w:val="auto"/>
              </w:rPr>
              <w:t>Former EVP and Chief Financial Officer</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809,967</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2,791,429</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539,981</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870,687</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64,029</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5,076,093</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2024</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790,035</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2,427,755</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460,014</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1,203,674</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78,250</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4,959,728</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2023</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760,792</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1,982,933</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460,005</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915,228</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95,142</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4,214,100</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line="160" w:lineRule="exact"/>
              <w:rPr>
                <w:sz w:val="20"/>
                <w:szCs w:val="20"/>
                <w:color w:val="auto"/>
              </w:rPr>
            </w:pPr>
            <w:r>
              <w:rPr>
                <w:rFonts w:ascii="Arial" w:cs="Arial" w:eastAsia="Arial" w:hAnsi="Arial"/>
                <w:sz w:val="17"/>
                <w:szCs w:val="17"/>
                <w:b w:val="1"/>
                <w:bCs w:val="1"/>
                <w:color w:val="auto"/>
              </w:rPr>
              <w:t>John J. Morris, Jr.</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0C3D25"/>
            </w:tcBorders>
          </w:tcPr>
          <w:p>
            <w:pPr>
              <w:ind w:left="60"/>
              <w:spacing w:after="0" w:line="189" w:lineRule="exact"/>
              <w:rPr>
                <w:sz w:val="20"/>
                <w:szCs w:val="20"/>
                <w:color w:val="auto"/>
              </w:rPr>
            </w:pPr>
            <w:r>
              <w:rPr>
                <w:rFonts w:ascii="Arial" w:cs="Arial" w:eastAsia="Arial" w:hAnsi="Arial"/>
                <w:sz w:val="17"/>
                <w:szCs w:val="17"/>
                <w:b w:val="1"/>
                <w:bCs w:val="1"/>
                <w:color w:val="auto"/>
              </w:rPr>
              <w:t>President and Chief Operating Officer</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930,882</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4,274,324</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619,982</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1,287,750</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125,368</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7,238,306</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2024</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806,946</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3,113,792</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590,003</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1,352,403</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136,349</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5,999,493</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2023</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777,031</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2,327,562</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539,987</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1,028,241</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144,151</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4,816,972</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line="160" w:lineRule="exact"/>
              <w:rPr>
                <w:sz w:val="20"/>
                <w:szCs w:val="20"/>
                <w:color w:val="auto"/>
              </w:rPr>
            </w:pPr>
            <w:r>
              <w:rPr>
                <w:rFonts w:ascii="Arial" w:cs="Arial" w:eastAsia="Arial" w:hAnsi="Arial"/>
                <w:sz w:val="17"/>
                <w:szCs w:val="17"/>
                <w:b w:val="1"/>
                <w:bCs w:val="1"/>
                <w:color w:val="auto"/>
              </w:rPr>
              <w:t>Tara J. Hemmer</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0C3D25"/>
            </w:tcBorders>
          </w:tcPr>
          <w:p>
            <w:pPr>
              <w:ind w:left="60"/>
              <w:spacing w:after="0" w:line="189" w:lineRule="exact"/>
              <w:rPr>
                <w:sz w:val="20"/>
                <w:szCs w:val="20"/>
                <w:color w:val="auto"/>
              </w:rPr>
            </w:pPr>
            <w:r>
              <w:rPr>
                <w:rFonts w:ascii="Arial" w:cs="Arial" w:eastAsia="Arial" w:hAnsi="Arial"/>
                <w:sz w:val="17"/>
                <w:szCs w:val="17"/>
                <w:b w:val="1"/>
                <w:bCs w:val="1"/>
                <w:color w:val="auto"/>
              </w:rPr>
              <w:t>SVP and Chief Sustainability Officer</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717,904</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4,227,958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419,980</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709,061</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80,248</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6,155,151</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2024</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691,573</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2,111,358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399,986</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1,034,468</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64,743</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4,302,128</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2023</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662,769</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1,551,818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360,003</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717,576</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102,639</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3,394,805</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line="160" w:lineRule="exact"/>
              <w:rPr>
                <w:sz w:val="20"/>
                <w:szCs w:val="20"/>
                <w:color w:val="auto"/>
              </w:rPr>
            </w:pPr>
            <w:r>
              <w:rPr>
                <w:rFonts w:ascii="Arial" w:cs="Arial" w:eastAsia="Arial" w:hAnsi="Arial"/>
                <w:sz w:val="17"/>
                <w:szCs w:val="17"/>
                <w:b w:val="1"/>
                <w:bCs w:val="1"/>
                <w:color w:val="auto"/>
              </w:rPr>
              <w:t>Rafael E. Carrasco</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80" w:type="dxa"/>
            <w:vAlign w:val="bottom"/>
          </w:tcPr>
          <w:p>
            <w:pPr>
              <w:ind w:left="60"/>
              <w:spacing w:after="0" w:line="170" w:lineRule="exact"/>
              <w:rPr>
                <w:sz w:val="20"/>
                <w:szCs w:val="20"/>
                <w:color w:val="auto"/>
              </w:rPr>
            </w:pPr>
            <w:r>
              <w:rPr>
                <w:rFonts w:ascii="Arial" w:cs="Arial" w:eastAsia="Arial" w:hAnsi="Arial"/>
                <w:sz w:val="17"/>
                <w:szCs w:val="17"/>
                <w:b w:val="1"/>
                <w:bCs w:val="1"/>
                <w:color w:val="auto"/>
              </w:rPr>
              <w:t>SVP — Enterprise Strategy;</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0C3D25"/>
            </w:tcBorders>
          </w:tcPr>
          <w:p>
            <w:pPr>
              <w:ind w:left="60"/>
              <w:spacing w:after="0" w:line="189" w:lineRule="exact"/>
              <w:rPr>
                <w:sz w:val="20"/>
                <w:szCs w:val="20"/>
                <w:color w:val="auto"/>
              </w:rPr>
            </w:pPr>
            <w:r>
              <w:rPr>
                <w:rFonts w:ascii="Arial" w:cs="Arial" w:eastAsia="Arial" w:hAnsi="Arial"/>
                <w:sz w:val="17"/>
                <w:szCs w:val="17"/>
                <w:b w:val="1"/>
                <w:bCs w:val="1"/>
                <w:color w:val="auto"/>
              </w:rPr>
              <w:t>President — WM Healthcare Solutions</w:t>
            </w:r>
          </w:p>
        </w:tc>
        <w:tc>
          <w:tcPr>
            <w:tcW w:w="1220" w:type="dxa"/>
            <w:vAlign w:val="bottom"/>
            <w:tcBorders>
              <w:bottom w:val="single" w:sz="8" w:color="0C3D25"/>
            </w:tcBorders>
          </w:tcPr>
          <w:p>
            <w:pPr>
              <w:spacing w:after="0"/>
              <w:rPr>
                <w:sz w:val="16"/>
                <w:szCs w:val="16"/>
                <w:color w:val="auto"/>
              </w:rPr>
            </w:pPr>
          </w:p>
        </w:tc>
        <w:tc>
          <w:tcPr>
            <w:tcW w:w="1020" w:type="dxa"/>
            <w:vAlign w:val="bottom"/>
            <w:tcBorders>
              <w:bottom w:val="single" w:sz="8" w:color="0C3D25"/>
            </w:tcBorders>
          </w:tcPr>
          <w:p>
            <w:pPr>
              <w:spacing w:after="0"/>
              <w:rPr>
                <w:sz w:val="16"/>
                <w:szCs w:val="16"/>
                <w:color w:val="auto"/>
              </w:rPr>
            </w:pPr>
          </w:p>
        </w:tc>
        <w:tc>
          <w:tcPr>
            <w:tcW w:w="9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280" w:type="dxa"/>
            <w:vAlign w:val="bottom"/>
            <w:tcBorders>
              <w:bottom w:val="single" w:sz="8" w:color="0C3D25"/>
            </w:tcBorders>
          </w:tcPr>
          <w:p>
            <w:pPr>
              <w:spacing w:after="0"/>
              <w:rPr>
                <w:sz w:val="16"/>
                <w:szCs w:val="16"/>
                <w:color w:val="auto"/>
              </w:rPr>
            </w:pPr>
          </w:p>
        </w:tc>
        <w:tc>
          <w:tcPr>
            <w:tcW w:w="1000" w:type="dxa"/>
            <w:vAlign w:val="bottom"/>
            <w:tcBorders>
              <w:bottom w:val="single" w:sz="8" w:color="0C3D25"/>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708,885</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2,171,048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419,980</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696,681</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50,020</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4,046,614</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7"/>
                <w:szCs w:val="17"/>
                <w:color w:val="auto"/>
              </w:rPr>
              <w:t>2024</w:t>
            </w:r>
          </w:p>
        </w:tc>
        <w:tc>
          <w:tcPr>
            <w:tcW w:w="1220" w:type="dxa"/>
            <w:vAlign w:val="bottom"/>
            <w:tcBorders>
              <w:bottom w:val="single" w:sz="8" w:color="0C3D25"/>
            </w:tcBorders>
          </w:tcPr>
          <w:p>
            <w:pPr>
              <w:jc w:val="right"/>
              <w:ind w:right="116"/>
              <w:spacing w:after="0" w:line="180" w:lineRule="exact"/>
              <w:rPr>
                <w:sz w:val="20"/>
                <w:szCs w:val="20"/>
                <w:color w:val="auto"/>
              </w:rPr>
            </w:pPr>
            <w:r>
              <w:rPr>
                <w:rFonts w:ascii="Arial" w:cs="Arial" w:eastAsia="Arial" w:hAnsi="Arial"/>
                <w:sz w:val="17"/>
                <w:szCs w:val="17"/>
                <w:color w:val="auto"/>
              </w:rPr>
              <w:t>667,708</w:t>
            </w:r>
          </w:p>
        </w:tc>
        <w:tc>
          <w:tcPr>
            <w:tcW w:w="102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2,111,358</w:t>
            </w:r>
          </w:p>
        </w:tc>
        <w:tc>
          <w:tcPr>
            <w:tcW w:w="980" w:type="dxa"/>
            <w:vAlign w:val="bottom"/>
            <w:tcBorders>
              <w:bottom w:val="single" w:sz="8" w:color="0C3D25"/>
            </w:tcBorders>
          </w:tcPr>
          <w:p>
            <w:pPr>
              <w:jc w:val="right"/>
              <w:ind w:right="56"/>
              <w:spacing w:after="0" w:line="180" w:lineRule="exact"/>
              <w:rPr>
                <w:sz w:val="20"/>
                <w:szCs w:val="20"/>
                <w:color w:val="auto"/>
              </w:rPr>
            </w:pPr>
            <w:r>
              <w:rPr>
                <w:rFonts w:ascii="Arial" w:cs="Arial" w:eastAsia="Arial" w:hAnsi="Arial"/>
                <w:sz w:val="17"/>
                <w:szCs w:val="17"/>
                <w:color w:val="auto"/>
              </w:rPr>
              <w:t>399,986</w:t>
            </w:r>
          </w:p>
        </w:tc>
        <w:tc>
          <w:tcPr>
            <w:tcW w:w="1280" w:type="dxa"/>
            <w:vAlign w:val="bottom"/>
            <w:tcBorders>
              <w:bottom w:val="single" w:sz="8" w:color="0C3D25"/>
            </w:tcBorders>
          </w:tcPr>
          <w:p>
            <w:pPr>
              <w:jc w:val="right"/>
              <w:ind w:right="216"/>
              <w:spacing w:after="0" w:line="180" w:lineRule="exact"/>
              <w:rPr>
                <w:sz w:val="20"/>
                <w:szCs w:val="20"/>
                <w:color w:val="auto"/>
              </w:rPr>
            </w:pPr>
            <w:r>
              <w:rPr>
                <w:rFonts w:ascii="Arial" w:cs="Arial" w:eastAsia="Arial" w:hAnsi="Arial"/>
                <w:sz w:val="17"/>
                <w:szCs w:val="17"/>
                <w:color w:val="auto"/>
              </w:rPr>
              <w:t>925,683</w:t>
            </w:r>
          </w:p>
        </w:tc>
        <w:tc>
          <w:tcPr>
            <w:tcW w:w="1280" w:type="dxa"/>
            <w:vAlign w:val="bottom"/>
            <w:tcBorders>
              <w:bottom w:val="single" w:sz="8" w:color="0C3D25"/>
            </w:tcBorders>
          </w:tcPr>
          <w:p>
            <w:pPr>
              <w:jc w:val="right"/>
              <w:ind w:right="276"/>
              <w:spacing w:after="0" w:line="180" w:lineRule="exact"/>
              <w:rPr>
                <w:sz w:val="20"/>
                <w:szCs w:val="20"/>
                <w:color w:val="auto"/>
              </w:rPr>
            </w:pPr>
            <w:r>
              <w:rPr>
                <w:rFonts w:ascii="Arial" w:cs="Arial" w:eastAsia="Arial" w:hAnsi="Arial"/>
                <w:sz w:val="17"/>
                <w:szCs w:val="17"/>
                <w:color w:val="auto"/>
              </w:rPr>
              <w:t>40,158</w:t>
            </w:r>
          </w:p>
        </w:tc>
        <w:tc>
          <w:tcPr>
            <w:tcW w:w="1000" w:type="dxa"/>
            <w:vAlign w:val="bottom"/>
            <w:tcBorders>
              <w:bottom w:val="single" w:sz="8" w:color="0C3D25"/>
            </w:tcBorders>
          </w:tcPr>
          <w:p>
            <w:pPr>
              <w:jc w:val="right"/>
              <w:spacing w:after="0" w:line="180" w:lineRule="exact"/>
              <w:rPr>
                <w:sz w:val="20"/>
                <w:szCs w:val="20"/>
                <w:color w:val="auto"/>
              </w:rPr>
            </w:pPr>
            <w:r>
              <w:rPr>
                <w:rFonts w:ascii="Arial" w:cs="Arial" w:eastAsia="Arial" w:hAnsi="Arial"/>
                <w:sz w:val="17"/>
                <w:szCs w:val="17"/>
                <w:color w:val="auto"/>
              </w:rPr>
              <w:t>4,144,893</w:t>
            </w:r>
          </w:p>
        </w:tc>
        <w:tc>
          <w:tcPr>
            <w:tcW w:w="0" w:type="dxa"/>
            <w:vAlign w:val="bottom"/>
          </w:tcPr>
          <w:p>
            <w:pPr>
              <w:spacing w:after="0"/>
              <w:rPr>
                <w:sz w:val="1"/>
                <w:szCs w:val="1"/>
                <w:color w:val="auto"/>
              </w:rPr>
            </w:pPr>
          </w:p>
        </w:tc>
      </w:tr>
      <w:tr>
        <w:trPr>
          <w:trHeight w:val="188"/>
        </w:trPr>
        <w:tc>
          <w:tcPr>
            <w:tcW w:w="3280" w:type="dxa"/>
            <w:vAlign w:val="bottom"/>
          </w:tcPr>
          <w:p>
            <w:pPr>
              <w:ind w:left="60"/>
              <w:spacing w:after="0" w:line="189" w:lineRule="exact"/>
              <w:rPr>
                <w:sz w:val="20"/>
                <w:szCs w:val="20"/>
                <w:color w:val="auto"/>
              </w:rPr>
            </w:pPr>
            <w:r>
              <w:rPr>
                <w:rFonts w:ascii="Arial" w:cs="Arial" w:eastAsia="Arial" w:hAnsi="Arial"/>
                <w:sz w:val="17"/>
                <w:szCs w:val="17"/>
                <w:color w:val="auto"/>
              </w:rPr>
              <w:t>2023</w:t>
            </w:r>
          </w:p>
        </w:tc>
        <w:tc>
          <w:tcPr>
            <w:tcW w:w="12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633,592</w:t>
            </w:r>
          </w:p>
        </w:tc>
        <w:tc>
          <w:tcPr>
            <w:tcW w:w="1020" w:type="dxa"/>
            <w:vAlign w:val="bottom"/>
          </w:tcPr>
          <w:p>
            <w:pPr>
              <w:jc w:val="right"/>
              <w:ind w:right="56"/>
              <w:spacing w:after="0" w:line="189" w:lineRule="exact"/>
              <w:rPr>
                <w:sz w:val="20"/>
                <w:szCs w:val="20"/>
                <w:color w:val="auto"/>
              </w:rPr>
            </w:pPr>
            <w:r>
              <w:rPr>
                <w:rFonts w:ascii="Arial" w:cs="Arial" w:eastAsia="Arial" w:hAnsi="Arial"/>
                <w:sz w:val="17"/>
                <w:szCs w:val="17"/>
                <w:color w:val="auto"/>
              </w:rPr>
              <w:t>1,724,132</w:t>
            </w:r>
          </w:p>
        </w:tc>
        <w:tc>
          <w:tcPr>
            <w:tcW w:w="980" w:type="dxa"/>
            <w:vAlign w:val="bottom"/>
          </w:tcPr>
          <w:p>
            <w:pPr>
              <w:jc w:val="right"/>
              <w:ind w:right="56"/>
              <w:spacing w:after="0" w:line="189" w:lineRule="exact"/>
              <w:rPr>
                <w:sz w:val="20"/>
                <w:szCs w:val="20"/>
                <w:color w:val="auto"/>
              </w:rPr>
            </w:pPr>
            <w:r>
              <w:rPr>
                <w:rFonts w:ascii="Arial" w:cs="Arial" w:eastAsia="Arial" w:hAnsi="Arial"/>
                <w:sz w:val="17"/>
                <w:szCs w:val="17"/>
                <w:color w:val="auto"/>
              </w:rPr>
              <w:t>400,010</w:t>
            </w:r>
          </w:p>
        </w:tc>
        <w:tc>
          <w:tcPr>
            <w:tcW w:w="1280" w:type="dxa"/>
            <w:vAlign w:val="bottom"/>
          </w:tcPr>
          <w:p>
            <w:pPr>
              <w:jc w:val="right"/>
              <w:ind w:right="216"/>
              <w:spacing w:after="0" w:line="189" w:lineRule="exact"/>
              <w:rPr>
                <w:sz w:val="20"/>
                <w:szCs w:val="20"/>
                <w:color w:val="auto"/>
              </w:rPr>
            </w:pPr>
            <w:r>
              <w:rPr>
                <w:rFonts w:ascii="Arial" w:cs="Arial" w:eastAsia="Arial" w:hAnsi="Arial"/>
                <w:sz w:val="17"/>
                <w:szCs w:val="17"/>
                <w:color w:val="auto"/>
              </w:rPr>
              <w:t>686,538</w:t>
            </w:r>
          </w:p>
        </w:tc>
        <w:tc>
          <w:tcPr>
            <w:tcW w:w="1280" w:type="dxa"/>
            <w:vAlign w:val="bottom"/>
          </w:tcPr>
          <w:p>
            <w:pPr>
              <w:jc w:val="right"/>
              <w:ind w:right="276"/>
              <w:spacing w:after="0" w:line="189" w:lineRule="exact"/>
              <w:rPr>
                <w:sz w:val="20"/>
                <w:szCs w:val="20"/>
                <w:color w:val="auto"/>
              </w:rPr>
            </w:pPr>
            <w:r>
              <w:rPr>
                <w:rFonts w:ascii="Arial" w:cs="Arial" w:eastAsia="Arial" w:hAnsi="Arial"/>
                <w:sz w:val="17"/>
                <w:szCs w:val="17"/>
                <w:color w:val="auto"/>
              </w:rPr>
              <w:t>16,036</w:t>
            </w: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3,460,308</w:t>
            </w:r>
          </w:p>
        </w:tc>
        <w:tc>
          <w:tcPr>
            <w:tcW w:w="0" w:type="dxa"/>
            <w:vAlign w:val="bottom"/>
          </w:tcPr>
          <w:p>
            <w:pPr>
              <w:spacing w:after="0"/>
              <w:rPr>
                <w:sz w:val="1"/>
                <w:szCs w:val="1"/>
                <w:color w:val="auto"/>
              </w:rPr>
            </w:pPr>
          </w:p>
        </w:tc>
      </w:tr>
      <w:tr>
        <w:trPr>
          <w:trHeight w:val="36"/>
        </w:trPr>
        <w:tc>
          <w:tcPr>
            <w:tcW w:w="3280" w:type="dxa"/>
            <w:vAlign w:val="bottom"/>
            <w:tcBorders>
              <w:bottom w:val="single" w:sz="8" w:color="0C3D25"/>
            </w:tcBorders>
          </w:tcPr>
          <w:p>
            <w:pPr>
              <w:spacing w:after="0"/>
              <w:rPr>
                <w:sz w:val="3"/>
                <w:szCs w:val="3"/>
                <w:color w:val="auto"/>
              </w:rPr>
            </w:pPr>
          </w:p>
        </w:tc>
        <w:tc>
          <w:tcPr>
            <w:tcW w:w="1220" w:type="dxa"/>
            <w:vAlign w:val="bottom"/>
            <w:tcBorders>
              <w:bottom w:val="single" w:sz="8" w:color="0C3D25"/>
            </w:tcBorders>
          </w:tcPr>
          <w:p>
            <w:pPr>
              <w:spacing w:after="0"/>
              <w:rPr>
                <w:sz w:val="3"/>
                <w:szCs w:val="3"/>
                <w:color w:val="auto"/>
              </w:rPr>
            </w:pPr>
          </w:p>
        </w:tc>
        <w:tc>
          <w:tcPr>
            <w:tcW w:w="1020" w:type="dxa"/>
            <w:vAlign w:val="bottom"/>
            <w:tcBorders>
              <w:bottom w:val="single" w:sz="8" w:color="0C3D25"/>
            </w:tcBorders>
          </w:tcPr>
          <w:p>
            <w:pPr>
              <w:spacing w:after="0"/>
              <w:rPr>
                <w:sz w:val="3"/>
                <w:szCs w:val="3"/>
                <w:color w:val="auto"/>
              </w:rPr>
            </w:pPr>
          </w:p>
        </w:tc>
        <w:tc>
          <w:tcPr>
            <w:tcW w:w="980" w:type="dxa"/>
            <w:vAlign w:val="bottom"/>
            <w:tcBorders>
              <w:bottom w:val="single" w:sz="8" w:color="0C3D25"/>
            </w:tcBorders>
          </w:tcPr>
          <w:p>
            <w:pPr>
              <w:spacing w:after="0"/>
              <w:rPr>
                <w:sz w:val="3"/>
                <w:szCs w:val="3"/>
                <w:color w:val="auto"/>
              </w:rPr>
            </w:pPr>
          </w:p>
        </w:tc>
        <w:tc>
          <w:tcPr>
            <w:tcW w:w="1280" w:type="dxa"/>
            <w:vAlign w:val="bottom"/>
            <w:tcBorders>
              <w:bottom w:val="single" w:sz="8" w:color="0C3D25"/>
            </w:tcBorders>
          </w:tcPr>
          <w:p>
            <w:pPr>
              <w:spacing w:after="0"/>
              <w:rPr>
                <w:sz w:val="3"/>
                <w:szCs w:val="3"/>
                <w:color w:val="auto"/>
              </w:rPr>
            </w:pPr>
          </w:p>
        </w:tc>
        <w:tc>
          <w:tcPr>
            <w:tcW w:w="1280" w:type="dxa"/>
            <w:vAlign w:val="bottom"/>
            <w:tcBorders>
              <w:bottom w:val="single" w:sz="8" w:color="0C3D25"/>
            </w:tcBorders>
          </w:tcPr>
          <w:p>
            <w:pPr>
              <w:spacing w:after="0"/>
              <w:rPr>
                <w:sz w:val="3"/>
                <w:szCs w:val="3"/>
                <w:color w:val="auto"/>
              </w:rPr>
            </w:pPr>
          </w:p>
        </w:tc>
        <w:tc>
          <w:tcPr>
            <w:tcW w:w="100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402" w:hanging="402"/>
        <w:spacing w:after="0" w:line="263" w:lineRule="auto"/>
        <w:tabs>
          <w:tab w:leader="none" w:pos="402" w:val="left"/>
        </w:tabs>
        <w:numPr>
          <w:ilvl w:val="0"/>
          <w:numId w:val="27"/>
        </w:numPr>
        <w:rPr>
          <w:rFonts w:ascii="Arial" w:cs="Arial" w:eastAsia="Arial" w:hAnsi="Arial"/>
          <w:sz w:val="19"/>
          <w:szCs w:val="19"/>
          <w:color w:val="auto"/>
        </w:rPr>
      </w:pPr>
      <w:r>
        <w:rPr>
          <w:rFonts w:ascii="Arial" w:cs="Arial" w:eastAsia="Arial" w:hAnsi="Arial"/>
          <w:sz w:val="19"/>
          <w:szCs w:val="19"/>
          <w:color w:val="auto"/>
        </w:rPr>
        <w:t>Amounts in this column represent the grant date fair value of PSUs granted to all named executives annually and in 2025 includes 3,355 RSUs granted to Mr. Reed, 4,585 RSUs granted to Mr. Morris and 9,130 RSUs granted to Ms. Hemmer. The grant date fair values were calculated in accordance with ASC Topic 718, as further described in Note 14 in the Notes to the Consolidated Financial Statements in our 2025 Annual Report on Form 10-K. The grant date fair value of a TSR PSU granted in 2025, based on a multifactor Monte Carlo model, is $337.44, and because total shareholder return is a market condition, projected achievement is embedded in the grant date fair value. The grant date fair value of a Cash Flow PSU granted in 2025 is $231.20, and the grant date fair value of RSUs granted to Mr. Reed in each of February and November, Mr. Morris and Ms. Hemmer is $231.20, $196.73, $233.26 and $225.29, respectively, which, in each case, is the average of the high and low market price of our Common Stock on the date of the applicable grant, in accordance with our 2023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17"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4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7" w:name="page58"/>
    <w:bookmarkEnd w:id="57"/>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8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760" w:type="dxa"/>
            <w:vAlign w:val="bottom"/>
          </w:tcPr>
          <w:p>
            <w:pPr>
              <w:jc w:val="right"/>
              <w:ind w:right="29"/>
              <w:spacing w:after="0"/>
              <w:rPr>
                <w:sz w:val="20"/>
                <w:szCs w:val="20"/>
                <w:color w:val="auto"/>
              </w:rPr>
            </w:pPr>
            <w:r>
              <w:rPr>
                <w:rFonts w:ascii="Arial" w:cs="Arial" w:eastAsia="Arial" w:hAnsi="Arial"/>
                <w:sz w:val="16"/>
                <w:szCs w:val="16"/>
                <w:b w:val="1"/>
                <w:bCs w:val="1"/>
                <w:color w:val="0C3D25"/>
                <w:w w:val="97"/>
              </w:rPr>
              <w:t>Aggregate Grant Date</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C3D25"/>
                <w:w w:val="99"/>
              </w:rPr>
              <w:t>Aggregate Grant Date</w:t>
            </w:r>
          </w:p>
        </w:tc>
      </w:tr>
      <w:tr>
        <w:trPr>
          <w:trHeight w:val="160"/>
        </w:trPr>
        <w:tc>
          <w:tcPr>
            <w:tcW w:w="3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tcPr>
          <w:p>
            <w:pPr>
              <w:jc w:val="right"/>
              <w:ind w:right="9"/>
              <w:spacing w:after="0" w:line="160" w:lineRule="exact"/>
              <w:rPr>
                <w:sz w:val="20"/>
                <w:szCs w:val="20"/>
                <w:color w:val="auto"/>
              </w:rPr>
            </w:pPr>
            <w:r>
              <w:rPr>
                <w:rFonts w:ascii="Arial" w:cs="Arial" w:eastAsia="Arial" w:hAnsi="Arial"/>
                <w:sz w:val="16"/>
                <w:szCs w:val="16"/>
                <w:b w:val="1"/>
                <w:bCs w:val="1"/>
                <w:color w:val="0C3D25"/>
              </w:rPr>
              <w:t>Fair Value of Cash</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Fair Value of Cash</w:t>
            </w:r>
          </w:p>
        </w:tc>
      </w:tr>
      <w:tr>
        <w:trPr>
          <w:trHeight w:val="160"/>
        </w:trPr>
        <w:tc>
          <w:tcPr>
            <w:tcW w:w="3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tcPr>
          <w:p>
            <w:pPr>
              <w:jc w:val="right"/>
              <w:ind w:right="9"/>
              <w:spacing w:after="0" w:line="160" w:lineRule="exact"/>
              <w:rPr>
                <w:sz w:val="20"/>
                <w:szCs w:val="20"/>
                <w:color w:val="auto"/>
              </w:rPr>
            </w:pPr>
            <w:r>
              <w:rPr>
                <w:rFonts w:ascii="Arial" w:cs="Arial" w:eastAsia="Arial" w:hAnsi="Arial"/>
                <w:sz w:val="16"/>
                <w:szCs w:val="16"/>
                <w:b w:val="1"/>
                <w:bCs w:val="1"/>
                <w:color w:val="0C3D25"/>
              </w:rPr>
              <w:t>Flow PSUs</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Flow PSUs</w:t>
            </w:r>
          </w:p>
        </w:tc>
      </w:tr>
      <w:tr>
        <w:trPr>
          <w:trHeight w:val="160"/>
        </w:trPr>
        <w:tc>
          <w:tcPr>
            <w:tcW w:w="3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tcPr>
          <w:p>
            <w:pPr>
              <w:jc w:val="right"/>
              <w:ind w:right="9"/>
              <w:spacing w:after="0" w:line="160" w:lineRule="exact"/>
              <w:rPr>
                <w:sz w:val="20"/>
                <w:szCs w:val="20"/>
                <w:color w:val="auto"/>
              </w:rPr>
            </w:pPr>
            <w:r>
              <w:rPr>
                <w:rFonts w:ascii="Arial" w:cs="Arial" w:eastAsia="Arial" w:hAnsi="Arial"/>
                <w:sz w:val="16"/>
                <w:szCs w:val="16"/>
                <w:b w:val="1"/>
                <w:bCs w:val="1"/>
                <w:color w:val="0C3D25"/>
              </w:rPr>
              <w:t>Assuming Target</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Assuming Highest</w:t>
            </w:r>
          </w:p>
        </w:tc>
      </w:tr>
      <w:tr>
        <w:trPr>
          <w:trHeight w:val="160"/>
        </w:trPr>
        <w:tc>
          <w:tcPr>
            <w:tcW w:w="3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tcPr>
          <w:p>
            <w:pPr>
              <w:jc w:val="right"/>
              <w:ind w:right="9"/>
              <w:spacing w:after="0" w:line="160" w:lineRule="exact"/>
              <w:rPr>
                <w:sz w:val="20"/>
                <w:szCs w:val="20"/>
                <w:color w:val="auto"/>
              </w:rPr>
            </w:pPr>
            <w:r>
              <w:rPr>
                <w:rFonts w:ascii="Arial" w:cs="Arial" w:eastAsia="Arial" w:hAnsi="Arial"/>
                <w:sz w:val="16"/>
                <w:szCs w:val="16"/>
                <w:b w:val="1"/>
                <w:bCs w:val="1"/>
                <w:color w:val="0C3D25"/>
              </w:rPr>
              <w:t>Level of Performance</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Level of Performance</w:t>
            </w:r>
          </w:p>
        </w:tc>
      </w:tr>
      <w:tr>
        <w:trPr>
          <w:trHeight w:val="185"/>
        </w:trPr>
        <w:tc>
          <w:tcPr>
            <w:tcW w:w="3840" w:type="dxa"/>
            <w:vAlign w:val="bottom"/>
            <w:tcBorders>
              <w:bottom w:val="single" w:sz="8" w:color="0C3D25"/>
            </w:tcBorders>
          </w:tcPr>
          <w:p>
            <w:pPr>
              <w:spacing w:after="0"/>
              <w:rPr>
                <w:sz w:val="16"/>
                <w:szCs w:val="16"/>
                <w:color w:val="auto"/>
              </w:rPr>
            </w:pPr>
          </w:p>
        </w:tc>
        <w:tc>
          <w:tcPr>
            <w:tcW w:w="2740" w:type="dxa"/>
            <w:vAlign w:val="bottom"/>
            <w:tcBorders>
              <w:bottom w:val="single" w:sz="8" w:color="0C3D25"/>
            </w:tcBorders>
          </w:tcPr>
          <w:p>
            <w:pPr>
              <w:jc w:val="right"/>
              <w:ind w:right="26"/>
              <w:spacing w:after="0"/>
              <w:rPr>
                <w:sz w:val="20"/>
                <w:szCs w:val="20"/>
                <w:color w:val="auto"/>
              </w:rPr>
            </w:pPr>
            <w:r>
              <w:rPr>
                <w:rFonts w:ascii="Arial" w:cs="Arial" w:eastAsia="Arial" w:hAnsi="Arial"/>
                <w:sz w:val="16"/>
                <w:szCs w:val="16"/>
                <w:b w:val="1"/>
                <w:bCs w:val="1"/>
                <w:color w:val="0C3D25"/>
              </w:rPr>
              <w:t>Year</w:t>
            </w:r>
          </w:p>
        </w:tc>
        <w:tc>
          <w:tcPr>
            <w:tcW w:w="1760" w:type="dxa"/>
            <w:vAlign w:val="bottom"/>
            <w:tcBorders>
              <w:bottom w:val="single" w:sz="8" w:color="0C3D25"/>
            </w:tcBorders>
          </w:tcPr>
          <w:p>
            <w:pPr>
              <w:jc w:val="right"/>
              <w:ind w:right="9"/>
              <w:spacing w:after="0"/>
              <w:rPr>
                <w:sz w:val="20"/>
                <w:szCs w:val="20"/>
                <w:color w:val="auto"/>
              </w:rPr>
            </w:pPr>
            <w:r>
              <w:rPr>
                <w:rFonts w:ascii="Arial" w:cs="Arial" w:eastAsia="Arial" w:hAnsi="Arial"/>
                <w:sz w:val="16"/>
                <w:szCs w:val="16"/>
                <w:b w:val="1"/>
                <w:bCs w:val="1"/>
                <w:color w:val="0C3D25"/>
              </w:rPr>
              <w:t>Achieved ($)</w:t>
            </w:r>
          </w:p>
        </w:tc>
        <w:tc>
          <w:tcPr>
            <w:tcW w:w="172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Achieved ($)</w:t>
            </w:r>
          </w:p>
        </w:tc>
      </w:tr>
      <w:tr>
        <w:trPr>
          <w:trHeight w:val="191"/>
        </w:trPr>
        <w:tc>
          <w:tcPr>
            <w:tcW w:w="3840" w:type="dxa"/>
            <w:vAlign w:val="bottom"/>
            <w:tcBorders>
              <w:bottom w:val="single" w:sz="8" w:color="0C3D25"/>
            </w:tcBorders>
          </w:tcPr>
          <w:p>
            <w:pPr>
              <w:ind w:left="60"/>
              <w:spacing w:after="0" w:line="192" w:lineRule="exact"/>
              <w:rPr>
                <w:sz w:val="20"/>
                <w:szCs w:val="20"/>
                <w:color w:val="auto"/>
              </w:rPr>
            </w:pPr>
            <w:r>
              <w:rPr>
                <w:rFonts w:ascii="Arial" w:cs="Arial" w:eastAsia="Arial" w:hAnsi="Arial"/>
                <w:sz w:val="19"/>
                <w:szCs w:val="19"/>
                <w:b w:val="1"/>
                <w:bCs w:val="1"/>
                <w:color w:val="auto"/>
              </w:rPr>
              <w:t>James C. Fish, Jr.</w:t>
            </w:r>
          </w:p>
        </w:tc>
        <w:tc>
          <w:tcPr>
            <w:tcW w:w="2740" w:type="dxa"/>
            <w:vAlign w:val="bottom"/>
            <w:tcBorders>
              <w:bottom w:val="single" w:sz="8" w:color="0C3D25"/>
            </w:tcBorders>
          </w:tcPr>
          <w:p>
            <w:pPr>
              <w:jc w:val="right"/>
              <w:ind w:right="26"/>
              <w:spacing w:after="0" w:line="192"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92" w:lineRule="exact"/>
              <w:rPr>
                <w:sz w:val="20"/>
                <w:szCs w:val="20"/>
                <w:color w:val="auto"/>
              </w:rPr>
            </w:pPr>
            <w:r>
              <w:rPr>
                <w:rFonts w:ascii="Arial" w:cs="Arial" w:eastAsia="Arial" w:hAnsi="Arial"/>
                <w:sz w:val="19"/>
                <w:szCs w:val="19"/>
                <w:color w:val="auto"/>
              </w:rPr>
              <w:t>5,044,213</w:t>
            </w:r>
          </w:p>
        </w:tc>
        <w:tc>
          <w:tcPr>
            <w:tcW w:w="1720" w:type="dxa"/>
            <w:vAlign w:val="bottom"/>
            <w:tcBorders>
              <w:bottom w:val="single" w:sz="8" w:color="0C3D25"/>
            </w:tcBorders>
          </w:tcPr>
          <w:p>
            <w:pPr>
              <w:jc w:val="right"/>
              <w:ind w:right="289"/>
              <w:spacing w:after="0" w:line="192" w:lineRule="exact"/>
              <w:rPr>
                <w:sz w:val="20"/>
                <w:szCs w:val="20"/>
                <w:color w:val="auto"/>
              </w:rPr>
            </w:pPr>
            <w:r>
              <w:rPr>
                <w:rFonts w:ascii="Arial" w:cs="Arial" w:eastAsia="Arial" w:hAnsi="Arial"/>
                <w:sz w:val="19"/>
                <w:szCs w:val="19"/>
                <w:color w:val="auto"/>
              </w:rPr>
              <w:t>10,088,426</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2024</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4,116,260</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8,232,520</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2023</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3,851,651</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7,703,302</w:t>
            </w:r>
          </w:p>
        </w:tc>
      </w:tr>
      <w:tr>
        <w:trPr>
          <w:trHeight w:val="180"/>
        </w:trPr>
        <w:tc>
          <w:tcPr>
            <w:tcW w:w="384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David L. Reed</w:t>
            </w: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126,001</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252,002</w:t>
            </w:r>
          </w:p>
        </w:tc>
      </w:tr>
      <w:tr>
        <w:trPr>
          <w:trHeight w:val="180"/>
        </w:trPr>
        <w:tc>
          <w:tcPr>
            <w:tcW w:w="384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Devina A. Rankin</w:t>
            </w: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1,134,936</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2,269,872</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2024</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970,965</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1,941,930</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2023</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908,646</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1,817,292</w:t>
            </w:r>
          </w:p>
        </w:tc>
      </w:tr>
      <w:tr>
        <w:trPr>
          <w:trHeight w:val="180"/>
        </w:trPr>
        <w:tc>
          <w:tcPr>
            <w:tcW w:w="384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John J. Morris, Jr.</w:t>
            </w: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1,303,015</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2,606,030</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2024</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1,245,341</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2,490,682</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2023</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1,066,567</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2,133,134</w:t>
            </w:r>
          </w:p>
        </w:tc>
      </w:tr>
      <w:tr>
        <w:trPr>
          <w:trHeight w:val="180"/>
        </w:trPr>
        <w:tc>
          <w:tcPr>
            <w:tcW w:w="384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Tara J. Hemmer</w:t>
            </w: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882,703</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1,765,406</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2024</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844,424</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1,688,848</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2023</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711,095</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1,422,190</w:t>
            </w:r>
          </w:p>
        </w:tc>
      </w:tr>
      <w:tr>
        <w:trPr>
          <w:trHeight w:val="180"/>
        </w:trPr>
        <w:tc>
          <w:tcPr>
            <w:tcW w:w="384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Rafael E. Carrasco</w:t>
            </w: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2025</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882,703</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1,765,406</w:t>
            </w:r>
          </w:p>
        </w:tc>
      </w:tr>
      <w:tr>
        <w:trPr>
          <w:trHeight w:val="180"/>
        </w:trPr>
        <w:tc>
          <w:tcPr>
            <w:tcW w:w="3840" w:type="dxa"/>
            <w:vAlign w:val="bottom"/>
            <w:tcBorders>
              <w:bottom w:val="single" w:sz="8" w:color="0C3D25"/>
            </w:tcBorders>
          </w:tcPr>
          <w:p>
            <w:pPr>
              <w:spacing w:after="0"/>
              <w:rPr>
                <w:sz w:val="15"/>
                <w:szCs w:val="15"/>
                <w:color w:val="auto"/>
              </w:rPr>
            </w:pPr>
          </w:p>
        </w:tc>
        <w:tc>
          <w:tcPr>
            <w:tcW w:w="2740" w:type="dxa"/>
            <w:vAlign w:val="bottom"/>
            <w:tcBorders>
              <w:bottom w:val="single" w:sz="8" w:color="0C3D25"/>
            </w:tcBorders>
          </w:tcPr>
          <w:p>
            <w:pPr>
              <w:jc w:val="right"/>
              <w:ind w:right="26"/>
              <w:spacing w:after="0" w:line="180" w:lineRule="exact"/>
              <w:rPr>
                <w:sz w:val="20"/>
                <w:szCs w:val="20"/>
                <w:color w:val="auto"/>
              </w:rPr>
            </w:pPr>
            <w:r>
              <w:rPr>
                <w:rFonts w:ascii="Arial" w:cs="Arial" w:eastAsia="Arial" w:hAnsi="Arial"/>
                <w:sz w:val="19"/>
                <w:szCs w:val="19"/>
                <w:color w:val="auto"/>
              </w:rPr>
              <w:t>2024</w:t>
            </w:r>
          </w:p>
        </w:tc>
        <w:tc>
          <w:tcPr>
            <w:tcW w:w="1760" w:type="dxa"/>
            <w:vAlign w:val="bottom"/>
            <w:tcBorders>
              <w:bottom w:val="single" w:sz="8" w:color="0C3D25"/>
            </w:tcBorders>
          </w:tcPr>
          <w:p>
            <w:pPr>
              <w:jc w:val="right"/>
              <w:ind w:right="389"/>
              <w:spacing w:after="0" w:line="180" w:lineRule="exact"/>
              <w:rPr>
                <w:sz w:val="20"/>
                <w:szCs w:val="20"/>
                <w:color w:val="auto"/>
              </w:rPr>
            </w:pPr>
            <w:r>
              <w:rPr>
                <w:rFonts w:ascii="Arial" w:cs="Arial" w:eastAsia="Arial" w:hAnsi="Arial"/>
                <w:sz w:val="19"/>
                <w:szCs w:val="19"/>
                <w:color w:val="auto"/>
              </w:rPr>
              <w:t>844,424</w:t>
            </w:r>
          </w:p>
        </w:tc>
        <w:tc>
          <w:tcPr>
            <w:tcW w:w="1720" w:type="dxa"/>
            <w:vAlign w:val="bottom"/>
            <w:tcBorders>
              <w:bottom w:val="single" w:sz="8" w:color="0C3D25"/>
            </w:tcBorders>
          </w:tcPr>
          <w:p>
            <w:pPr>
              <w:jc w:val="right"/>
              <w:ind w:right="289"/>
              <w:spacing w:after="0" w:line="180" w:lineRule="exact"/>
              <w:rPr>
                <w:sz w:val="20"/>
                <w:szCs w:val="20"/>
                <w:color w:val="auto"/>
              </w:rPr>
            </w:pPr>
            <w:r>
              <w:rPr>
                <w:rFonts w:ascii="Arial" w:cs="Arial" w:eastAsia="Arial" w:hAnsi="Arial"/>
                <w:sz w:val="19"/>
                <w:szCs w:val="19"/>
                <w:color w:val="auto"/>
              </w:rPr>
              <w:t>1,688,848</w:t>
            </w:r>
          </w:p>
        </w:tc>
      </w:tr>
      <w:tr>
        <w:trPr>
          <w:trHeight w:val="208"/>
        </w:trPr>
        <w:tc>
          <w:tcPr>
            <w:tcW w:w="3840" w:type="dxa"/>
            <w:vAlign w:val="bottom"/>
          </w:tcPr>
          <w:p>
            <w:pPr>
              <w:spacing w:after="0"/>
              <w:rPr>
                <w:sz w:val="18"/>
                <w:szCs w:val="18"/>
                <w:color w:val="auto"/>
              </w:rPr>
            </w:pPr>
          </w:p>
        </w:tc>
        <w:tc>
          <w:tcPr>
            <w:tcW w:w="2740" w:type="dxa"/>
            <w:vAlign w:val="bottom"/>
          </w:tcPr>
          <w:p>
            <w:pPr>
              <w:jc w:val="right"/>
              <w:ind w:right="26"/>
              <w:spacing w:after="0" w:line="208" w:lineRule="exact"/>
              <w:rPr>
                <w:sz w:val="20"/>
                <w:szCs w:val="20"/>
                <w:color w:val="auto"/>
              </w:rPr>
            </w:pPr>
            <w:r>
              <w:rPr>
                <w:rFonts w:ascii="Arial" w:cs="Arial" w:eastAsia="Arial" w:hAnsi="Arial"/>
                <w:sz w:val="19"/>
                <w:szCs w:val="19"/>
                <w:color w:val="auto"/>
              </w:rPr>
              <w:t>2023</w:t>
            </w:r>
          </w:p>
        </w:tc>
        <w:tc>
          <w:tcPr>
            <w:tcW w:w="1760" w:type="dxa"/>
            <w:vAlign w:val="bottom"/>
          </w:tcPr>
          <w:p>
            <w:pPr>
              <w:jc w:val="right"/>
              <w:ind w:right="389"/>
              <w:spacing w:after="0" w:line="208" w:lineRule="exact"/>
              <w:rPr>
                <w:sz w:val="20"/>
                <w:szCs w:val="20"/>
                <w:color w:val="auto"/>
              </w:rPr>
            </w:pPr>
            <w:r>
              <w:rPr>
                <w:rFonts w:ascii="Arial" w:cs="Arial" w:eastAsia="Arial" w:hAnsi="Arial"/>
                <w:sz w:val="19"/>
                <w:szCs w:val="19"/>
                <w:color w:val="auto"/>
              </w:rPr>
              <w:t>790,055</w:t>
            </w:r>
          </w:p>
        </w:tc>
        <w:tc>
          <w:tcPr>
            <w:tcW w:w="1720" w:type="dxa"/>
            <w:vAlign w:val="bottom"/>
          </w:tcPr>
          <w:p>
            <w:pPr>
              <w:jc w:val="right"/>
              <w:ind w:right="289"/>
              <w:spacing w:after="0" w:line="208" w:lineRule="exact"/>
              <w:rPr>
                <w:sz w:val="20"/>
                <w:szCs w:val="20"/>
                <w:color w:val="auto"/>
              </w:rPr>
            </w:pPr>
            <w:r>
              <w:rPr>
                <w:rFonts w:ascii="Arial" w:cs="Arial" w:eastAsia="Arial" w:hAnsi="Arial"/>
                <w:sz w:val="19"/>
                <w:szCs w:val="19"/>
                <w:color w:val="auto"/>
              </w:rPr>
              <w:t>1,580,110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638619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502.85pt,1.2pt" o:allowincell="f" strokecolor="#0C3D25" strokeweight="0.7969pt"/>
            </w:pict>
          </mc:Fallback>
        </mc:AlternateContent>
      </w:r>
    </w:p>
    <w:p>
      <w:pPr>
        <w:spacing w:after="0" w:line="14" w:lineRule="exact"/>
        <w:rPr>
          <w:sz w:val="20"/>
          <w:szCs w:val="20"/>
          <w:color w:val="auto"/>
        </w:rPr>
      </w:pPr>
    </w:p>
    <w:p>
      <w:pPr>
        <w:jc w:val="both"/>
        <w:ind w:left="402" w:hanging="402"/>
        <w:spacing w:after="0" w:line="251"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options granted annually, in accordance with ASC Topic 718. The grant date fair value of the options granted in 2025, calculated using a Black-Scholes option pricing model, is $47.45 per option. See Note 14 in the Notes to the Consolidated Financial Statements in our 2025 Annual Report on Form 10-K for additional information.</w:t>
      </w:r>
    </w:p>
    <w:p>
      <w:pPr>
        <w:spacing w:after="0" w:line="43" w:lineRule="exact"/>
        <w:rPr>
          <w:rFonts w:ascii="Arial" w:cs="Arial" w:eastAsia="Arial" w:hAnsi="Arial"/>
          <w:sz w:val="20"/>
          <w:szCs w:val="20"/>
          <w:color w:val="auto"/>
        </w:rPr>
      </w:pPr>
    </w:p>
    <w:p>
      <w:pPr>
        <w:jc w:val="both"/>
        <w:ind w:left="402" w:hanging="402"/>
        <w:spacing w:after="0" w:line="251" w:lineRule="auto"/>
        <w:tabs>
          <w:tab w:leader="none" w:pos="4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Amounts in this column represent cash incentive awards earned and paid based on the achievement of performance criteria. See “Compensation Discussion and Analysis — Named Executive’s 2025 Compensation Program and Results — Annual Cash Incentive” for additional information.</w:t>
      </w:r>
    </w:p>
    <w:p>
      <w:pPr>
        <w:spacing w:after="0" w:line="42" w:lineRule="exact"/>
        <w:rPr>
          <w:rFonts w:ascii="Arial" w:cs="Arial" w:eastAsia="Arial" w:hAnsi="Arial"/>
          <w:sz w:val="20"/>
          <w:szCs w:val="20"/>
          <w:color w:val="auto"/>
        </w:rPr>
      </w:pPr>
    </w:p>
    <w:p>
      <w:pPr>
        <w:ind w:left="402" w:hanging="402"/>
        <w:spacing w:after="0"/>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amounts included in “All Other Compensation” for 2025 are shown below (in dollars):</w:t>
      </w:r>
    </w:p>
    <w:p>
      <w:pPr>
        <w:spacing w:after="0" w:line="41"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080" w:type="dxa"/>
            <w:vAlign w:val="bottom"/>
          </w:tcPr>
          <w:p>
            <w:pPr>
              <w:jc w:val="right"/>
              <w:ind w:right="30"/>
              <w:spacing w:after="0"/>
              <w:rPr>
                <w:sz w:val="20"/>
                <w:szCs w:val="20"/>
                <w:color w:val="auto"/>
              </w:rPr>
            </w:pPr>
            <w:r>
              <w:rPr>
                <w:rFonts w:ascii="Arial" w:cs="Arial" w:eastAsia="Arial" w:hAnsi="Arial"/>
                <w:sz w:val="16"/>
                <w:szCs w:val="16"/>
                <w:b w:val="1"/>
                <w:bCs w:val="1"/>
                <w:color w:val="0C3D25"/>
              </w:rPr>
              <w:t>401(k) Plan</w:t>
            </w:r>
          </w:p>
        </w:tc>
        <w:tc>
          <w:tcPr>
            <w:tcW w:w="1240" w:type="dxa"/>
            <w:vAlign w:val="bottom"/>
          </w:tcPr>
          <w:p>
            <w:pPr>
              <w:jc w:val="right"/>
              <w:ind w:right="30"/>
              <w:spacing w:after="0"/>
              <w:rPr>
                <w:sz w:val="20"/>
                <w:szCs w:val="20"/>
                <w:color w:val="auto"/>
              </w:rPr>
            </w:pPr>
            <w:r>
              <w:rPr>
                <w:rFonts w:ascii="Arial" w:cs="Arial" w:eastAsia="Arial" w:hAnsi="Arial"/>
                <w:sz w:val="16"/>
                <w:szCs w:val="16"/>
                <w:b w:val="1"/>
                <w:bCs w:val="1"/>
                <w:color w:val="0C3D25"/>
              </w:rPr>
              <w:t>409A Deferral</w:t>
            </w:r>
          </w:p>
        </w:tc>
        <w:tc>
          <w:tcPr>
            <w:tcW w:w="1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0C3D25"/>
              </w:rPr>
              <w:t>Perquisites and</w:t>
            </w:r>
          </w:p>
        </w:tc>
      </w:tr>
      <w:tr>
        <w:trPr>
          <w:trHeight w:val="150"/>
        </w:trPr>
        <w:tc>
          <w:tcPr>
            <w:tcW w:w="2600" w:type="dxa"/>
            <w:vAlign w:val="bottom"/>
          </w:tcPr>
          <w:p>
            <w:pPr>
              <w:spacing w:after="0"/>
              <w:rPr>
                <w:sz w:val="13"/>
                <w:szCs w:val="13"/>
                <w:color w:val="auto"/>
              </w:rPr>
            </w:pPr>
          </w:p>
        </w:tc>
        <w:tc>
          <w:tcPr>
            <w:tcW w:w="208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C3D25"/>
              </w:rPr>
              <w:t>Matching</w:t>
            </w:r>
          </w:p>
        </w:tc>
        <w:tc>
          <w:tcPr>
            <w:tcW w:w="124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C3D25"/>
              </w:rPr>
              <w:t>Plan Matching</w:t>
            </w:r>
          </w:p>
        </w:tc>
        <w:tc>
          <w:tcPr>
            <w:tcW w:w="1260" w:type="dxa"/>
            <w:vAlign w:val="bottom"/>
          </w:tcPr>
          <w:p>
            <w:pPr>
              <w:jc w:val="right"/>
              <w:ind w:right="29"/>
              <w:spacing w:after="0" w:line="150" w:lineRule="exact"/>
              <w:rPr>
                <w:sz w:val="20"/>
                <w:szCs w:val="20"/>
                <w:color w:val="auto"/>
              </w:rPr>
            </w:pPr>
            <w:r>
              <w:rPr>
                <w:rFonts w:ascii="Arial" w:cs="Arial" w:eastAsia="Arial" w:hAnsi="Arial"/>
                <w:sz w:val="16"/>
                <w:szCs w:val="16"/>
                <w:b w:val="1"/>
                <w:bCs w:val="1"/>
                <w:color w:val="0C3D25"/>
              </w:rPr>
              <w:t>Life Insurance</w:t>
            </w:r>
          </w:p>
        </w:tc>
        <w:tc>
          <w:tcPr>
            <w:tcW w:w="1280" w:type="dxa"/>
            <w:vAlign w:val="bottom"/>
          </w:tcPr>
          <w:p>
            <w:pPr>
              <w:jc w:val="right"/>
              <w:spacing w:after="0" w:line="150" w:lineRule="exact"/>
              <w:rPr>
                <w:sz w:val="20"/>
                <w:szCs w:val="20"/>
                <w:color w:val="auto"/>
              </w:rPr>
            </w:pPr>
            <w:r>
              <w:rPr>
                <w:rFonts w:ascii="Arial" w:cs="Arial" w:eastAsia="Arial" w:hAnsi="Arial"/>
                <w:sz w:val="16"/>
                <w:szCs w:val="16"/>
                <w:b w:val="1"/>
                <w:bCs w:val="1"/>
                <w:color w:val="0C3D25"/>
              </w:rPr>
              <w:t>Other Personal</w:t>
            </w:r>
          </w:p>
        </w:tc>
      </w:tr>
      <w:tr>
        <w:trPr>
          <w:trHeight w:val="196"/>
        </w:trPr>
        <w:tc>
          <w:tcPr>
            <w:tcW w:w="2600" w:type="dxa"/>
            <w:vAlign w:val="bottom"/>
            <w:tcBorders>
              <w:bottom w:val="single" w:sz="8" w:color="0C3D25"/>
            </w:tcBorders>
          </w:tcPr>
          <w:p>
            <w:pPr>
              <w:spacing w:after="0"/>
              <w:rPr>
                <w:sz w:val="17"/>
                <w:szCs w:val="17"/>
                <w:color w:val="auto"/>
              </w:rPr>
            </w:pPr>
          </w:p>
        </w:tc>
        <w:tc>
          <w:tcPr>
            <w:tcW w:w="2080" w:type="dxa"/>
            <w:vAlign w:val="bottom"/>
            <w:tcBorders>
              <w:bottom w:val="single" w:sz="8" w:color="0C3D25"/>
            </w:tcBorders>
          </w:tcPr>
          <w:p>
            <w:pPr>
              <w:jc w:val="center"/>
              <w:ind w:left="810"/>
              <w:spacing w:after="0"/>
              <w:rPr>
                <w:sz w:val="20"/>
                <w:szCs w:val="20"/>
                <w:color w:val="auto"/>
              </w:rPr>
            </w:pPr>
            <w:r>
              <w:rPr>
                <w:rFonts w:ascii="Arial" w:cs="Arial" w:eastAsia="Arial" w:hAnsi="Arial"/>
                <w:sz w:val="16"/>
                <w:szCs w:val="16"/>
                <w:b w:val="1"/>
                <w:bCs w:val="1"/>
                <w:color w:val="0C3D25"/>
                <w:w w:val="89"/>
              </w:rPr>
              <w:t>Contributions</w:t>
            </w:r>
          </w:p>
        </w:tc>
        <w:tc>
          <w:tcPr>
            <w:tcW w:w="1240" w:type="dxa"/>
            <w:vAlign w:val="bottom"/>
            <w:tcBorders>
              <w:bottom w:val="single" w:sz="8" w:color="0C3D25"/>
            </w:tcBorders>
          </w:tcPr>
          <w:p>
            <w:pPr>
              <w:jc w:val="right"/>
              <w:ind w:right="30"/>
              <w:spacing w:after="0"/>
              <w:rPr>
                <w:sz w:val="20"/>
                <w:szCs w:val="20"/>
                <w:color w:val="auto"/>
              </w:rPr>
            </w:pPr>
            <w:r>
              <w:rPr>
                <w:rFonts w:ascii="Arial" w:cs="Arial" w:eastAsia="Arial" w:hAnsi="Arial"/>
                <w:sz w:val="16"/>
                <w:szCs w:val="16"/>
                <w:b w:val="1"/>
                <w:bCs w:val="1"/>
                <w:color w:val="0C3D25"/>
              </w:rPr>
              <w:t>Contributions</w:t>
            </w:r>
          </w:p>
        </w:tc>
        <w:tc>
          <w:tcPr>
            <w:tcW w:w="1260" w:type="dxa"/>
            <w:vAlign w:val="bottom"/>
            <w:tcBorders>
              <w:bottom w:val="single" w:sz="8" w:color="0C3D25"/>
            </w:tcBorders>
          </w:tcPr>
          <w:p>
            <w:pPr>
              <w:jc w:val="right"/>
              <w:ind w:right="29"/>
              <w:spacing w:after="0"/>
              <w:rPr>
                <w:sz w:val="20"/>
                <w:szCs w:val="20"/>
                <w:color w:val="auto"/>
              </w:rPr>
            </w:pPr>
            <w:r>
              <w:rPr>
                <w:rFonts w:ascii="Arial" w:cs="Arial" w:eastAsia="Arial" w:hAnsi="Arial"/>
                <w:sz w:val="16"/>
                <w:szCs w:val="16"/>
                <w:b w:val="1"/>
                <w:bCs w:val="1"/>
                <w:color w:val="0C3D25"/>
              </w:rPr>
              <w:t>Premiums</w:t>
            </w:r>
          </w:p>
        </w:tc>
        <w:tc>
          <w:tcPr>
            <w:tcW w:w="1280" w:type="dxa"/>
            <w:vAlign w:val="bottom"/>
            <w:tcBorders>
              <w:bottom w:val="single" w:sz="8" w:color="0C3D25"/>
            </w:tcBorders>
          </w:tcPr>
          <w:p>
            <w:pPr>
              <w:jc w:val="right"/>
              <w:spacing w:after="0" w:line="195" w:lineRule="exact"/>
              <w:rPr>
                <w:sz w:val="20"/>
                <w:szCs w:val="20"/>
                <w:color w:val="auto"/>
              </w:rPr>
            </w:pPr>
            <w:r>
              <w:rPr>
                <w:rFonts w:ascii="Arial" w:cs="Arial" w:eastAsia="Arial" w:hAnsi="Arial"/>
                <w:sz w:val="16"/>
                <w:szCs w:val="16"/>
                <w:b w:val="1"/>
                <w:bCs w:val="1"/>
                <w:color w:val="0C3D25"/>
              </w:rPr>
              <w:t>Benefits</w:t>
            </w:r>
            <w:r>
              <w:rPr>
                <w:rFonts w:ascii="Arial" w:cs="Arial" w:eastAsia="Arial" w:hAnsi="Arial"/>
                <w:sz w:val="19"/>
                <w:szCs w:val="19"/>
                <w:b w:val="1"/>
                <w:bCs w:val="1"/>
                <w:color w:val="0C3D25"/>
                <w:vertAlign w:val="superscript"/>
              </w:rPr>
              <w:t>(a)</w:t>
            </w:r>
          </w:p>
        </w:tc>
      </w:tr>
      <w:tr>
        <w:trPr>
          <w:trHeight w:val="191"/>
        </w:trPr>
        <w:tc>
          <w:tcPr>
            <w:tcW w:w="2600" w:type="dxa"/>
            <w:vAlign w:val="bottom"/>
            <w:tcBorders>
              <w:bottom w:val="single" w:sz="8" w:color="0C3D25"/>
            </w:tcBorders>
          </w:tcPr>
          <w:p>
            <w:pPr>
              <w:ind w:left="60"/>
              <w:spacing w:after="0" w:line="191" w:lineRule="exact"/>
              <w:rPr>
                <w:sz w:val="20"/>
                <w:szCs w:val="20"/>
                <w:color w:val="auto"/>
              </w:rPr>
            </w:pPr>
            <w:r>
              <w:rPr>
                <w:rFonts w:ascii="Arial" w:cs="Arial" w:eastAsia="Arial" w:hAnsi="Arial"/>
                <w:sz w:val="19"/>
                <w:szCs w:val="19"/>
                <w:b w:val="1"/>
                <w:bCs w:val="1"/>
                <w:color w:val="auto"/>
              </w:rPr>
              <w:t>James C. Fish, Jr.</w:t>
            </w:r>
          </w:p>
        </w:tc>
        <w:tc>
          <w:tcPr>
            <w:tcW w:w="2080" w:type="dxa"/>
            <w:vAlign w:val="bottom"/>
            <w:tcBorders>
              <w:bottom w:val="single" w:sz="8" w:color="0C3D25"/>
            </w:tcBorders>
          </w:tcPr>
          <w:p>
            <w:pPr>
              <w:jc w:val="center"/>
              <w:ind w:left="810"/>
              <w:spacing w:after="0" w:line="191" w:lineRule="exact"/>
              <w:rPr>
                <w:sz w:val="20"/>
                <w:szCs w:val="20"/>
                <w:color w:val="auto"/>
              </w:rPr>
            </w:pPr>
            <w:r>
              <w:rPr>
                <w:rFonts w:ascii="Arial" w:cs="Arial" w:eastAsia="Arial" w:hAnsi="Arial"/>
                <w:sz w:val="19"/>
                <w:szCs w:val="19"/>
                <w:color w:val="auto"/>
                <w:w w:val="92"/>
              </w:rPr>
              <w:t>15,750</w:t>
            </w:r>
          </w:p>
        </w:tc>
        <w:tc>
          <w:tcPr>
            <w:tcW w:w="1240" w:type="dxa"/>
            <w:vAlign w:val="bottom"/>
            <w:tcBorders>
              <w:bottom w:val="single" w:sz="8" w:color="0C3D25"/>
            </w:tcBorders>
          </w:tcPr>
          <w:p>
            <w:pPr>
              <w:jc w:val="right"/>
              <w:ind w:right="210"/>
              <w:spacing w:after="0" w:line="191" w:lineRule="exact"/>
              <w:rPr>
                <w:sz w:val="20"/>
                <w:szCs w:val="20"/>
                <w:color w:val="auto"/>
              </w:rPr>
            </w:pPr>
            <w:r>
              <w:rPr>
                <w:rFonts w:ascii="Arial" w:cs="Arial" w:eastAsia="Arial" w:hAnsi="Arial"/>
                <w:sz w:val="19"/>
                <w:szCs w:val="19"/>
                <w:color w:val="auto"/>
              </w:rPr>
              <w:t>189,748</w:t>
            </w:r>
          </w:p>
        </w:tc>
        <w:tc>
          <w:tcPr>
            <w:tcW w:w="1260" w:type="dxa"/>
            <w:vAlign w:val="bottom"/>
            <w:tcBorders>
              <w:bottom w:val="single" w:sz="8" w:color="0C3D25"/>
            </w:tcBorders>
          </w:tcPr>
          <w:p>
            <w:pPr>
              <w:jc w:val="right"/>
              <w:ind w:right="309"/>
              <w:spacing w:after="0" w:line="191" w:lineRule="exact"/>
              <w:rPr>
                <w:sz w:val="20"/>
                <w:szCs w:val="20"/>
                <w:color w:val="auto"/>
              </w:rPr>
            </w:pPr>
            <w:r>
              <w:rPr>
                <w:rFonts w:ascii="Arial" w:cs="Arial" w:eastAsia="Arial" w:hAnsi="Arial"/>
                <w:sz w:val="19"/>
                <w:szCs w:val="19"/>
                <w:color w:val="auto"/>
              </w:rPr>
              <w:t>2,715</w:t>
            </w:r>
          </w:p>
        </w:tc>
        <w:tc>
          <w:tcPr>
            <w:tcW w:w="1280" w:type="dxa"/>
            <w:vAlign w:val="bottom"/>
            <w:tcBorders>
              <w:bottom w:val="single" w:sz="8" w:color="0C3D25"/>
            </w:tcBorders>
          </w:tcPr>
          <w:p>
            <w:pPr>
              <w:jc w:val="right"/>
              <w:ind w:right="250"/>
              <w:spacing w:after="0" w:line="191" w:lineRule="exact"/>
              <w:rPr>
                <w:sz w:val="20"/>
                <w:szCs w:val="20"/>
                <w:color w:val="auto"/>
              </w:rPr>
            </w:pPr>
            <w:r>
              <w:rPr>
                <w:rFonts w:ascii="Arial" w:cs="Arial" w:eastAsia="Arial" w:hAnsi="Arial"/>
                <w:sz w:val="19"/>
                <w:szCs w:val="19"/>
                <w:color w:val="auto"/>
              </w:rPr>
              <w:t>75,056</w:t>
            </w:r>
          </w:p>
        </w:tc>
      </w:tr>
      <w:tr>
        <w:trPr>
          <w:trHeight w:val="180"/>
        </w:trPr>
        <w:tc>
          <w:tcPr>
            <w:tcW w:w="260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David L. Reed</w:t>
            </w:r>
          </w:p>
        </w:tc>
        <w:tc>
          <w:tcPr>
            <w:tcW w:w="2080" w:type="dxa"/>
            <w:vAlign w:val="bottom"/>
            <w:tcBorders>
              <w:bottom w:val="single" w:sz="8" w:color="0C3D25"/>
            </w:tcBorders>
          </w:tcPr>
          <w:p>
            <w:pPr>
              <w:jc w:val="center"/>
              <w:ind w:left="810"/>
              <w:spacing w:after="0" w:line="180" w:lineRule="exact"/>
              <w:rPr>
                <w:sz w:val="20"/>
                <w:szCs w:val="20"/>
                <w:color w:val="auto"/>
              </w:rPr>
            </w:pPr>
            <w:r>
              <w:rPr>
                <w:rFonts w:ascii="Arial" w:cs="Arial" w:eastAsia="Arial" w:hAnsi="Arial"/>
                <w:sz w:val="19"/>
                <w:szCs w:val="19"/>
                <w:color w:val="auto"/>
                <w:w w:val="92"/>
              </w:rPr>
              <w:t>15,750</w:t>
            </w:r>
          </w:p>
        </w:tc>
        <w:tc>
          <w:tcPr>
            <w:tcW w:w="1240" w:type="dxa"/>
            <w:vAlign w:val="bottom"/>
            <w:tcBorders>
              <w:bottom w:val="single" w:sz="8" w:color="0C3D25"/>
            </w:tcBorders>
          </w:tcPr>
          <w:p>
            <w:pPr>
              <w:jc w:val="right"/>
              <w:ind w:right="210"/>
              <w:spacing w:after="0" w:line="180" w:lineRule="exact"/>
              <w:rPr>
                <w:sz w:val="20"/>
                <w:szCs w:val="20"/>
                <w:color w:val="auto"/>
              </w:rPr>
            </w:pPr>
            <w:r>
              <w:rPr>
                <w:rFonts w:ascii="Arial" w:cs="Arial" w:eastAsia="Arial" w:hAnsi="Arial"/>
                <w:sz w:val="19"/>
                <w:szCs w:val="19"/>
                <w:color w:val="auto"/>
              </w:rPr>
              <w:t>21,332</w:t>
            </w:r>
          </w:p>
        </w:tc>
        <w:tc>
          <w:tcPr>
            <w:tcW w:w="1260" w:type="dxa"/>
            <w:vAlign w:val="bottom"/>
            <w:tcBorders>
              <w:bottom w:val="single" w:sz="8" w:color="0C3D25"/>
            </w:tcBorders>
          </w:tcPr>
          <w:p>
            <w:pPr>
              <w:jc w:val="right"/>
              <w:ind w:right="309"/>
              <w:spacing w:after="0" w:line="180" w:lineRule="exact"/>
              <w:rPr>
                <w:sz w:val="20"/>
                <w:szCs w:val="20"/>
                <w:color w:val="auto"/>
              </w:rPr>
            </w:pPr>
            <w:r>
              <w:rPr>
                <w:rFonts w:ascii="Arial" w:cs="Arial" w:eastAsia="Arial" w:hAnsi="Arial"/>
                <w:sz w:val="19"/>
                <w:szCs w:val="19"/>
                <w:color w:val="auto"/>
              </w:rPr>
              <w:t>844</w:t>
            </w:r>
          </w:p>
        </w:tc>
        <w:tc>
          <w:tcPr>
            <w:tcW w:w="1280" w:type="dxa"/>
            <w:vAlign w:val="bottom"/>
            <w:tcBorders>
              <w:bottom w:val="single" w:sz="8" w:color="0C3D25"/>
            </w:tcBorders>
          </w:tcPr>
          <w:p>
            <w:pPr>
              <w:jc w:val="right"/>
              <w:ind w:right="250"/>
              <w:spacing w:after="0" w:line="180" w:lineRule="exact"/>
              <w:rPr>
                <w:sz w:val="20"/>
                <w:szCs w:val="20"/>
                <w:color w:val="auto"/>
              </w:rPr>
            </w:pPr>
            <w:r>
              <w:rPr>
                <w:rFonts w:ascii="Arial" w:cs="Arial" w:eastAsia="Arial" w:hAnsi="Arial"/>
                <w:sz w:val="19"/>
                <w:szCs w:val="19"/>
                <w:color w:val="auto"/>
              </w:rPr>
              <w:t>—</w:t>
            </w:r>
          </w:p>
        </w:tc>
      </w:tr>
      <w:tr>
        <w:trPr>
          <w:trHeight w:val="180"/>
        </w:trPr>
        <w:tc>
          <w:tcPr>
            <w:tcW w:w="260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Devina A. Rankin</w:t>
            </w:r>
          </w:p>
        </w:tc>
        <w:tc>
          <w:tcPr>
            <w:tcW w:w="2080" w:type="dxa"/>
            <w:vAlign w:val="bottom"/>
            <w:tcBorders>
              <w:bottom w:val="single" w:sz="8" w:color="0C3D25"/>
            </w:tcBorders>
          </w:tcPr>
          <w:p>
            <w:pPr>
              <w:jc w:val="center"/>
              <w:ind w:left="810"/>
              <w:spacing w:after="0" w:line="180" w:lineRule="exact"/>
              <w:rPr>
                <w:sz w:val="20"/>
                <w:szCs w:val="20"/>
                <w:color w:val="auto"/>
              </w:rPr>
            </w:pPr>
            <w:r>
              <w:rPr>
                <w:rFonts w:ascii="Arial" w:cs="Arial" w:eastAsia="Arial" w:hAnsi="Arial"/>
                <w:sz w:val="19"/>
                <w:szCs w:val="19"/>
                <w:color w:val="auto"/>
                <w:w w:val="92"/>
              </w:rPr>
              <w:t>15,750</w:t>
            </w:r>
          </w:p>
        </w:tc>
        <w:tc>
          <w:tcPr>
            <w:tcW w:w="1240" w:type="dxa"/>
            <w:vAlign w:val="bottom"/>
            <w:tcBorders>
              <w:bottom w:val="single" w:sz="8" w:color="0C3D25"/>
            </w:tcBorders>
          </w:tcPr>
          <w:p>
            <w:pPr>
              <w:jc w:val="right"/>
              <w:ind w:right="210"/>
              <w:spacing w:after="0" w:line="180" w:lineRule="exact"/>
              <w:rPr>
                <w:sz w:val="20"/>
                <w:szCs w:val="20"/>
                <w:color w:val="auto"/>
              </w:rPr>
            </w:pPr>
            <w:r>
              <w:rPr>
                <w:rFonts w:ascii="Arial" w:cs="Arial" w:eastAsia="Arial" w:hAnsi="Arial"/>
                <w:sz w:val="19"/>
                <w:szCs w:val="19"/>
                <w:color w:val="auto"/>
              </w:rPr>
              <w:t>46,705</w:t>
            </w:r>
          </w:p>
        </w:tc>
        <w:tc>
          <w:tcPr>
            <w:tcW w:w="1260" w:type="dxa"/>
            <w:vAlign w:val="bottom"/>
            <w:tcBorders>
              <w:bottom w:val="single" w:sz="8" w:color="0C3D25"/>
            </w:tcBorders>
          </w:tcPr>
          <w:p>
            <w:pPr>
              <w:jc w:val="right"/>
              <w:ind w:right="309"/>
              <w:spacing w:after="0" w:line="180" w:lineRule="exact"/>
              <w:rPr>
                <w:sz w:val="20"/>
                <w:szCs w:val="20"/>
                <w:color w:val="auto"/>
              </w:rPr>
            </w:pPr>
            <w:r>
              <w:rPr>
                <w:rFonts w:ascii="Arial" w:cs="Arial" w:eastAsia="Arial" w:hAnsi="Arial"/>
                <w:sz w:val="19"/>
                <w:szCs w:val="19"/>
                <w:color w:val="auto"/>
              </w:rPr>
              <w:t>1,574</w:t>
            </w:r>
          </w:p>
        </w:tc>
        <w:tc>
          <w:tcPr>
            <w:tcW w:w="1280" w:type="dxa"/>
            <w:vAlign w:val="bottom"/>
            <w:tcBorders>
              <w:bottom w:val="single" w:sz="8" w:color="0C3D25"/>
            </w:tcBorders>
          </w:tcPr>
          <w:p>
            <w:pPr>
              <w:jc w:val="right"/>
              <w:ind w:right="250"/>
              <w:spacing w:after="0" w:line="180" w:lineRule="exact"/>
              <w:rPr>
                <w:sz w:val="20"/>
                <w:szCs w:val="20"/>
                <w:color w:val="auto"/>
              </w:rPr>
            </w:pPr>
            <w:r>
              <w:rPr>
                <w:rFonts w:ascii="Arial" w:cs="Arial" w:eastAsia="Arial" w:hAnsi="Arial"/>
                <w:sz w:val="19"/>
                <w:szCs w:val="19"/>
                <w:color w:val="auto"/>
              </w:rPr>
              <w:t>—</w:t>
            </w:r>
          </w:p>
        </w:tc>
      </w:tr>
      <w:tr>
        <w:trPr>
          <w:trHeight w:val="180"/>
        </w:trPr>
        <w:tc>
          <w:tcPr>
            <w:tcW w:w="260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John J. Morris, Jr.</w:t>
            </w:r>
          </w:p>
        </w:tc>
        <w:tc>
          <w:tcPr>
            <w:tcW w:w="2080" w:type="dxa"/>
            <w:vAlign w:val="bottom"/>
            <w:tcBorders>
              <w:bottom w:val="single" w:sz="8" w:color="0C3D25"/>
            </w:tcBorders>
          </w:tcPr>
          <w:p>
            <w:pPr>
              <w:jc w:val="center"/>
              <w:ind w:left="810"/>
              <w:spacing w:after="0" w:line="180" w:lineRule="exact"/>
              <w:rPr>
                <w:sz w:val="20"/>
                <w:szCs w:val="20"/>
                <w:color w:val="auto"/>
              </w:rPr>
            </w:pPr>
            <w:r>
              <w:rPr>
                <w:rFonts w:ascii="Arial" w:cs="Arial" w:eastAsia="Arial" w:hAnsi="Arial"/>
                <w:sz w:val="19"/>
                <w:szCs w:val="19"/>
                <w:color w:val="auto"/>
                <w:w w:val="92"/>
              </w:rPr>
              <w:t>15,750</w:t>
            </w:r>
          </w:p>
        </w:tc>
        <w:tc>
          <w:tcPr>
            <w:tcW w:w="1240" w:type="dxa"/>
            <w:vAlign w:val="bottom"/>
            <w:tcBorders>
              <w:bottom w:val="single" w:sz="8" w:color="0C3D25"/>
            </w:tcBorders>
          </w:tcPr>
          <w:p>
            <w:pPr>
              <w:jc w:val="right"/>
              <w:ind w:right="210"/>
              <w:spacing w:after="0" w:line="180" w:lineRule="exact"/>
              <w:rPr>
                <w:sz w:val="20"/>
                <w:szCs w:val="20"/>
                <w:color w:val="auto"/>
              </w:rPr>
            </w:pPr>
            <w:r>
              <w:rPr>
                <w:rFonts w:ascii="Arial" w:cs="Arial" w:eastAsia="Arial" w:hAnsi="Arial"/>
                <w:sz w:val="19"/>
                <w:szCs w:val="19"/>
                <w:color w:val="auto"/>
              </w:rPr>
              <w:t>53,576</w:t>
            </w:r>
          </w:p>
        </w:tc>
        <w:tc>
          <w:tcPr>
            <w:tcW w:w="1260" w:type="dxa"/>
            <w:vAlign w:val="bottom"/>
            <w:tcBorders>
              <w:bottom w:val="single" w:sz="8" w:color="0C3D25"/>
            </w:tcBorders>
          </w:tcPr>
          <w:p>
            <w:pPr>
              <w:jc w:val="right"/>
              <w:ind w:right="309"/>
              <w:spacing w:after="0" w:line="180" w:lineRule="exact"/>
              <w:rPr>
                <w:sz w:val="20"/>
                <w:szCs w:val="20"/>
                <w:color w:val="auto"/>
              </w:rPr>
            </w:pPr>
            <w:r>
              <w:rPr>
                <w:rFonts w:ascii="Arial" w:cs="Arial" w:eastAsia="Arial" w:hAnsi="Arial"/>
                <w:sz w:val="19"/>
                <w:szCs w:val="19"/>
                <w:color w:val="auto"/>
              </w:rPr>
              <w:t>1,618</w:t>
            </w:r>
          </w:p>
        </w:tc>
        <w:tc>
          <w:tcPr>
            <w:tcW w:w="1280" w:type="dxa"/>
            <w:vAlign w:val="bottom"/>
            <w:tcBorders>
              <w:bottom w:val="single" w:sz="8" w:color="0C3D25"/>
            </w:tcBorders>
          </w:tcPr>
          <w:p>
            <w:pPr>
              <w:jc w:val="right"/>
              <w:ind w:right="250"/>
              <w:spacing w:after="0" w:line="180" w:lineRule="exact"/>
              <w:rPr>
                <w:sz w:val="20"/>
                <w:szCs w:val="20"/>
                <w:color w:val="auto"/>
              </w:rPr>
            </w:pPr>
            <w:r>
              <w:rPr>
                <w:rFonts w:ascii="Arial" w:cs="Arial" w:eastAsia="Arial" w:hAnsi="Arial"/>
                <w:sz w:val="19"/>
                <w:szCs w:val="19"/>
                <w:color w:val="auto"/>
              </w:rPr>
              <w:t>54,424</w:t>
            </w:r>
          </w:p>
        </w:tc>
      </w:tr>
      <w:tr>
        <w:trPr>
          <w:trHeight w:val="180"/>
        </w:trPr>
        <w:tc>
          <w:tcPr>
            <w:tcW w:w="2600" w:type="dxa"/>
            <w:vAlign w:val="bottom"/>
            <w:tcBorders>
              <w:bottom w:val="single" w:sz="8" w:color="0C3D25"/>
            </w:tcBorders>
          </w:tcPr>
          <w:p>
            <w:pPr>
              <w:ind w:left="60"/>
              <w:spacing w:after="0" w:line="180" w:lineRule="exact"/>
              <w:rPr>
                <w:sz w:val="20"/>
                <w:szCs w:val="20"/>
                <w:color w:val="auto"/>
              </w:rPr>
            </w:pPr>
            <w:r>
              <w:rPr>
                <w:rFonts w:ascii="Arial" w:cs="Arial" w:eastAsia="Arial" w:hAnsi="Arial"/>
                <w:sz w:val="19"/>
                <w:szCs w:val="19"/>
                <w:b w:val="1"/>
                <w:bCs w:val="1"/>
                <w:color w:val="auto"/>
              </w:rPr>
              <w:t>Tara J. Hemmer</w:t>
            </w:r>
          </w:p>
        </w:tc>
        <w:tc>
          <w:tcPr>
            <w:tcW w:w="2080" w:type="dxa"/>
            <w:vAlign w:val="bottom"/>
            <w:tcBorders>
              <w:bottom w:val="single" w:sz="8" w:color="0C3D25"/>
            </w:tcBorders>
          </w:tcPr>
          <w:p>
            <w:pPr>
              <w:jc w:val="center"/>
              <w:ind w:left="810"/>
              <w:spacing w:after="0" w:line="180" w:lineRule="exact"/>
              <w:rPr>
                <w:sz w:val="20"/>
                <w:szCs w:val="20"/>
                <w:color w:val="auto"/>
              </w:rPr>
            </w:pPr>
            <w:r>
              <w:rPr>
                <w:rFonts w:ascii="Arial" w:cs="Arial" w:eastAsia="Arial" w:hAnsi="Arial"/>
                <w:sz w:val="19"/>
                <w:szCs w:val="19"/>
                <w:color w:val="auto"/>
                <w:w w:val="92"/>
              </w:rPr>
              <w:t>15,750</w:t>
            </w:r>
          </w:p>
        </w:tc>
        <w:tc>
          <w:tcPr>
            <w:tcW w:w="1240" w:type="dxa"/>
            <w:vAlign w:val="bottom"/>
            <w:tcBorders>
              <w:bottom w:val="single" w:sz="8" w:color="0C3D25"/>
            </w:tcBorders>
          </w:tcPr>
          <w:p>
            <w:pPr>
              <w:jc w:val="right"/>
              <w:ind w:right="210"/>
              <w:spacing w:after="0" w:line="180" w:lineRule="exact"/>
              <w:rPr>
                <w:sz w:val="20"/>
                <w:szCs w:val="20"/>
                <w:color w:val="auto"/>
              </w:rPr>
            </w:pPr>
            <w:r>
              <w:rPr>
                <w:rFonts w:ascii="Arial" w:cs="Arial" w:eastAsia="Arial" w:hAnsi="Arial"/>
                <w:sz w:val="19"/>
                <w:szCs w:val="19"/>
                <w:color w:val="auto"/>
              </w:rPr>
              <w:t>63,107</w:t>
            </w:r>
          </w:p>
        </w:tc>
        <w:tc>
          <w:tcPr>
            <w:tcW w:w="1260" w:type="dxa"/>
            <w:vAlign w:val="bottom"/>
            <w:tcBorders>
              <w:bottom w:val="single" w:sz="8" w:color="0C3D25"/>
            </w:tcBorders>
          </w:tcPr>
          <w:p>
            <w:pPr>
              <w:jc w:val="right"/>
              <w:ind w:right="309"/>
              <w:spacing w:after="0" w:line="180" w:lineRule="exact"/>
              <w:rPr>
                <w:sz w:val="20"/>
                <w:szCs w:val="20"/>
                <w:color w:val="auto"/>
              </w:rPr>
            </w:pPr>
            <w:r>
              <w:rPr>
                <w:rFonts w:ascii="Arial" w:cs="Arial" w:eastAsia="Arial" w:hAnsi="Arial"/>
                <w:sz w:val="19"/>
                <w:szCs w:val="19"/>
                <w:color w:val="auto"/>
              </w:rPr>
              <w:t>1,391</w:t>
            </w:r>
          </w:p>
        </w:tc>
        <w:tc>
          <w:tcPr>
            <w:tcW w:w="1280" w:type="dxa"/>
            <w:vAlign w:val="bottom"/>
            <w:tcBorders>
              <w:bottom w:val="single" w:sz="8" w:color="0C3D25"/>
            </w:tcBorders>
          </w:tcPr>
          <w:p>
            <w:pPr>
              <w:jc w:val="right"/>
              <w:ind w:right="250"/>
              <w:spacing w:after="0" w:line="180" w:lineRule="exact"/>
              <w:rPr>
                <w:sz w:val="20"/>
                <w:szCs w:val="20"/>
                <w:color w:val="auto"/>
              </w:rPr>
            </w:pPr>
            <w:r>
              <w:rPr>
                <w:rFonts w:ascii="Arial" w:cs="Arial" w:eastAsia="Arial" w:hAnsi="Arial"/>
                <w:sz w:val="19"/>
                <w:szCs w:val="19"/>
                <w:color w:val="auto"/>
              </w:rPr>
              <w:t>—</w:t>
            </w:r>
          </w:p>
        </w:tc>
      </w:tr>
      <w:tr>
        <w:trPr>
          <w:trHeight w:val="210"/>
        </w:trPr>
        <w:tc>
          <w:tcPr>
            <w:tcW w:w="2600" w:type="dxa"/>
            <w:vAlign w:val="bottom"/>
          </w:tcPr>
          <w:p>
            <w:pPr>
              <w:ind w:left="60"/>
              <w:spacing w:after="0" w:line="210" w:lineRule="exact"/>
              <w:rPr>
                <w:sz w:val="20"/>
                <w:szCs w:val="20"/>
                <w:color w:val="auto"/>
              </w:rPr>
            </w:pPr>
            <w:r>
              <w:rPr>
                <w:rFonts w:ascii="Arial" w:cs="Arial" w:eastAsia="Arial" w:hAnsi="Arial"/>
                <w:sz w:val="19"/>
                <w:szCs w:val="19"/>
                <w:b w:val="1"/>
                <w:bCs w:val="1"/>
                <w:color w:val="auto"/>
              </w:rPr>
              <w:t>Rafael E. Carrasco</w:t>
            </w:r>
          </w:p>
        </w:tc>
        <w:tc>
          <w:tcPr>
            <w:tcW w:w="2080" w:type="dxa"/>
            <w:vAlign w:val="bottom"/>
          </w:tcPr>
          <w:p>
            <w:pPr>
              <w:jc w:val="center"/>
              <w:ind w:left="810"/>
              <w:spacing w:after="0" w:line="210" w:lineRule="exact"/>
              <w:rPr>
                <w:sz w:val="20"/>
                <w:szCs w:val="20"/>
                <w:color w:val="auto"/>
              </w:rPr>
            </w:pPr>
            <w:r>
              <w:rPr>
                <w:rFonts w:ascii="Arial" w:cs="Arial" w:eastAsia="Arial" w:hAnsi="Arial"/>
                <w:sz w:val="19"/>
                <w:szCs w:val="19"/>
                <w:color w:val="auto"/>
                <w:w w:val="92"/>
              </w:rPr>
              <w:t>15,750</w:t>
            </w:r>
          </w:p>
        </w:tc>
        <w:tc>
          <w:tcPr>
            <w:tcW w:w="1240" w:type="dxa"/>
            <w:vAlign w:val="bottom"/>
          </w:tcPr>
          <w:p>
            <w:pPr>
              <w:jc w:val="right"/>
              <w:ind w:right="210"/>
              <w:spacing w:after="0" w:line="210" w:lineRule="exact"/>
              <w:rPr>
                <w:sz w:val="20"/>
                <w:szCs w:val="20"/>
                <w:color w:val="auto"/>
              </w:rPr>
            </w:pPr>
            <w:r>
              <w:rPr>
                <w:rFonts w:ascii="Arial" w:cs="Arial" w:eastAsia="Arial" w:hAnsi="Arial"/>
                <w:sz w:val="19"/>
                <w:szCs w:val="19"/>
                <w:color w:val="auto"/>
              </w:rPr>
              <w:t>32,926</w:t>
            </w:r>
          </w:p>
        </w:tc>
        <w:tc>
          <w:tcPr>
            <w:tcW w:w="1260" w:type="dxa"/>
            <w:vAlign w:val="bottom"/>
          </w:tcPr>
          <w:p>
            <w:pPr>
              <w:jc w:val="right"/>
              <w:ind w:right="309"/>
              <w:spacing w:after="0" w:line="210" w:lineRule="exact"/>
              <w:rPr>
                <w:sz w:val="20"/>
                <w:szCs w:val="20"/>
                <w:color w:val="auto"/>
              </w:rPr>
            </w:pPr>
            <w:r>
              <w:rPr>
                <w:rFonts w:ascii="Arial" w:cs="Arial" w:eastAsia="Arial" w:hAnsi="Arial"/>
                <w:sz w:val="19"/>
                <w:szCs w:val="19"/>
                <w:color w:val="auto"/>
              </w:rPr>
              <w:t>1,344</w:t>
            </w:r>
          </w:p>
        </w:tc>
        <w:tc>
          <w:tcPr>
            <w:tcW w:w="1280" w:type="dxa"/>
            <w:vAlign w:val="bottom"/>
          </w:tcPr>
          <w:p>
            <w:pPr>
              <w:jc w:val="right"/>
              <w:ind w:right="250"/>
              <w:spacing w:after="0" w:line="210" w:lineRule="exact"/>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wp:posOffset>
                </wp:positionH>
                <wp:positionV relativeFrom="paragraph">
                  <wp:posOffset>13970</wp:posOffset>
                </wp:positionV>
                <wp:extent cx="537273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735"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pt" to="462.95pt,1.1pt" o:allowincell="f" strokecolor="#0C3D25" strokeweight="0.7969pt"/>
            </w:pict>
          </mc:Fallback>
        </mc:AlternateContent>
      </w:r>
    </w:p>
    <w:p>
      <w:pPr>
        <w:spacing w:after="0" w:line="10" w:lineRule="exact"/>
        <w:rPr>
          <w:sz w:val="20"/>
          <w:szCs w:val="20"/>
          <w:color w:val="auto"/>
        </w:rPr>
      </w:pPr>
    </w:p>
    <w:p>
      <w:pPr>
        <w:jc w:val="both"/>
        <w:ind w:left="1202" w:hanging="404"/>
        <w:spacing w:after="0" w:line="281" w:lineRule="auto"/>
        <w:tabs>
          <w:tab w:leader="none" w:pos="12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2025, to the extent that the total incremental cost of such perquisites and personal benefits was at least $10,000, consisting of (i) incremental cost for personal use of Company aircraft in the following amounts: Mr. Fish — $60,043 and Mr. Morris — $3,361; (ii) $6,421 of income that was imputed for the cost of the executive’s guest’s participation in Company events; (iii) cost of executive concierge medical services for Mr. Fish and Mr. Morris in the following amounts: Mr. Fish — $1,517 and Mr. Morris — $1,837; (iv) incremental cost for personal security in the following amounts: Mr. Fish — $7,075 and Mr. Morris — $42,305; and (v) $500 for the value of a gift received by Mr. Morris.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104" w:lineRule="exact"/>
        <w:rPr>
          <w:rFonts w:ascii="Arial" w:cs="Arial" w:eastAsia="Arial" w:hAnsi="Arial"/>
          <w:sz w:val="18"/>
          <w:szCs w:val="18"/>
          <w:color w:val="auto"/>
        </w:rPr>
      </w:pPr>
    </w:p>
    <w:p>
      <w:pPr>
        <w:jc w:val="both"/>
        <w:ind w:left="402" w:hanging="402"/>
        <w:spacing w:after="0" w:line="277" w:lineRule="auto"/>
        <w:tabs>
          <w:tab w:leader="none" w:pos="402"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Includes $100,000 of base salary in each of 2024 and 2025 and $200,000 of base salary in 2023 to which Mr. Fish was entitled but voluntarily relinquished to fund scholarships and other programs that benefit Company employees.</w:t>
      </w:r>
    </w:p>
    <w:p>
      <w:pPr>
        <w:spacing w:after="0" w:line="396"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4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8" w:name="page59"/>
    <w:bookmarkEnd w:id="58"/>
    <w:p>
      <w:pPr>
        <w:ind w:left="8180"/>
        <w:spacing w:after="0"/>
        <w:rPr>
          <w:sz w:val="20"/>
          <w:szCs w:val="20"/>
          <w:color w:val="auto"/>
        </w:rPr>
      </w:pPr>
      <w:r>
        <w:rPr>
          <w:rFonts w:ascii="Arial" w:cs="Arial" w:eastAsia="Arial" w:hAnsi="Arial"/>
          <w:sz w:val="18"/>
          <w:szCs w:val="18"/>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0C3D25"/>
        </w:rPr>
        <w:t>Grant of Plan-Based Awards in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C3D25"/>
              </w:rPr>
              <w:t>All other</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0C3D25"/>
              </w:rPr>
              <w:t>All other</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0C3D25"/>
              </w:rPr>
              <w:t>Grant</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8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0C3D25"/>
                <w:w w:val="91"/>
              </w:rPr>
              <w:t>Estimated Possible Payouts</w:t>
            </w:r>
          </w:p>
        </w:tc>
        <w:tc>
          <w:tcPr>
            <w:tcW w:w="60" w:type="dxa"/>
            <w:vAlign w:val="bottom"/>
          </w:tcPr>
          <w:p>
            <w:pPr>
              <w:spacing w:after="0"/>
              <w:rPr>
                <w:sz w:val="13"/>
                <w:szCs w:val="13"/>
                <w:color w:val="auto"/>
              </w:rPr>
            </w:pPr>
          </w:p>
        </w:tc>
        <w:tc>
          <w:tcPr>
            <w:tcW w:w="2320" w:type="dxa"/>
            <w:vAlign w:val="bottom"/>
            <w:gridSpan w:val="4"/>
            <w:vMerge w:val="restart"/>
          </w:tcPr>
          <w:p>
            <w:pPr>
              <w:jc w:val="center"/>
              <w:ind w:right="60"/>
              <w:spacing w:after="0"/>
              <w:rPr>
                <w:sz w:val="20"/>
                <w:szCs w:val="20"/>
                <w:color w:val="auto"/>
              </w:rPr>
            </w:pPr>
            <w:r>
              <w:rPr>
                <w:rFonts w:ascii="Arial" w:cs="Arial" w:eastAsia="Arial" w:hAnsi="Arial"/>
                <w:sz w:val="16"/>
                <w:szCs w:val="16"/>
                <w:b w:val="1"/>
                <w:bCs w:val="1"/>
                <w:color w:val="0C3D25"/>
                <w:w w:val="92"/>
              </w:rPr>
              <w:t>Estimated Future Payouts</w:t>
            </w:r>
          </w:p>
        </w:tc>
        <w:tc>
          <w:tcPr>
            <w:tcW w:w="90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Stock</w:t>
            </w:r>
          </w:p>
        </w:tc>
        <w:tc>
          <w:tcPr>
            <w:tcW w:w="100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Option</w:t>
            </w:r>
          </w:p>
        </w:tc>
        <w:tc>
          <w:tcPr>
            <w:tcW w:w="78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Exercise</w:t>
            </w:r>
          </w:p>
        </w:tc>
        <w:tc>
          <w:tcPr>
            <w:tcW w:w="74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Closing</w:t>
            </w:r>
          </w:p>
        </w:tc>
        <w:tc>
          <w:tcPr>
            <w:tcW w:w="98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Date Fair</w:t>
            </w: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9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Awards:</w:t>
            </w:r>
          </w:p>
        </w:tc>
        <w:tc>
          <w:tcPr>
            <w:tcW w:w="10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Awards:</w:t>
            </w:r>
          </w:p>
        </w:tc>
        <w:tc>
          <w:tcPr>
            <w:tcW w:w="7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or Base</w:t>
            </w:r>
          </w:p>
        </w:tc>
        <w:tc>
          <w:tcPr>
            <w:tcW w:w="7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Market</w:t>
            </w:r>
          </w:p>
        </w:tc>
        <w:tc>
          <w:tcPr>
            <w:tcW w:w="9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Value of</w:t>
            </w:r>
          </w:p>
        </w:tc>
        <w:tc>
          <w:tcPr>
            <w:tcW w:w="0" w:type="dxa"/>
            <w:vAlign w:val="bottom"/>
          </w:tcPr>
          <w:p>
            <w:pPr>
              <w:spacing w:after="0"/>
              <w:rPr>
                <w:sz w:val="1"/>
                <w:szCs w:val="1"/>
                <w:color w:val="auto"/>
              </w:rPr>
            </w:pPr>
          </w:p>
        </w:tc>
      </w:tr>
      <w:tr>
        <w:trPr>
          <w:trHeight w:val="56"/>
        </w:trPr>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gridSpan w:val="4"/>
            <w:vMerge w:val="restart"/>
          </w:tcPr>
          <w:p>
            <w:pPr>
              <w:jc w:val="center"/>
              <w:ind w:right="80"/>
              <w:spacing w:after="0" w:line="150" w:lineRule="exact"/>
              <w:rPr>
                <w:sz w:val="20"/>
                <w:szCs w:val="20"/>
                <w:color w:val="auto"/>
              </w:rPr>
            </w:pPr>
            <w:r>
              <w:rPr>
                <w:rFonts w:ascii="Arial" w:cs="Arial" w:eastAsia="Arial" w:hAnsi="Arial"/>
                <w:sz w:val="16"/>
                <w:szCs w:val="16"/>
                <w:b w:val="1"/>
                <w:bCs w:val="1"/>
                <w:color w:val="0C3D25"/>
                <w:w w:val="91"/>
              </w:rPr>
              <w:t>Under Non-Equity Incentive</w:t>
            </w:r>
          </w:p>
        </w:tc>
        <w:tc>
          <w:tcPr>
            <w:tcW w:w="60" w:type="dxa"/>
            <w:vAlign w:val="bottom"/>
          </w:tcPr>
          <w:p>
            <w:pPr>
              <w:spacing w:after="0"/>
              <w:rPr>
                <w:sz w:val="4"/>
                <w:szCs w:val="4"/>
                <w:color w:val="auto"/>
              </w:rPr>
            </w:pPr>
          </w:p>
        </w:tc>
        <w:tc>
          <w:tcPr>
            <w:tcW w:w="2320" w:type="dxa"/>
            <w:vAlign w:val="bottom"/>
            <w:gridSpan w:val="4"/>
            <w:vMerge w:val="restart"/>
          </w:tcPr>
          <w:p>
            <w:pPr>
              <w:jc w:val="center"/>
              <w:ind w:right="80"/>
              <w:spacing w:after="0" w:line="150" w:lineRule="exact"/>
              <w:rPr>
                <w:sz w:val="20"/>
                <w:szCs w:val="20"/>
                <w:color w:val="auto"/>
              </w:rPr>
            </w:pPr>
            <w:r>
              <w:rPr>
                <w:rFonts w:ascii="Arial" w:cs="Arial" w:eastAsia="Arial" w:hAnsi="Arial"/>
                <w:sz w:val="16"/>
                <w:szCs w:val="16"/>
                <w:b w:val="1"/>
                <w:bCs w:val="1"/>
                <w:color w:val="0C3D25"/>
                <w:w w:val="92"/>
              </w:rPr>
              <w:t>Under Equity Incentive</w:t>
            </w: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9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w w:val="99"/>
              </w:rPr>
              <w:t>Number of</w:t>
            </w:r>
          </w:p>
        </w:tc>
        <w:tc>
          <w:tcPr>
            <w:tcW w:w="10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Number of</w:t>
            </w:r>
          </w:p>
        </w:tc>
        <w:tc>
          <w:tcPr>
            <w:tcW w:w="7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Price of</w:t>
            </w:r>
          </w:p>
        </w:tc>
        <w:tc>
          <w:tcPr>
            <w:tcW w:w="7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Price on</w:t>
            </w:r>
          </w:p>
        </w:tc>
        <w:tc>
          <w:tcPr>
            <w:tcW w:w="9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C3D25"/>
              </w:rPr>
              <w:t>Stock and</w:t>
            </w:r>
          </w:p>
        </w:tc>
        <w:tc>
          <w:tcPr>
            <w:tcW w:w="0" w:type="dxa"/>
            <w:vAlign w:val="bottom"/>
          </w:tcPr>
          <w:p>
            <w:pPr>
              <w:spacing w:after="0"/>
              <w:rPr>
                <w:sz w:val="1"/>
                <w:szCs w:val="1"/>
                <w:color w:val="auto"/>
              </w:rPr>
            </w:pPr>
          </w:p>
        </w:tc>
      </w:tr>
      <w:tr>
        <w:trPr>
          <w:trHeight w:val="66"/>
        </w:trPr>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restart"/>
          </w:tcPr>
          <w:p>
            <w:pPr>
              <w:jc w:val="center"/>
              <w:spacing w:after="0" w:line="210" w:lineRule="exact"/>
              <w:rPr>
                <w:sz w:val="20"/>
                <w:szCs w:val="20"/>
                <w:color w:val="auto"/>
              </w:rPr>
            </w:pPr>
            <w:r>
              <w:rPr>
                <w:rFonts w:ascii="Arial" w:cs="Arial" w:eastAsia="Arial" w:hAnsi="Arial"/>
                <w:sz w:val="16"/>
                <w:szCs w:val="16"/>
                <w:b w:val="1"/>
                <w:bCs w:val="1"/>
                <w:color w:val="0C3D25"/>
                <w:w w:val="93"/>
              </w:rPr>
              <w:t>Plan Awards</w:t>
            </w:r>
            <w:r>
              <w:rPr>
                <w:rFonts w:ascii="Arial" w:cs="Arial" w:eastAsia="Arial" w:hAnsi="Arial"/>
                <w:sz w:val="19"/>
                <w:szCs w:val="19"/>
                <w:b w:val="1"/>
                <w:bCs w:val="1"/>
                <w:color w:val="0C3D25"/>
                <w:w w:val="93"/>
                <w:vertAlign w:val="superscript"/>
              </w:rPr>
              <w:t>(1)</w:t>
            </w: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gridSpan w:val="3"/>
            <w:vMerge w:val="restart"/>
          </w:tcPr>
          <w:p>
            <w:pPr>
              <w:jc w:val="center"/>
              <w:spacing w:after="0" w:line="210" w:lineRule="exact"/>
              <w:rPr>
                <w:sz w:val="20"/>
                <w:szCs w:val="20"/>
                <w:color w:val="auto"/>
              </w:rPr>
            </w:pPr>
            <w:r>
              <w:rPr>
                <w:rFonts w:ascii="Arial" w:cs="Arial" w:eastAsia="Arial" w:hAnsi="Arial"/>
                <w:sz w:val="16"/>
                <w:szCs w:val="16"/>
                <w:b w:val="1"/>
                <w:bCs w:val="1"/>
                <w:color w:val="0C3D25"/>
                <w:w w:val="93"/>
              </w:rPr>
              <w:t>Plan Awards</w:t>
            </w:r>
            <w:r>
              <w:rPr>
                <w:rFonts w:ascii="Arial" w:cs="Arial" w:eastAsia="Arial" w:hAnsi="Arial"/>
                <w:sz w:val="19"/>
                <w:szCs w:val="19"/>
                <w:b w:val="1"/>
                <w:bCs w:val="1"/>
                <w:color w:val="0C3D25"/>
                <w:w w:val="93"/>
                <w:vertAlign w:val="superscript"/>
              </w:rPr>
              <w:t>(2)</w:t>
            </w:r>
          </w:p>
        </w:tc>
        <w:tc>
          <w:tcPr>
            <w:tcW w:w="8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0C3D25"/>
            </w:tcBorders>
          </w:tcPr>
          <w:p>
            <w:pPr>
              <w:spacing w:after="0"/>
              <w:rPr>
                <w:sz w:val="12"/>
                <w:szCs w:val="12"/>
                <w:color w:val="auto"/>
              </w:rPr>
            </w:pPr>
          </w:p>
        </w:tc>
        <w:tc>
          <w:tcPr>
            <w:tcW w:w="1040" w:type="dxa"/>
            <w:vAlign w:val="bottom"/>
            <w:tcBorders>
              <w:bottom w:val="single" w:sz="8" w:color="0C3D25"/>
            </w:tcBorders>
            <w:vMerge w:val="continue"/>
          </w:tcPr>
          <w:p>
            <w:pPr>
              <w:spacing w:after="0"/>
              <w:rPr>
                <w:sz w:val="12"/>
                <w:szCs w:val="12"/>
                <w:color w:val="auto"/>
              </w:rPr>
            </w:pPr>
          </w:p>
        </w:tc>
        <w:tc>
          <w:tcPr>
            <w:tcW w:w="780" w:type="dxa"/>
            <w:vAlign w:val="bottom"/>
            <w:tcBorders>
              <w:bottom w:val="single" w:sz="8" w:color="0C3D25"/>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Borders>
              <w:bottom w:val="single" w:sz="8" w:color="0C3D25"/>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6"/>
                <w:szCs w:val="16"/>
                <w:b w:val="1"/>
                <w:bCs w:val="1"/>
                <w:color w:val="0C3D25"/>
              </w:rPr>
              <w:t>Shares of</w:t>
            </w:r>
          </w:p>
        </w:tc>
        <w:tc>
          <w:tcPr>
            <w:tcW w:w="1000" w:type="dxa"/>
            <w:vAlign w:val="bottom"/>
          </w:tcPr>
          <w:p>
            <w:pPr>
              <w:jc w:val="right"/>
              <w:spacing w:after="0" w:line="144" w:lineRule="exact"/>
              <w:rPr>
                <w:sz w:val="20"/>
                <w:szCs w:val="20"/>
                <w:color w:val="auto"/>
              </w:rPr>
            </w:pPr>
            <w:r>
              <w:rPr>
                <w:rFonts w:ascii="Arial" w:cs="Arial" w:eastAsia="Arial" w:hAnsi="Arial"/>
                <w:sz w:val="16"/>
                <w:szCs w:val="16"/>
                <w:b w:val="1"/>
                <w:bCs w:val="1"/>
                <w:color w:val="0C3D25"/>
              </w:rPr>
              <w:t>Securities</w:t>
            </w:r>
          </w:p>
        </w:tc>
        <w:tc>
          <w:tcPr>
            <w:tcW w:w="780" w:type="dxa"/>
            <w:vAlign w:val="bottom"/>
          </w:tcPr>
          <w:p>
            <w:pPr>
              <w:jc w:val="right"/>
              <w:spacing w:after="0" w:line="144" w:lineRule="exact"/>
              <w:rPr>
                <w:sz w:val="20"/>
                <w:szCs w:val="20"/>
                <w:color w:val="auto"/>
              </w:rPr>
            </w:pPr>
            <w:r>
              <w:rPr>
                <w:rFonts w:ascii="Arial" w:cs="Arial" w:eastAsia="Arial" w:hAnsi="Arial"/>
                <w:sz w:val="16"/>
                <w:szCs w:val="16"/>
                <w:b w:val="1"/>
                <w:bCs w:val="1"/>
                <w:color w:val="0C3D25"/>
              </w:rPr>
              <w:t>Option</w:t>
            </w:r>
          </w:p>
        </w:tc>
        <w:tc>
          <w:tcPr>
            <w:tcW w:w="740" w:type="dxa"/>
            <w:vAlign w:val="bottom"/>
          </w:tcPr>
          <w:p>
            <w:pPr>
              <w:jc w:val="right"/>
              <w:spacing w:after="0" w:line="144" w:lineRule="exact"/>
              <w:rPr>
                <w:sz w:val="20"/>
                <w:szCs w:val="20"/>
                <w:color w:val="auto"/>
              </w:rPr>
            </w:pPr>
            <w:r>
              <w:rPr>
                <w:rFonts w:ascii="Arial" w:cs="Arial" w:eastAsia="Arial" w:hAnsi="Arial"/>
                <w:sz w:val="16"/>
                <w:szCs w:val="16"/>
                <w:b w:val="1"/>
                <w:bCs w:val="1"/>
                <w:color w:val="0C3D25"/>
              </w:rPr>
              <w:t>Date of</w:t>
            </w:r>
          </w:p>
        </w:tc>
        <w:tc>
          <w:tcPr>
            <w:tcW w:w="980" w:type="dxa"/>
            <w:vAlign w:val="bottom"/>
          </w:tcPr>
          <w:p>
            <w:pPr>
              <w:jc w:val="right"/>
              <w:spacing w:after="0" w:line="144" w:lineRule="exact"/>
              <w:rPr>
                <w:sz w:val="20"/>
                <w:szCs w:val="20"/>
                <w:color w:val="auto"/>
              </w:rPr>
            </w:pPr>
            <w:r>
              <w:rPr>
                <w:rFonts w:ascii="Arial" w:cs="Arial" w:eastAsia="Arial" w:hAnsi="Arial"/>
                <w:sz w:val="16"/>
                <w:szCs w:val="16"/>
                <w:b w:val="1"/>
                <w:bCs w:val="1"/>
                <w:color w:val="0C3D25"/>
              </w:rPr>
              <w:t>Option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w w:val="98"/>
              </w:rPr>
              <w:t>Threshold</w:t>
            </w:r>
          </w:p>
        </w:tc>
        <w:tc>
          <w:tcPr>
            <w:tcW w:w="1040" w:type="dxa"/>
            <w:vAlign w:val="bottom"/>
          </w:tcPr>
          <w:p>
            <w:pPr>
              <w:jc w:val="right"/>
              <w:ind w:right="52"/>
              <w:spacing w:after="0" w:line="145" w:lineRule="exact"/>
              <w:rPr>
                <w:sz w:val="20"/>
                <w:szCs w:val="20"/>
                <w:color w:val="auto"/>
              </w:rPr>
            </w:pPr>
            <w:r>
              <w:rPr>
                <w:rFonts w:ascii="Arial" w:cs="Arial" w:eastAsia="Arial" w:hAnsi="Arial"/>
                <w:sz w:val="16"/>
                <w:szCs w:val="16"/>
                <w:b w:val="1"/>
                <w:bCs w:val="1"/>
                <w:color w:val="0C3D25"/>
              </w:rPr>
              <w:t>Target</w:t>
            </w:r>
          </w:p>
        </w:tc>
        <w:tc>
          <w:tcPr>
            <w:tcW w:w="860" w:type="dxa"/>
            <w:vAlign w:val="bottom"/>
            <w:gridSpan w:val="2"/>
          </w:tcPr>
          <w:p>
            <w:pPr>
              <w:ind w:left="80"/>
              <w:spacing w:after="0" w:line="145" w:lineRule="exact"/>
              <w:rPr>
                <w:sz w:val="20"/>
                <w:szCs w:val="20"/>
                <w:color w:val="auto"/>
              </w:rPr>
            </w:pPr>
            <w:r>
              <w:rPr>
                <w:rFonts w:ascii="Arial" w:cs="Arial" w:eastAsia="Arial" w:hAnsi="Arial"/>
                <w:sz w:val="16"/>
                <w:szCs w:val="16"/>
                <w:b w:val="1"/>
                <w:bCs w:val="1"/>
                <w:color w:val="0C3D25"/>
              </w:rPr>
              <w:t>Maximum</w:t>
            </w:r>
          </w:p>
        </w:tc>
        <w:tc>
          <w:tcPr>
            <w:tcW w:w="860" w:type="dxa"/>
            <w:vAlign w:val="bottom"/>
            <w:gridSpan w:val="2"/>
          </w:tcPr>
          <w:p>
            <w:pPr>
              <w:jc w:val="right"/>
              <w:spacing w:after="0" w:line="145" w:lineRule="exact"/>
              <w:rPr>
                <w:sz w:val="20"/>
                <w:szCs w:val="20"/>
                <w:color w:val="auto"/>
              </w:rPr>
            </w:pPr>
            <w:r>
              <w:rPr>
                <w:rFonts w:ascii="Arial" w:cs="Arial" w:eastAsia="Arial" w:hAnsi="Arial"/>
                <w:sz w:val="16"/>
                <w:szCs w:val="16"/>
                <w:b w:val="1"/>
                <w:bCs w:val="1"/>
                <w:color w:val="0C3D25"/>
                <w:w w:val="98"/>
              </w:rPr>
              <w:t>Threshold</w:t>
            </w: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Target</w:t>
            </w:r>
          </w:p>
        </w:tc>
        <w:tc>
          <w:tcPr>
            <w:tcW w:w="840" w:type="dxa"/>
            <w:vAlign w:val="bottom"/>
            <w:gridSpan w:val="2"/>
          </w:tcPr>
          <w:p>
            <w:pPr>
              <w:jc w:val="right"/>
              <w:ind w:right="80"/>
              <w:spacing w:after="0" w:line="145" w:lineRule="exact"/>
              <w:rPr>
                <w:sz w:val="20"/>
                <w:szCs w:val="20"/>
                <w:color w:val="auto"/>
              </w:rPr>
            </w:pPr>
            <w:r>
              <w:rPr>
                <w:rFonts w:ascii="Arial" w:cs="Arial" w:eastAsia="Arial" w:hAnsi="Arial"/>
                <w:sz w:val="16"/>
                <w:szCs w:val="16"/>
                <w:b w:val="1"/>
                <w:bCs w:val="1"/>
                <w:color w:val="0C3D25"/>
              </w:rPr>
              <w:t>Maximum</w:t>
            </w:r>
          </w:p>
        </w:tc>
        <w:tc>
          <w:tcPr>
            <w:tcW w:w="90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Stock or</w:t>
            </w:r>
          </w:p>
        </w:tc>
        <w:tc>
          <w:tcPr>
            <w:tcW w:w="100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Underlying</w:t>
            </w:r>
          </w:p>
        </w:tc>
        <w:tc>
          <w:tcPr>
            <w:tcW w:w="78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Awards</w:t>
            </w:r>
          </w:p>
        </w:tc>
        <w:tc>
          <w:tcPr>
            <w:tcW w:w="74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Grant</w:t>
            </w:r>
          </w:p>
        </w:tc>
        <w:tc>
          <w:tcPr>
            <w:tcW w:w="980" w:type="dxa"/>
            <w:vAlign w:val="bottom"/>
          </w:tcPr>
          <w:p>
            <w:pPr>
              <w:jc w:val="right"/>
              <w:spacing w:after="0" w:line="145" w:lineRule="exact"/>
              <w:rPr>
                <w:sz w:val="20"/>
                <w:szCs w:val="20"/>
                <w:color w:val="auto"/>
              </w:rPr>
            </w:pPr>
            <w:r>
              <w:rPr>
                <w:rFonts w:ascii="Arial" w:cs="Arial" w:eastAsia="Arial" w:hAnsi="Arial"/>
                <w:sz w:val="16"/>
                <w:szCs w:val="16"/>
                <w:b w:val="1"/>
                <w:bCs w:val="1"/>
                <w:color w:val="0C3D25"/>
              </w:rPr>
              <w:t>Awards</w:t>
            </w:r>
          </w:p>
        </w:tc>
        <w:tc>
          <w:tcPr>
            <w:tcW w:w="0" w:type="dxa"/>
            <w:vAlign w:val="bottom"/>
          </w:tcPr>
          <w:p>
            <w:pPr>
              <w:spacing w:after="0"/>
              <w:rPr>
                <w:sz w:val="1"/>
                <w:szCs w:val="1"/>
                <w:color w:val="auto"/>
              </w:rPr>
            </w:pPr>
          </w:p>
        </w:tc>
      </w:tr>
      <w:tr>
        <w:trPr>
          <w:trHeight w:val="206"/>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Grant Date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6"/>
                <w:szCs w:val="16"/>
                <w:b w:val="1"/>
                <w:bCs w:val="1"/>
                <w:color w:val="0C3D25"/>
              </w:rPr>
              <w:t>($)</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6"/>
                <w:szCs w:val="16"/>
                <w:b w:val="1"/>
                <w:bCs w:val="1"/>
                <w:color w:val="0C3D25"/>
              </w:rPr>
              <w:t>($)</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6"/>
                <w:szCs w:val="16"/>
                <w:b w:val="1"/>
                <w:bCs w:val="1"/>
                <w:color w:val="0C3D25"/>
              </w:rPr>
              <w:t>($)</w:t>
            </w:r>
          </w:p>
        </w:tc>
        <w:tc>
          <w:tcPr>
            <w:tcW w:w="860" w:type="dxa"/>
            <w:vAlign w:val="bottom"/>
            <w:tcBorders>
              <w:bottom w:val="single" w:sz="8" w:color="0C3D25"/>
            </w:tcBorders>
            <w:gridSpan w:val="2"/>
          </w:tcPr>
          <w:p>
            <w:pPr>
              <w:jc w:val="right"/>
              <w:spacing w:after="0"/>
              <w:rPr>
                <w:sz w:val="20"/>
                <w:szCs w:val="20"/>
                <w:color w:val="auto"/>
              </w:rPr>
            </w:pPr>
            <w:r>
              <w:rPr>
                <w:rFonts w:ascii="Arial" w:cs="Arial" w:eastAsia="Arial" w:hAnsi="Arial"/>
                <w:sz w:val="16"/>
                <w:szCs w:val="16"/>
                <w:b w:val="1"/>
                <w:bCs w:val="1"/>
                <w:color w:val="0C3D25"/>
              </w:rPr>
              <w:t>(#)</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w:t>
            </w:r>
          </w:p>
        </w:tc>
        <w:tc>
          <w:tcPr>
            <w:tcW w:w="84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6"/>
                <w:szCs w:val="16"/>
                <w:b w:val="1"/>
                <w:bCs w:val="1"/>
                <w:color w:val="0C3D25"/>
              </w:rPr>
              <w:t>(#)</w:t>
            </w:r>
          </w:p>
        </w:tc>
        <w:tc>
          <w:tcPr>
            <w:tcW w:w="900" w:type="dxa"/>
            <w:vAlign w:val="bottom"/>
            <w:tcBorders>
              <w:bottom w:val="single" w:sz="8" w:color="0C3D25"/>
            </w:tcBorders>
          </w:tcPr>
          <w:p>
            <w:pPr>
              <w:jc w:val="right"/>
              <w:spacing w:after="0" w:line="205" w:lineRule="exact"/>
              <w:rPr>
                <w:sz w:val="20"/>
                <w:szCs w:val="20"/>
                <w:color w:val="auto"/>
              </w:rPr>
            </w:pPr>
            <w:r>
              <w:rPr>
                <w:rFonts w:ascii="Arial" w:cs="Arial" w:eastAsia="Arial" w:hAnsi="Arial"/>
                <w:sz w:val="16"/>
                <w:szCs w:val="16"/>
                <w:b w:val="1"/>
                <w:bCs w:val="1"/>
                <w:color w:val="0C3D25"/>
              </w:rPr>
              <w:t>Units (#)</w:t>
            </w:r>
            <w:r>
              <w:rPr>
                <w:rFonts w:ascii="Arial" w:cs="Arial" w:eastAsia="Arial" w:hAnsi="Arial"/>
                <w:sz w:val="19"/>
                <w:szCs w:val="19"/>
                <w:b w:val="1"/>
                <w:bCs w:val="1"/>
                <w:color w:val="0C3D25"/>
                <w:vertAlign w:val="superscript"/>
              </w:rPr>
              <w:t>(3)</w:t>
            </w:r>
          </w:p>
        </w:tc>
        <w:tc>
          <w:tcPr>
            <w:tcW w:w="1000" w:type="dxa"/>
            <w:vAlign w:val="bottom"/>
            <w:tcBorders>
              <w:bottom w:val="single" w:sz="8" w:color="0C3D25"/>
            </w:tcBorders>
          </w:tcPr>
          <w:p>
            <w:pPr>
              <w:jc w:val="right"/>
              <w:spacing w:after="0" w:line="205" w:lineRule="exact"/>
              <w:rPr>
                <w:sz w:val="20"/>
                <w:szCs w:val="20"/>
                <w:color w:val="auto"/>
              </w:rPr>
            </w:pPr>
            <w:r>
              <w:rPr>
                <w:rFonts w:ascii="Arial" w:cs="Arial" w:eastAsia="Arial" w:hAnsi="Arial"/>
                <w:sz w:val="16"/>
                <w:szCs w:val="16"/>
                <w:b w:val="1"/>
                <w:bCs w:val="1"/>
                <w:color w:val="0C3D25"/>
                <w:w w:val="96"/>
              </w:rPr>
              <w:t>Options(#)</w:t>
            </w:r>
            <w:r>
              <w:rPr>
                <w:rFonts w:ascii="Arial" w:cs="Arial" w:eastAsia="Arial" w:hAnsi="Arial"/>
                <w:sz w:val="19"/>
                <w:szCs w:val="19"/>
                <w:b w:val="1"/>
                <w:bCs w:val="1"/>
                <w:color w:val="0C3D25"/>
                <w:w w:val="96"/>
                <w:vertAlign w:val="superscript"/>
              </w:rPr>
              <w:t>(4)</w:t>
            </w:r>
          </w:p>
        </w:tc>
        <w:tc>
          <w:tcPr>
            <w:tcW w:w="780" w:type="dxa"/>
            <w:vAlign w:val="bottom"/>
            <w:tcBorders>
              <w:bottom w:val="single" w:sz="8" w:color="0C3D25"/>
            </w:tcBorders>
          </w:tcPr>
          <w:p>
            <w:pPr>
              <w:jc w:val="right"/>
              <w:spacing w:after="0" w:line="205" w:lineRule="exact"/>
              <w:rPr>
                <w:sz w:val="20"/>
                <w:szCs w:val="20"/>
                <w:color w:val="auto"/>
              </w:rPr>
            </w:pPr>
            <w:r>
              <w:rPr>
                <w:rFonts w:ascii="Arial" w:cs="Arial" w:eastAsia="Arial" w:hAnsi="Arial"/>
                <w:sz w:val="16"/>
                <w:szCs w:val="16"/>
                <w:b w:val="1"/>
                <w:bCs w:val="1"/>
                <w:color w:val="0C3D25"/>
              </w:rPr>
              <w:t>($/sh)</w:t>
            </w:r>
            <w:r>
              <w:rPr>
                <w:rFonts w:ascii="Arial" w:cs="Arial" w:eastAsia="Arial" w:hAnsi="Arial"/>
                <w:sz w:val="19"/>
                <w:szCs w:val="19"/>
                <w:b w:val="1"/>
                <w:bCs w:val="1"/>
                <w:color w:val="0C3D25"/>
                <w:vertAlign w:val="superscript"/>
              </w:rPr>
              <w:t>(5)</w:t>
            </w:r>
          </w:p>
        </w:tc>
        <w:tc>
          <w:tcPr>
            <w:tcW w:w="74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($/sh)</w:t>
            </w:r>
          </w:p>
        </w:tc>
        <w:tc>
          <w:tcPr>
            <w:tcW w:w="980" w:type="dxa"/>
            <w:vAlign w:val="bottom"/>
            <w:tcBorders>
              <w:bottom w:val="single" w:sz="8" w:color="0C3D25"/>
            </w:tcBorders>
          </w:tcPr>
          <w:p>
            <w:pPr>
              <w:jc w:val="right"/>
              <w:spacing w:after="0" w:line="205" w:lineRule="exact"/>
              <w:rPr>
                <w:sz w:val="20"/>
                <w:szCs w:val="20"/>
                <w:color w:val="auto"/>
              </w:rPr>
            </w:pPr>
            <w:r>
              <w:rPr>
                <w:rFonts w:ascii="Arial" w:cs="Arial" w:eastAsia="Arial" w:hAnsi="Arial"/>
                <w:sz w:val="23"/>
                <w:szCs w:val="23"/>
                <w:b w:val="1"/>
                <w:bCs w:val="1"/>
                <w:color w:val="0C3D25"/>
                <w:vertAlign w:val="subscript"/>
              </w:rPr>
              <w:t>($)</w:t>
            </w:r>
            <w:r>
              <w:rPr>
                <w:rFonts w:ascii="Arial" w:cs="Arial" w:eastAsia="Arial" w:hAnsi="Arial"/>
                <w:sz w:val="8"/>
                <w:szCs w:val="8"/>
                <w:b w:val="1"/>
                <w:bCs w:val="1"/>
                <w:color w:val="0C3D25"/>
              </w:rPr>
              <w:t>(6)</w:t>
            </w:r>
          </w:p>
        </w:tc>
        <w:tc>
          <w:tcPr>
            <w:tcW w:w="0" w:type="dxa"/>
            <w:vAlign w:val="bottom"/>
          </w:tcPr>
          <w:p>
            <w:pPr>
              <w:spacing w:after="0"/>
              <w:rPr>
                <w:sz w:val="1"/>
                <w:szCs w:val="1"/>
                <w:color w:val="auto"/>
              </w:rPr>
            </w:pPr>
          </w:p>
        </w:tc>
      </w:tr>
      <w:tr>
        <w:trPr>
          <w:trHeight w:val="218"/>
        </w:trPr>
        <w:tc>
          <w:tcPr>
            <w:tcW w:w="2120" w:type="dxa"/>
            <w:vAlign w:val="bottom"/>
            <w:tcBorders>
              <w:bottom w:val="single" w:sz="8" w:color="0C3D25"/>
            </w:tcBorders>
            <w:gridSpan w:val="3"/>
          </w:tcPr>
          <w:p>
            <w:pPr>
              <w:ind w:left="60"/>
              <w:spacing w:after="0"/>
              <w:rPr>
                <w:sz w:val="20"/>
                <w:szCs w:val="20"/>
                <w:color w:val="auto"/>
              </w:rPr>
            </w:pPr>
            <w:r>
              <w:rPr>
                <w:rFonts w:ascii="Arial" w:cs="Arial" w:eastAsia="Arial" w:hAnsi="Arial"/>
                <w:sz w:val="18"/>
                <w:szCs w:val="18"/>
                <w:b w:val="1"/>
                <w:bCs w:val="1"/>
                <w:color w:val="auto"/>
              </w:rPr>
              <w:t>James C. Fish, Jr.</w:t>
            </w:r>
          </w:p>
        </w:tc>
        <w:tc>
          <w:tcPr>
            <w:tcW w:w="1040" w:type="dxa"/>
            <w:vAlign w:val="bottom"/>
            <w:tcBorders>
              <w:bottom w:val="single" w:sz="8" w:color="0C3D25"/>
            </w:tcBorders>
          </w:tcPr>
          <w:p>
            <w:pPr>
              <w:spacing w:after="0"/>
              <w:rPr>
                <w:sz w:val="19"/>
                <w:szCs w:val="19"/>
                <w:color w:val="auto"/>
              </w:rPr>
            </w:pPr>
          </w:p>
        </w:tc>
        <w:tc>
          <w:tcPr>
            <w:tcW w:w="780" w:type="dxa"/>
            <w:vAlign w:val="bottom"/>
            <w:tcBorders>
              <w:bottom w:val="single" w:sz="8" w:color="0C3D25"/>
            </w:tcBorders>
          </w:tcPr>
          <w:p>
            <w:pPr>
              <w:spacing w:after="0"/>
              <w:rPr>
                <w:sz w:val="19"/>
                <w:szCs w:val="19"/>
                <w:color w:val="auto"/>
              </w:rPr>
            </w:pPr>
          </w:p>
        </w:tc>
        <w:tc>
          <w:tcPr>
            <w:tcW w:w="80" w:type="dxa"/>
            <w:vAlign w:val="bottom"/>
            <w:tcBorders>
              <w:bottom w:val="single" w:sz="8" w:color="0C3D25"/>
            </w:tcBorders>
          </w:tcPr>
          <w:p>
            <w:pPr>
              <w:spacing w:after="0"/>
              <w:rPr>
                <w:sz w:val="19"/>
                <w:szCs w:val="19"/>
                <w:color w:val="auto"/>
              </w:rPr>
            </w:pPr>
          </w:p>
        </w:tc>
        <w:tc>
          <w:tcPr>
            <w:tcW w:w="60" w:type="dxa"/>
            <w:vAlign w:val="bottom"/>
            <w:tcBorders>
              <w:bottom w:val="single" w:sz="8" w:color="0C3D25"/>
            </w:tcBorders>
          </w:tcPr>
          <w:p>
            <w:pPr>
              <w:spacing w:after="0"/>
              <w:rPr>
                <w:sz w:val="19"/>
                <w:szCs w:val="19"/>
                <w:color w:val="auto"/>
              </w:rPr>
            </w:pPr>
          </w:p>
        </w:tc>
        <w:tc>
          <w:tcPr>
            <w:tcW w:w="800" w:type="dxa"/>
            <w:vAlign w:val="bottom"/>
            <w:tcBorders>
              <w:bottom w:val="single" w:sz="8" w:color="0C3D25"/>
            </w:tcBorders>
          </w:tcPr>
          <w:p>
            <w:pPr>
              <w:spacing w:after="0"/>
              <w:rPr>
                <w:sz w:val="19"/>
                <w:szCs w:val="19"/>
                <w:color w:val="auto"/>
              </w:rPr>
            </w:pPr>
          </w:p>
        </w:tc>
        <w:tc>
          <w:tcPr>
            <w:tcW w:w="680" w:type="dxa"/>
            <w:vAlign w:val="bottom"/>
            <w:tcBorders>
              <w:bottom w:val="single" w:sz="8" w:color="0C3D25"/>
            </w:tcBorders>
          </w:tcPr>
          <w:p>
            <w:pPr>
              <w:spacing w:after="0"/>
              <w:rPr>
                <w:sz w:val="19"/>
                <w:szCs w:val="19"/>
                <w:color w:val="auto"/>
              </w:rPr>
            </w:pPr>
          </w:p>
        </w:tc>
        <w:tc>
          <w:tcPr>
            <w:tcW w:w="760" w:type="dxa"/>
            <w:vAlign w:val="bottom"/>
            <w:tcBorders>
              <w:bottom w:val="single" w:sz="8" w:color="0C3D25"/>
            </w:tcBorders>
          </w:tcPr>
          <w:p>
            <w:pPr>
              <w:spacing w:after="0"/>
              <w:rPr>
                <w:sz w:val="19"/>
                <w:szCs w:val="19"/>
                <w:color w:val="auto"/>
              </w:rPr>
            </w:pPr>
          </w:p>
        </w:tc>
        <w:tc>
          <w:tcPr>
            <w:tcW w:w="80" w:type="dxa"/>
            <w:vAlign w:val="bottom"/>
            <w:tcBorders>
              <w:bottom w:val="single" w:sz="8" w:color="0C3D25"/>
            </w:tcBorders>
          </w:tcPr>
          <w:p>
            <w:pPr>
              <w:spacing w:after="0"/>
              <w:rPr>
                <w:sz w:val="19"/>
                <w:szCs w:val="19"/>
                <w:color w:val="auto"/>
              </w:rPr>
            </w:pPr>
          </w:p>
        </w:tc>
        <w:tc>
          <w:tcPr>
            <w:tcW w:w="900" w:type="dxa"/>
            <w:vAlign w:val="bottom"/>
            <w:tcBorders>
              <w:bottom w:val="single" w:sz="8" w:color="0C3D25"/>
            </w:tcBorders>
          </w:tcPr>
          <w:p>
            <w:pPr>
              <w:spacing w:after="0"/>
              <w:rPr>
                <w:sz w:val="19"/>
                <w:szCs w:val="19"/>
                <w:color w:val="auto"/>
              </w:rPr>
            </w:pPr>
          </w:p>
        </w:tc>
        <w:tc>
          <w:tcPr>
            <w:tcW w:w="1000" w:type="dxa"/>
            <w:vAlign w:val="bottom"/>
            <w:tcBorders>
              <w:bottom w:val="single" w:sz="8" w:color="0C3D25"/>
            </w:tcBorders>
          </w:tcPr>
          <w:p>
            <w:pPr>
              <w:spacing w:after="0"/>
              <w:rPr>
                <w:sz w:val="19"/>
                <w:szCs w:val="19"/>
                <w:color w:val="auto"/>
              </w:rPr>
            </w:pPr>
          </w:p>
        </w:tc>
        <w:tc>
          <w:tcPr>
            <w:tcW w:w="780" w:type="dxa"/>
            <w:vAlign w:val="bottom"/>
            <w:tcBorders>
              <w:bottom w:val="single" w:sz="8" w:color="0C3D25"/>
            </w:tcBorders>
          </w:tcPr>
          <w:p>
            <w:pPr>
              <w:spacing w:after="0"/>
              <w:rPr>
                <w:sz w:val="19"/>
                <w:szCs w:val="19"/>
                <w:color w:val="auto"/>
              </w:rPr>
            </w:pPr>
          </w:p>
        </w:tc>
        <w:tc>
          <w:tcPr>
            <w:tcW w:w="740" w:type="dxa"/>
            <w:vAlign w:val="bottom"/>
            <w:tcBorders>
              <w:bottom w:val="single" w:sz="8" w:color="0C3D25"/>
            </w:tcBorders>
          </w:tcPr>
          <w:p>
            <w:pPr>
              <w:spacing w:after="0"/>
              <w:rPr>
                <w:sz w:val="19"/>
                <w:szCs w:val="19"/>
                <w:color w:val="auto"/>
              </w:rPr>
            </w:pPr>
          </w:p>
        </w:tc>
        <w:tc>
          <w:tcPr>
            <w:tcW w:w="980" w:type="dxa"/>
            <w:vAlign w:val="bottom"/>
            <w:tcBorders>
              <w:bottom w:val="single" w:sz="8" w:color="0C3D25"/>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1,440,000</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2,400,000</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w w:val="94"/>
              </w:rPr>
              <w:t>4,800,000</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21,818</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43,636</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87,272</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w w:val="99"/>
              </w:rPr>
              <w:t>12,406,478</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jc w:val="right"/>
              <w:ind w:right="155"/>
              <w:spacing w:after="0"/>
              <w:rPr>
                <w:sz w:val="20"/>
                <w:szCs w:val="20"/>
                <w:color w:val="auto"/>
              </w:rPr>
            </w:pPr>
            <w:r>
              <w:rPr>
                <w:rFonts w:ascii="Arial" w:cs="Arial" w:eastAsia="Arial" w:hAnsi="Arial"/>
                <w:sz w:val="18"/>
                <w:szCs w:val="18"/>
                <w:color w:val="auto"/>
              </w:rPr>
              <w:t>50,580</w:t>
            </w:r>
          </w:p>
        </w:tc>
        <w:tc>
          <w:tcPr>
            <w:tcW w:w="7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231.195</w:t>
            </w:r>
          </w:p>
        </w:tc>
        <w:tc>
          <w:tcPr>
            <w:tcW w:w="740" w:type="dxa"/>
            <w:vAlign w:val="bottom"/>
            <w:tcBorders>
              <w:bottom w:val="single" w:sz="8" w:color="0C3D25"/>
            </w:tcBorders>
          </w:tcPr>
          <w:p>
            <w:pPr>
              <w:jc w:val="right"/>
              <w:ind w:right="15"/>
              <w:spacing w:after="0"/>
              <w:rPr>
                <w:sz w:val="20"/>
                <w:szCs w:val="20"/>
                <w:color w:val="auto"/>
              </w:rPr>
            </w:pPr>
            <w:r>
              <w:rPr>
                <w:rFonts w:ascii="Arial" w:cs="Arial" w:eastAsia="Arial" w:hAnsi="Arial"/>
                <w:sz w:val="18"/>
                <w:szCs w:val="18"/>
                <w:color w:val="auto"/>
              </w:rPr>
              <w:t>230.75</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2,400,021</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b w:val="1"/>
                <w:bCs w:val="1"/>
                <w:color w:val="auto"/>
              </w:rPr>
              <w:t>David L. Reed</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276,395</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460,658</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rPr>
              <w:t>921,315</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545</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1,090</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309,906</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jc w:val="right"/>
              <w:ind w:right="156"/>
              <w:spacing w:after="0"/>
              <w:rPr>
                <w:sz w:val="20"/>
                <w:szCs w:val="20"/>
                <w:color w:val="auto"/>
              </w:rPr>
            </w:pPr>
            <w:r>
              <w:rPr>
                <w:rFonts w:ascii="Arial" w:cs="Arial" w:eastAsia="Arial" w:hAnsi="Arial"/>
                <w:sz w:val="18"/>
                <w:szCs w:val="18"/>
                <w:color w:val="auto"/>
              </w:rPr>
              <w:t>727</w:t>
            </w: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168,079</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11/3/25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jc w:val="right"/>
              <w:ind w:right="156"/>
              <w:spacing w:after="0"/>
              <w:rPr>
                <w:sz w:val="20"/>
                <w:szCs w:val="20"/>
                <w:color w:val="auto"/>
              </w:rPr>
            </w:pPr>
            <w:r>
              <w:rPr>
                <w:rFonts w:ascii="Arial" w:cs="Arial" w:eastAsia="Arial" w:hAnsi="Arial"/>
                <w:sz w:val="18"/>
                <w:szCs w:val="18"/>
                <w:color w:val="auto"/>
              </w:rPr>
              <w:t>2,628</w:t>
            </w: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517,006</w:t>
            </w:r>
          </w:p>
        </w:tc>
        <w:tc>
          <w:tcPr>
            <w:tcW w:w="0" w:type="dxa"/>
            <w:vAlign w:val="bottom"/>
          </w:tcPr>
          <w:p>
            <w:pPr>
              <w:spacing w:after="0"/>
              <w:rPr>
                <w:sz w:val="1"/>
                <w:szCs w:val="1"/>
                <w:color w:val="auto"/>
              </w:rPr>
            </w:pPr>
          </w:p>
        </w:tc>
      </w:tr>
      <w:tr>
        <w:trPr>
          <w:trHeight w:val="208"/>
        </w:trPr>
        <w:tc>
          <w:tcPr>
            <w:tcW w:w="2120" w:type="dxa"/>
            <w:vAlign w:val="bottom"/>
            <w:tcBorders>
              <w:bottom w:val="single" w:sz="8" w:color="0C3D25"/>
            </w:tcBorders>
            <w:gridSpan w:val="3"/>
          </w:tcPr>
          <w:p>
            <w:pPr>
              <w:ind w:left="60"/>
              <w:spacing w:after="0"/>
              <w:rPr>
                <w:sz w:val="20"/>
                <w:szCs w:val="20"/>
                <w:color w:val="auto"/>
              </w:rPr>
            </w:pPr>
            <w:r>
              <w:rPr>
                <w:rFonts w:ascii="Arial" w:cs="Arial" w:eastAsia="Arial" w:hAnsi="Arial"/>
                <w:sz w:val="18"/>
                <w:szCs w:val="18"/>
                <w:b w:val="1"/>
                <w:bCs w:val="1"/>
                <w:color w:val="auto"/>
              </w:rPr>
              <w:t>Devina A. Rankin</w:t>
            </w: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507,098</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845,163</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w w:val="94"/>
              </w:rPr>
              <w:t>1,690,327</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4,909</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9,818</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19,636</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2,791,429</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jc w:val="right"/>
              <w:ind w:right="155"/>
              <w:spacing w:after="0"/>
              <w:rPr>
                <w:sz w:val="20"/>
                <w:szCs w:val="20"/>
                <w:color w:val="auto"/>
              </w:rPr>
            </w:pPr>
            <w:r>
              <w:rPr>
                <w:rFonts w:ascii="Arial" w:cs="Arial" w:eastAsia="Arial" w:hAnsi="Arial"/>
                <w:sz w:val="18"/>
                <w:szCs w:val="18"/>
                <w:color w:val="auto"/>
              </w:rPr>
              <w:t>11,380</w:t>
            </w:r>
          </w:p>
        </w:tc>
        <w:tc>
          <w:tcPr>
            <w:tcW w:w="7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231.195</w:t>
            </w:r>
          </w:p>
        </w:tc>
        <w:tc>
          <w:tcPr>
            <w:tcW w:w="740" w:type="dxa"/>
            <w:vAlign w:val="bottom"/>
            <w:tcBorders>
              <w:bottom w:val="single" w:sz="8" w:color="0C3D25"/>
            </w:tcBorders>
          </w:tcPr>
          <w:p>
            <w:pPr>
              <w:jc w:val="right"/>
              <w:ind w:right="15"/>
              <w:spacing w:after="0"/>
              <w:rPr>
                <w:sz w:val="20"/>
                <w:szCs w:val="20"/>
                <w:color w:val="auto"/>
              </w:rPr>
            </w:pPr>
            <w:r>
              <w:rPr>
                <w:rFonts w:ascii="Arial" w:cs="Arial" w:eastAsia="Arial" w:hAnsi="Arial"/>
                <w:sz w:val="18"/>
                <w:szCs w:val="18"/>
                <w:color w:val="auto"/>
              </w:rPr>
              <w:t>230.75</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539,981</w:t>
            </w:r>
          </w:p>
        </w:tc>
        <w:tc>
          <w:tcPr>
            <w:tcW w:w="0" w:type="dxa"/>
            <w:vAlign w:val="bottom"/>
          </w:tcPr>
          <w:p>
            <w:pPr>
              <w:spacing w:after="0"/>
              <w:rPr>
                <w:sz w:val="1"/>
                <w:szCs w:val="1"/>
                <w:color w:val="auto"/>
              </w:rPr>
            </w:pPr>
          </w:p>
        </w:tc>
      </w:tr>
      <w:tr>
        <w:trPr>
          <w:trHeight w:val="208"/>
        </w:trPr>
        <w:tc>
          <w:tcPr>
            <w:tcW w:w="2120" w:type="dxa"/>
            <w:vAlign w:val="bottom"/>
            <w:tcBorders>
              <w:bottom w:val="single" w:sz="8" w:color="0C3D25"/>
            </w:tcBorders>
            <w:gridSpan w:val="3"/>
          </w:tcPr>
          <w:p>
            <w:pPr>
              <w:ind w:left="60"/>
              <w:spacing w:after="0"/>
              <w:rPr>
                <w:sz w:val="20"/>
                <w:szCs w:val="20"/>
                <w:color w:val="auto"/>
              </w:rPr>
            </w:pPr>
            <w:r>
              <w:rPr>
                <w:rFonts w:ascii="Arial" w:cs="Arial" w:eastAsia="Arial" w:hAnsi="Arial"/>
                <w:sz w:val="18"/>
                <w:szCs w:val="18"/>
                <w:b w:val="1"/>
                <w:bCs w:val="1"/>
                <w:color w:val="auto"/>
              </w:rPr>
              <w:t>John J. Morris, Jr.</w:t>
            </w: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750,000</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1,250,000</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w w:val="94"/>
              </w:rPr>
              <w:t>2,500,000</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5,636</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11,272</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22,544</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3,204,827</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jc w:val="right"/>
              <w:ind w:right="155"/>
              <w:spacing w:after="0"/>
              <w:rPr>
                <w:sz w:val="20"/>
                <w:szCs w:val="20"/>
                <w:color w:val="auto"/>
              </w:rPr>
            </w:pPr>
            <w:r>
              <w:rPr>
                <w:rFonts w:ascii="Arial" w:cs="Arial" w:eastAsia="Arial" w:hAnsi="Arial"/>
                <w:sz w:val="18"/>
                <w:szCs w:val="18"/>
                <w:color w:val="auto"/>
              </w:rPr>
              <w:t>13,066</w:t>
            </w:r>
          </w:p>
        </w:tc>
        <w:tc>
          <w:tcPr>
            <w:tcW w:w="7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231.195</w:t>
            </w:r>
          </w:p>
        </w:tc>
        <w:tc>
          <w:tcPr>
            <w:tcW w:w="740" w:type="dxa"/>
            <w:vAlign w:val="bottom"/>
            <w:tcBorders>
              <w:bottom w:val="single" w:sz="8" w:color="0C3D25"/>
            </w:tcBorders>
          </w:tcPr>
          <w:p>
            <w:pPr>
              <w:jc w:val="right"/>
              <w:ind w:right="15"/>
              <w:spacing w:after="0"/>
              <w:rPr>
                <w:sz w:val="20"/>
                <w:szCs w:val="20"/>
                <w:color w:val="auto"/>
              </w:rPr>
            </w:pPr>
            <w:r>
              <w:rPr>
                <w:rFonts w:ascii="Arial" w:cs="Arial" w:eastAsia="Arial" w:hAnsi="Arial"/>
                <w:sz w:val="18"/>
                <w:szCs w:val="18"/>
                <w:color w:val="auto"/>
              </w:rPr>
              <w:t>230.75</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619,982</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5/20/25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jc w:val="right"/>
              <w:ind w:right="156"/>
              <w:spacing w:after="0"/>
              <w:rPr>
                <w:sz w:val="20"/>
                <w:szCs w:val="20"/>
                <w:color w:val="auto"/>
              </w:rPr>
            </w:pPr>
            <w:r>
              <w:rPr>
                <w:rFonts w:ascii="Arial" w:cs="Arial" w:eastAsia="Arial" w:hAnsi="Arial"/>
                <w:sz w:val="18"/>
                <w:szCs w:val="18"/>
                <w:color w:val="auto"/>
              </w:rPr>
              <w:t>4,585</w:t>
            </w: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1,069,497</w:t>
            </w:r>
          </w:p>
        </w:tc>
        <w:tc>
          <w:tcPr>
            <w:tcW w:w="0" w:type="dxa"/>
            <w:vAlign w:val="bottom"/>
          </w:tcPr>
          <w:p>
            <w:pPr>
              <w:spacing w:after="0"/>
              <w:rPr>
                <w:sz w:val="1"/>
                <w:szCs w:val="1"/>
                <w:color w:val="auto"/>
              </w:rPr>
            </w:pPr>
          </w:p>
        </w:tc>
      </w:tr>
      <w:tr>
        <w:trPr>
          <w:trHeight w:val="208"/>
        </w:trPr>
        <w:tc>
          <w:tcPr>
            <w:tcW w:w="2120" w:type="dxa"/>
            <w:vAlign w:val="bottom"/>
            <w:tcBorders>
              <w:bottom w:val="single" w:sz="8" w:color="0C3D25"/>
            </w:tcBorders>
            <w:gridSpan w:val="3"/>
          </w:tcPr>
          <w:p>
            <w:pPr>
              <w:ind w:left="60"/>
              <w:spacing w:after="0"/>
              <w:rPr>
                <w:sz w:val="20"/>
                <w:szCs w:val="20"/>
                <w:color w:val="auto"/>
              </w:rPr>
            </w:pPr>
            <w:r>
              <w:rPr>
                <w:rFonts w:ascii="Arial" w:cs="Arial" w:eastAsia="Arial" w:hAnsi="Arial"/>
                <w:sz w:val="18"/>
                <w:szCs w:val="18"/>
                <w:b w:val="1"/>
                <w:bCs w:val="1"/>
                <w:color w:val="auto"/>
              </w:rPr>
              <w:t>Tara J. Hemmer</w:t>
            </w: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412,965</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688,275</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w w:val="94"/>
              </w:rPr>
              <w:t>1,376,550</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3,818</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7,636</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15,272</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2,171,048</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jc w:val="right"/>
              <w:ind w:right="155"/>
              <w:spacing w:after="0"/>
              <w:rPr>
                <w:sz w:val="20"/>
                <w:szCs w:val="20"/>
                <w:color w:val="auto"/>
              </w:rPr>
            </w:pPr>
            <w:r>
              <w:rPr>
                <w:rFonts w:ascii="Arial" w:cs="Arial" w:eastAsia="Arial" w:hAnsi="Arial"/>
                <w:sz w:val="18"/>
                <w:szCs w:val="18"/>
                <w:color w:val="auto"/>
              </w:rPr>
              <w:t>8,851</w:t>
            </w:r>
          </w:p>
        </w:tc>
        <w:tc>
          <w:tcPr>
            <w:tcW w:w="7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231.195</w:t>
            </w:r>
          </w:p>
        </w:tc>
        <w:tc>
          <w:tcPr>
            <w:tcW w:w="740" w:type="dxa"/>
            <w:vAlign w:val="bottom"/>
            <w:tcBorders>
              <w:bottom w:val="single" w:sz="8" w:color="0C3D25"/>
            </w:tcBorders>
          </w:tcPr>
          <w:p>
            <w:pPr>
              <w:jc w:val="right"/>
              <w:ind w:right="15"/>
              <w:spacing w:after="0"/>
              <w:rPr>
                <w:sz w:val="20"/>
                <w:szCs w:val="20"/>
                <w:color w:val="auto"/>
              </w:rPr>
            </w:pPr>
            <w:r>
              <w:rPr>
                <w:rFonts w:ascii="Arial" w:cs="Arial" w:eastAsia="Arial" w:hAnsi="Arial"/>
                <w:sz w:val="18"/>
                <w:szCs w:val="18"/>
                <w:color w:val="auto"/>
              </w:rPr>
              <w:t>230.75</w:t>
            </w: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419,980</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9/2/25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jc w:val="right"/>
              <w:ind w:right="156"/>
              <w:spacing w:after="0"/>
              <w:rPr>
                <w:sz w:val="20"/>
                <w:szCs w:val="20"/>
                <w:color w:val="auto"/>
              </w:rPr>
            </w:pPr>
            <w:r>
              <w:rPr>
                <w:rFonts w:ascii="Arial" w:cs="Arial" w:eastAsia="Arial" w:hAnsi="Arial"/>
                <w:sz w:val="18"/>
                <w:szCs w:val="18"/>
                <w:color w:val="auto"/>
              </w:rPr>
              <w:t>9,130</w:t>
            </w: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2,056,910</w:t>
            </w:r>
          </w:p>
        </w:tc>
        <w:tc>
          <w:tcPr>
            <w:tcW w:w="0" w:type="dxa"/>
            <w:vAlign w:val="bottom"/>
          </w:tcPr>
          <w:p>
            <w:pPr>
              <w:spacing w:after="0"/>
              <w:rPr>
                <w:sz w:val="1"/>
                <w:szCs w:val="1"/>
                <w:color w:val="auto"/>
              </w:rPr>
            </w:pPr>
          </w:p>
        </w:tc>
      </w:tr>
      <w:tr>
        <w:trPr>
          <w:trHeight w:val="208"/>
        </w:trPr>
        <w:tc>
          <w:tcPr>
            <w:tcW w:w="2120" w:type="dxa"/>
            <w:vAlign w:val="bottom"/>
            <w:tcBorders>
              <w:bottom w:val="single" w:sz="8" w:color="0C3D25"/>
            </w:tcBorders>
            <w:gridSpan w:val="3"/>
          </w:tcPr>
          <w:p>
            <w:pPr>
              <w:ind w:left="60"/>
              <w:spacing w:after="0"/>
              <w:rPr>
                <w:sz w:val="20"/>
                <w:szCs w:val="20"/>
                <w:color w:val="auto"/>
              </w:rPr>
            </w:pPr>
            <w:r>
              <w:rPr>
                <w:rFonts w:ascii="Arial" w:cs="Arial" w:eastAsia="Arial" w:hAnsi="Arial"/>
                <w:sz w:val="18"/>
                <w:szCs w:val="18"/>
                <w:b w:val="1"/>
                <w:bCs w:val="1"/>
                <w:color w:val="auto"/>
              </w:rPr>
              <w:t>Rafael E. Carrasco</w:t>
            </w: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60"/>
              <w:spacing w:after="0"/>
              <w:rPr>
                <w:sz w:val="20"/>
                <w:szCs w:val="20"/>
                <w:color w:val="auto"/>
              </w:rPr>
            </w:pPr>
            <w:r>
              <w:rPr>
                <w:rFonts w:ascii="Arial" w:cs="Arial" w:eastAsia="Arial" w:hAnsi="Arial"/>
                <w:sz w:val="18"/>
                <w:szCs w:val="18"/>
                <w:color w:val="auto"/>
              </w:rPr>
              <w:t>Cash Incentive</w:t>
            </w:r>
          </w:p>
        </w:tc>
        <w:tc>
          <w:tcPr>
            <w:tcW w:w="840" w:type="dxa"/>
            <w:vAlign w:val="bottom"/>
            <w:tcBorders>
              <w:bottom w:val="single" w:sz="8" w:color="0C3D25"/>
            </w:tcBorders>
            <w:gridSpan w:val="2"/>
          </w:tcPr>
          <w:p>
            <w:pPr>
              <w:jc w:val="right"/>
              <w:spacing w:after="0"/>
              <w:rPr>
                <w:sz w:val="20"/>
                <w:szCs w:val="20"/>
                <w:color w:val="auto"/>
              </w:rPr>
            </w:pPr>
            <w:r>
              <w:rPr>
                <w:rFonts w:ascii="Arial" w:cs="Arial" w:eastAsia="Arial" w:hAnsi="Arial"/>
                <w:sz w:val="18"/>
                <w:szCs w:val="18"/>
                <w:color w:val="auto"/>
              </w:rPr>
              <w:t>405,755</w:t>
            </w:r>
          </w:p>
        </w:tc>
        <w:tc>
          <w:tcPr>
            <w:tcW w:w="1040" w:type="dxa"/>
            <w:vAlign w:val="bottom"/>
            <w:tcBorders>
              <w:bottom w:val="single" w:sz="8" w:color="0C3D25"/>
            </w:tcBorders>
          </w:tcPr>
          <w:p>
            <w:pPr>
              <w:jc w:val="right"/>
              <w:ind w:right="52"/>
              <w:spacing w:after="0"/>
              <w:rPr>
                <w:sz w:val="20"/>
                <w:szCs w:val="20"/>
                <w:color w:val="auto"/>
              </w:rPr>
            </w:pPr>
            <w:r>
              <w:rPr>
                <w:rFonts w:ascii="Arial" w:cs="Arial" w:eastAsia="Arial" w:hAnsi="Arial"/>
                <w:sz w:val="18"/>
                <w:szCs w:val="18"/>
                <w:color w:val="auto"/>
              </w:rPr>
              <w:t>676,258</w:t>
            </w:r>
          </w:p>
        </w:tc>
        <w:tc>
          <w:tcPr>
            <w:tcW w:w="860" w:type="dxa"/>
            <w:vAlign w:val="bottom"/>
            <w:tcBorders>
              <w:bottom w:val="single" w:sz="8" w:color="0C3D25"/>
            </w:tcBorders>
            <w:gridSpan w:val="2"/>
          </w:tcPr>
          <w:p>
            <w:pPr>
              <w:jc w:val="right"/>
              <w:ind w:right="80"/>
              <w:spacing w:after="0"/>
              <w:rPr>
                <w:sz w:val="20"/>
                <w:szCs w:val="20"/>
                <w:color w:val="auto"/>
              </w:rPr>
            </w:pPr>
            <w:r>
              <w:rPr>
                <w:rFonts w:ascii="Arial" w:cs="Arial" w:eastAsia="Arial" w:hAnsi="Arial"/>
                <w:sz w:val="18"/>
                <w:szCs w:val="18"/>
                <w:color w:val="auto"/>
                <w:w w:val="94"/>
              </w:rPr>
              <w:t>1,352,517</w:t>
            </w:r>
          </w:p>
        </w:tc>
        <w:tc>
          <w:tcPr>
            <w:tcW w:w="60" w:type="dxa"/>
            <w:vAlign w:val="bottom"/>
            <w:tcBorders>
              <w:bottom w:val="single" w:sz="8" w:color="0C3D25"/>
            </w:tcBorders>
          </w:tcPr>
          <w:p>
            <w:pPr>
              <w:spacing w:after="0"/>
              <w:rPr>
                <w:sz w:val="18"/>
                <w:szCs w:val="18"/>
                <w:color w:val="auto"/>
              </w:rPr>
            </w:pPr>
          </w:p>
        </w:tc>
        <w:tc>
          <w:tcPr>
            <w:tcW w:w="800" w:type="dxa"/>
            <w:vAlign w:val="bottom"/>
            <w:tcBorders>
              <w:bottom w:val="single" w:sz="8" w:color="0C3D25"/>
            </w:tcBorders>
          </w:tcPr>
          <w:p>
            <w:pPr>
              <w:spacing w:after="0"/>
              <w:rPr>
                <w:sz w:val="18"/>
                <w:szCs w:val="18"/>
                <w:color w:val="auto"/>
              </w:rPr>
            </w:pPr>
          </w:p>
        </w:tc>
        <w:tc>
          <w:tcPr>
            <w:tcW w:w="680" w:type="dxa"/>
            <w:vAlign w:val="bottom"/>
            <w:tcBorders>
              <w:bottom w:val="single" w:sz="8" w:color="0C3D25"/>
            </w:tcBorders>
          </w:tcPr>
          <w:p>
            <w:pPr>
              <w:spacing w:after="0"/>
              <w:rPr>
                <w:sz w:val="18"/>
                <w:szCs w:val="18"/>
                <w:color w:val="auto"/>
              </w:rPr>
            </w:pPr>
          </w:p>
        </w:tc>
        <w:tc>
          <w:tcPr>
            <w:tcW w:w="76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C3D25"/>
            </w:tcBorders>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104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80" w:type="dxa"/>
            <w:vAlign w:val="bottom"/>
            <w:tcBorders>
              <w:bottom w:val="single" w:sz="8" w:color="0C3D25"/>
            </w:tcBorders>
          </w:tcPr>
          <w:p>
            <w:pPr>
              <w:spacing w:after="0"/>
              <w:rPr>
                <w:sz w:val="18"/>
                <w:szCs w:val="18"/>
                <w:color w:val="auto"/>
              </w:rPr>
            </w:pPr>
          </w:p>
        </w:tc>
        <w:tc>
          <w:tcPr>
            <w:tcW w:w="860" w:type="dxa"/>
            <w:vAlign w:val="bottom"/>
            <w:tcBorders>
              <w:bottom w:val="single" w:sz="8" w:color="0C3D25"/>
            </w:tcBorders>
            <w:gridSpan w:val="2"/>
          </w:tcPr>
          <w:p>
            <w:pPr>
              <w:jc w:val="right"/>
              <w:ind w:right="100"/>
              <w:spacing w:after="0"/>
              <w:rPr>
                <w:sz w:val="20"/>
                <w:szCs w:val="20"/>
                <w:color w:val="auto"/>
              </w:rPr>
            </w:pPr>
            <w:r>
              <w:rPr>
                <w:rFonts w:ascii="Arial" w:cs="Arial" w:eastAsia="Arial" w:hAnsi="Arial"/>
                <w:sz w:val="18"/>
                <w:szCs w:val="18"/>
                <w:color w:val="auto"/>
              </w:rPr>
              <w:t>3,818</w:t>
            </w:r>
          </w:p>
        </w:tc>
        <w:tc>
          <w:tcPr>
            <w:tcW w:w="6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7,636</w:t>
            </w:r>
          </w:p>
        </w:tc>
        <w:tc>
          <w:tcPr>
            <w:tcW w:w="76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15,272</w:t>
            </w:r>
          </w:p>
        </w:tc>
        <w:tc>
          <w:tcPr>
            <w:tcW w:w="80" w:type="dxa"/>
            <w:vAlign w:val="bottom"/>
            <w:tcBorders>
              <w:bottom w:val="single" w:sz="8" w:color="0C3D25"/>
            </w:tcBorders>
          </w:tcPr>
          <w:p>
            <w:pPr>
              <w:spacing w:after="0"/>
              <w:rPr>
                <w:sz w:val="18"/>
                <w:szCs w:val="18"/>
                <w:color w:val="auto"/>
              </w:rPr>
            </w:pPr>
          </w:p>
        </w:tc>
        <w:tc>
          <w:tcPr>
            <w:tcW w:w="900" w:type="dxa"/>
            <w:vAlign w:val="bottom"/>
            <w:tcBorders>
              <w:bottom w:val="single" w:sz="8" w:color="0C3D25"/>
            </w:tcBorders>
          </w:tcPr>
          <w:p>
            <w:pPr>
              <w:spacing w:after="0"/>
              <w:rPr>
                <w:sz w:val="18"/>
                <w:szCs w:val="18"/>
                <w:color w:val="auto"/>
              </w:rPr>
            </w:pPr>
          </w:p>
        </w:tc>
        <w:tc>
          <w:tcPr>
            <w:tcW w:w="1000" w:type="dxa"/>
            <w:vAlign w:val="bottom"/>
            <w:tcBorders>
              <w:bottom w:val="single" w:sz="8" w:color="0C3D25"/>
            </w:tcBorders>
          </w:tcPr>
          <w:p>
            <w:pPr>
              <w:spacing w:after="0"/>
              <w:rPr>
                <w:sz w:val="18"/>
                <w:szCs w:val="18"/>
                <w:color w:val="auto"/>
              </w:rPr>
            </w:pPr>
          </w:p>
        </w:tc>
        <w:tc>
          <w:tcPr>
            <w:tcW w:w="780" w:type="dxa"/>
            <w:vAlign w:val="bottom"/>
            <w:tcBorders>
              <w:bottom w:val="single" w:sz="8" w:color="0C3D25"/>
            </w:tcBorders>
          </w:tcPr>
          <w:p>
            <w:pPr>
              <w:spacing w:after="0"/>
              <w:rPr>
                <w:sz w:val="18"/>
                <w:szCs w:val="18"/>
                <w:color w:val="auto"/>
              </w:rPr>
            </w:pPr>
          </w:p>
        </w:tc>
        <w:tc>
          <w:tcPr>
            <w:tcW w:w="740" w:type="dxa"/>
            <w:vAlign w:val="bottom"/>
            <w:tcBorders>
              <w:bottom w:val="single" w:sz="8" w:color="0C3D25"/>
            </w:tcBorders>
          </w:tcPr>
          <w:p>
            <w:pPr>
              <w:spacing w:after="0"/>
              <w:rPr>
                <w:sz w:val="18"/>
                <w:szCs w:val="18"/>
                <w:color w:val="auto"/>
              </w:rPr>
            </w:pPr>
          </w:p>
        </w:tc>
        <w:tc>
          <w:tcPr>
            <w:tcW w:w="980" w:type="dxa"/>
            <w:vAlign w:val="bottom"/>
            <w:tcBorders>
              <w:bottom w:val="single" w:sz="8" w:color="0C3D25"/>
            </w:tcBorders>
          </w:tcPr>
          <w:p>
            <w:pPr>
              <w:jc w:val="right"/>
              <w:spacing w:after="0"/>
              <w:rPr>
                <w:sz w:val="20"/>
                <w:szCs w:val="20"/>
                <w:color w:val="auto"/>
              </w:rPr>
            </w:pPr>
            <w:r>
              <w:rPr>
                <w:rFonts w:ascii="Arial" w:cs="Arial" w:eastAsia="Arial" w:hAnsi="Arial"/>
                <w:sz w:val="18"/>
                <w:szCs w:val="18"/>
                <w:color w:val="auto"/>
              </w:rPr>
              <w:t>2,171,048</w:t>
            </w:r>
          </w:p>
        </w:tc>
        <w:tc>
          <w:tcPr>
            <w:tcW w:w="0" w:type="dxa"/>
            <w:vAlign w:val="bottom"/>
          </w:tcPr>
          <w:p>
            <w:pPr>
              <w:spacing w:after="0"/>
              <w:rPr>
                <w:sz w:val="1"/>
                <w:szCs w:val="1"/>
                <w:color w:val="auto"/>
              </w:rPr>
            </w:pPr>
          </w:p>
        </w:tc>
      </w:tr>
      <w:tr>
        <w:trPr>
          <w:trHeight w:val="208"/>
        </w:trPr>
        <w:tc>
          <w:tcPr>
            <w:tcW w:w="1280" w:type="dxa"/>
            <w:vAlign w:val="bottom"/>
          </w:tcPr>
          <w:p>
            <w:pPr>
              <w:ind w:left="260"/>
              <w:spacing w:after="0"/>
              <w:rPr>
                <w:sz w:val="20"/>
                <w:szCs w:val="20"/>
                <w:color w:val="auto"/>
              </w:rPr>
            </w:pPr>
            <w:r>
              <w:rPr>
                <w:rFonts w:ascii="Arial" w:cs="Arial" w:eastAsia="Arial" w:hAnsi="Arial"/>
                <w:sz w:val="18"/>
                <w:szCs w:val="18"/>
                <w:color w:val="auto"/>
              </w:rPr>
              <w:t>2/25/25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8,851</w:t>
            </w:r>
          </w:p>
        </w:tc>
        <w:tc>
          <w:tcPr>
            <w:tcW w:w="780" w:type="dxa"/>
            <w:vAlign w:val="bottom"/>
          </w:tcPr>
          <w:p>
            <w:pPr>
              <w:jc w:val="right"/>
              <w:spacing w:after="0"/>
              <w:rPr>
                <w:sz w:val="20"/>
                <w:szCs w:val="20"/>
                <w:color w:val="auto"/>
              </w:rPr>
            </w:pPr>
            <w:r>
              <w:rPr>
                <w:rFonts w:ascii="Arial" w:cs="Arial" w:eastAsia="Arial" w:hAnsi="Arial"/>
                <w:sz w:val="18"/>
                <w:szCs w:val="18"/>
                <w:color w:val="auto"/>
              </w:rPr>
              <w:t>231.195</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230.75</w:t>
            </w:r>
          </w:p>
        </w:tc>
        <w:tc>
          <w:tcPr>
            <w:tcW w:w="980" w:type="dxa"/>
            <w:vAlign w:val="bottom"/>
          </w:tcPr>
          <w:p>
            <w:pPr>
              <w:jc w:val="right"/>
              <w:spacing w:after="0"/>
              <w:rPr>
                <w:sz w:val="20"/>
                <w:szCs w:val="20"/>
                <w:color w:val="auto"/>
              </w:rPr>
            </w:pPr>
            <w:r>
              <w:rPr>
                <w:rFonts w:ascii="Arial" w:cs="Arial" w:eastAsia="Arial" w:hAnsi="Arial"/>
                <w:sz w:val="18"/>
                <w:szCs w:val="18"/>
                <w:color w:val="auto"/>
              </w:rPr>
              <w:t>419,980</w:t>
            </w:r>
          </w:p>
        </w:tc>
        <w:tc>
          <w:tcPr>
            <w:tcW w:w="0" w:type="dxa"/>
            <w:vAlign w:val="bottom"/>
          </w:tcPr>
          <w:p>
            <w:pPr>
              <w:spacing w:after="0"/>
              <w:rPr>
                <w:sz w:val="1"/>
                <w:szCs w:val="1"/>
                <w:color w:val="auto"/>
              </w:rPr>
            </w:pPr>
          </w:p>
        </w:tc>
      </w:tr>
      <w:tr>
        <w:trPr>
          <w:trHeight w:val="35"/>
        </w:trPr>
        <w:tc>
          <w:tcPr>
            <w:tcW w:w="1280" w:type="dxa"/>
            <w:vAlign w:val="bottom"/>
            <w:tcBorders>
              <w:bottom w:val="single" w:sz="8" w:color="0C3D25"/>
            </w:tcBorders>
          </w:tcPr>
          <w:p>
            <w:pPr>
              <w:spacing w:after="0"/>
              <w:rPr>
                <w:sz w:val="3"/>
                <w:szCs w:val="3"/>
                <w:color w:val="auto"/>
              </w:rPr>
            </w:pPr>
          </w:p>
        </w:tc>
        <w:tc>
          <w:tcPr>
            <w:tcW w:w="60" w:type="dxa"/>
            <w:vAlign w:val="bottom"/>
            <w:tcBorders>
              <w:bottom w:val="single" w:sz="8" w:color="0C3D25"/>
            </w:tcBorders>
          </w:tcPr>
          <w:p>
            <w:pPr>
              <w:spacing w:after="0"/>
              <w:rPr>
                <w:sz w:val="3"/>
                <w:szCs w:val="3"/>
                <w:color w:val="auto"/>
              </w:rPr>
            </w:pPr>
          </w:p>
        </w:tc>
        <w:tc>
          <w:tcPr>
            <w:tcW w:w="780" w:type="dxa"/>
            <w:vAlign w:val="bottom"/>
            <w:tcBorders>
              <w:bottom w:val="single" w:sz="8" w:color="0C3D25"/>
            </w:tcBorders>
          </w:tcPr>
          <w:p>
            <w:pPr>
              <w:spacing w:after="0"/>
              <w:rPr>
                <w:sz w:val="3"/>
                <w:szCs w:val="3"/>
                <w:color w:val="auto"/>
              </w:rPr>
            </w:pPr>
          </w:p>
        </w:tc>
        <w:tc>
          <w:tcPr>
            <w:tcW w:w="1040" w:type="dxa"/>
            <w:vAlign w:val="bottom"/>
            <w:tcBorders>
              <w:bottom w:val="single" w:sz="8" w:color="0C3D25"/>
            </w:tcBorders>
          </w:tcPr>
          <w:p>
            <w:pPr>
              <w:spacing w:after="0"/>
              <w:rPr>
                <w:sz w:val="3"/>
                <w:szCs w:val="3"/>
                <w:color w:val="auto"/>
              </w:rPr>
            </w:pPr>
          </w:p>
        </w:tc>
        <w:tc>
          <w:tcPr>
            <w:tcW w:w="780" w:type="dxa"/>
            <w:vAlign w:val="bottom"/>
            <w:tcBorders>
              <w:bottom w:val="single" w:sz="8" w:color="0C3D25"/>
            </w:tcBorders>
          </w:tcPr>
          <w:p>
            <w:pPr>
              <w:spacing w:after="0"/>
              <w:rPr>
                <w:sz w:val="3"/>
                <w:szCs w:val="3"/>
                <w:color w:val="auto"/>
              </w:rPr>
            </w:pPr>
          </w:p>
        </w:tc>
        <w:tc>
          <w:tcPr>
            <w:tcW w:w="80" w:type="dxa"/>
            <w:vAlign w:val="bottom"/>
            <w:tcBorders>
              <w:bottom w:val="single" w:sz="8" w:color="0C3D25"/>
            </w:tcBorders>
          </w:tcPr>
          <w:p>
            <w:pPr>
              <w:spacing w:after="0"/>
              <w:rPr>
                <w:sz w:val="3"/>
                <w:szCs w:val="3"/>
                <w:color w:val="auto"/>
              </w:rPr>
            </w:pPr>
          </w:p>
        </w:tc>
        <w:tc>
          <w:tcPr>
            <w:tcW w:w="60" w:type="dxa"/>
            <w:vAlign w:val="bottom"/>
            <w:tcBorders>
              <w:bottom w:val="single" w:sz="8" w:color="0C3D25"/>
            </w:tcBorders>
          </w:tcPr>
          <w:p>
            <w:pPr>
              <w:spacing w:after="0"/>
              <w:rPr>
                <w:sz w:val="3"/>
                <w:szCs w:val="3"/>
                <w:color w:val="auto"/>
              </w:rPr>
            </w:pPr>
          </w:p>
        </w:tc>
        <w:tc>
          <w:tcPr>
            <w:tcW w:w="800" w:type="dxa"/>
            <w:vAlign w:val="bottom"/>
            <w:tcBorders>
              <w:bottom w:val="single" w:sz="8" w:color="0C3D25"/>
            </w:tcBorders>
          </w:tcPr>
          <w:p>
            <w:pPr>
              <w:spacing w:after="0"/>
              <w:rPr>
                <w:sz w:val="3"/>
                <w:szCs w:val="3"/>
                <w:color w:val="auto"/>
              </w:rPr>
            </w:pPr>
          </w:p>
        </w:tc>
        <w:tc>
          <w:tcPr>
            <w:tcW w:w="680" w:type="dxa"/>
            <w:vAlign w:val="bottom"/>
            <w:tcBorders>
              <w:bottom w:val="single" w:sz="8" w:color="0C3D25"/>
            </w:tcBorders>
          </w:tcPr>
          <w:p>
            <w:pPr>
              <w:spacing w:after="0"/>
              <w:rPr>
                <w:sz w:val="3"/>
                <w:szCs w:val="3"/>
                <w:color w:val="auto"/>
              </w:rPr>
            </w:pPr>
          </w:p>
        </w:tc>
        <w:tc>
          <w:tcPr>
            <w:tcW w:w="760" w:type="dxa"/>
            <w:vAlign w:val="bottom"/>
            <w:tcBorders>
              <w:bottom w:val="single" w:sz="8" w:color="0C3D25"/>
            </w:tcBorders>
          </w:tcPr>
          <w:p>
            <w:pPr>
              <w:spacing w:after="0"/>
              <w:rPr>
                <w:sz w:val="3"/>
                <w:szCs w:val="3"/>
                <w:color w:val="auto"/>
              </w:rPr>
            </w:pPr>
          </w:p>
        </w:tc>
        <w:tc>
          <w:tcPr>
            <w:tcW w:w="80" w:type="dxa"/>
            <w:vAlign w:val="bottom"/>
            <w:tcBorders>
              <w:bottom w:val="single" w:sz="8" w:color="0C3D25"/>
            </w:tcBorders>
          </w:tcPr>
          <w:p>
            <w:pPr>
              <w:spacing w:after="0"/>
              <w:rPr>
                <w:sz w:val="3"/>
                <w:szCs w:val="3"/>
                <w:color w:val="auto"/>
              </w:rPr>
            </w:pPr>
          </w:p>
        </w:tc>
        <w:tc>
          <w:tcPr>
            <w:tcW w:w="900" w:type="dxa"/>
            <w:vAlign w:val="bottom"/>
            <w:tcBorders>
              <w:bottom w:val="single" w:sz="8" w:color="0C3D25"/>
            </w:tcBorders>
          </w:tcPr>
          <w:p>
            <w:pPr>
              <w:spacing w:after="0"/>
              <w:rPr>
                <w:sz w:val="3"/>
                <w:szCs w:val="3"/>
                <w:color w:val="auto"/>
              </w:rPr>
            </w:pPr>
          </w:p>
        </w:tc>
        <w:tc>
          <w:tcPr>
            <w:tcW w:w="1000" w:type="dxa"/>
            <w:vAlign w:val="bottom"/>
            <w:tcBorders>
              <w:bottom w:val="single" w:sz="8" w:color="0C3D25"/>
            </w:tcBorders>
          </w:tcPr>
          <w:p>
            <w:pPr>
              <w:spacing w:after="0"/>
              <w:rPr>
                <w:sz w:val="3"/>
                <w:szCs w:val="3"/>
                <w:color w:val="auto"/>
              </w:rPr>
            </w:pPr>
          </w:p>
        </w:tc>
        <w:tc>
          <w:tcPr>
            <w:tcW w:w="780" w:type="dxa"/>
            <w:vAlign w:val="bottom"/>
            <w:tcBorders>
              <w:bottom w:val="single" w:sz="8" w:color="0C3D25"/>
            </w:tcBorders>
          </w:tcPr>
          <w:p>
            <w:pPr>
              <w:spacing w:after="0"/>
              <w:rPr>
                <w:sz w:val="3"/>
                <w:szCs w:val="3"/>
                <w:color w:val="auto"/>
              </w:rPr>
            </w:pPr>
          </w:p>
        </w:tc>
        <w:tc>
          <w:tcPr>
            <w:tcW w:w="740" w:type="dxa"/>
            <w:vAlign w:val="bottom"/>
            <w:tcBorders>
              <w:bottom w:val="single" w:sz="8" w:color="0C3D25"/>
            </w:tcBorders>
          </w:tcPr>
          <w:p>
            <w:pPr>
              <w:spacing w:after="0"/>
              <w:rPr>
                <w:sz w:val="3"/>
                <w:szCs w:val="3"/>
                <w:color w:val="auto"/>
              </w:rPr>
            </w:pPr>
          </w:p>
        </w:tc>
        <w:tc>
          <w:tcPr>
            <w:tcW w:w="980" w:type="dxa"/>
            <w:vAlign w:val="bottom"/>
            <w:tcBorders>
              <w:bottom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80" w:right="360" w:hanging="402"/>
        <w:spacing w:after="0" w:line="275"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Actual payouts of cash incentive awards for 2025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any individual performance modification or the potential impact of the sustainability modifier, pursuant to which cash incentive payouts were eligible to be increased, or decreased, up to 10% depending on achievement calculated using a sustainability scorecard. See “Compensation Discussion and Analysis — Named Executive’s 2025 Compensation Program and Results — Annual Cash Incentive” for additional information.</w:t>
      </w:r>
    </w:p>
    <w:p>
      <w:pPr>
        <w:spacing w:after="0" w:line="125" w:lineRule="exact"/>
        <w:rPr>
          <w:rFonts w:ascii="Arial" w:cs="Arial" w:eastAsia="Arial" w:hAnsi="Arial"/>
          <w:sz w:val="19"/>
          <w:szCs w:val="19"/>
          <w:color w:val="auto"/>
        </w:rPr>
      </w:pPr>
    </w:p>
    <w:p>
      <w:pPr>
        <w:jc w:val="both"/>
        <w:ind w:left="780" w:right="360" w:hanging="402"/>
        <w:spacing w:after="0" w:line="260" w:lineRule="auto"/>
        <w:tabs>
          <w:tab w:leader="none" w:pos="7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Consists of the number of shares of Common Stock potentially issuable based on the achievement of performance criteria under PSU awards granted under our 2023 Stock Incentive Plan. See “Compensation Discussion and Analysis — Named Executive’s 2025 Compensation Program and Results — Long-Term Equity Incentives — PSUs Granted in 2025” for additional information. The performance period for these awards ends December 31, 2027. PSUs earn dividend equivalents, which are paid out based on the number of shares earned at the end of the performance period.</w:t>
      </w:r>
    </w:p>
    <w:p>
      <w:pPr>
        <w:spacing w:after="0" w:line="135" w:lineRule="exact"/>
        <w:rPr>
          <w:rFonts w:ascii="Arial" w:cs="Arial" w:eastAsia="Arial" w:hAnsi="Arial"/>
          <w:sz w:val="20"/>
          <w:szCs w:val="20"/>
          <w:color w:val="auto"/>
        </w:rPr>
      </w:pPr>
    </w:p>
    <w:p>
      <w:pPr>
        <w:jc w:val="both"/>
        <w:ind w:left="780" w:right="360" w:hanging="402"/>
        <w:spacing w:after="0" w:line="302"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number of shares of Common Stock issuable upon vesting of RSUs granted under our 2023 Stock Incentive Plan. For Mr. Reed and Mr. Morris, these awards vest ratably in three annual increments, beginning on the first anniversary of the date of grant. For Ms. Hemmer, this award vests 50% on the second anniversary and 50% on</w:t>
      </w:r>
    </w:p>
    <w:p>
      <w:pPr>
        <w:spacing w:after="0" w:line="200" w:lineRule="exact"/>
        <w:rPr>
          <w:sz w:val="20"/>
          <w:szCs w:val="20"/>
          <w:color w:val="auto"/>
        </w:rPr>
      </w:pPr>
    </w:p>
    <w:p>
      <w:pPr>
        <w:spacing w:after="0" w:line="257" w:lineRule="exact"/>
        <w:rPr>
          <w:sz w:val="20"/>
          <w:szCs w:val="20"/>
          <w:color w:val="auto"/>
        </w:rPr>
      </w:pPr>
    </w:p>
    <w:p>
      <w:pPr>
        <w:ind w:left="7880"/>
        <w:spacing w:after="0"/>
        <w:tabs>
          <w:tab w:leader="none" w:pos="992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-207010</wp:posOffset>
            </wp:positionV>
            <wp:extent cx="538480" cy="161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800"/>
          </w:cols>
          <w:pgMar w:left="520" w:top="513" w:right="560" w:bottom="315" w:gutter="0" w:footer="0" w:header="0"/>
        </w:sectPr>
      </w:pPr>
    </w:p>
    <w:bookmarkStart w:id="59" w:name="page60"/>
    <w:bookmarkEnd w:id="59"/>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jc w:val="both"/>
        <w:ind w:left="402"/>
        <w:spacing w:after="0" w:line="249" w:lineRule="auto"/>
        <w:rPr>
          <w:sz w:val="20"/>
          <w:szCs w:val="20"/>
          <w:color w:val="auto"/>
        </w:rPr>
      </w:pPr>
      <w:r>
        <w:rPr>
          <w:rFonts w:ascii="Arial" w:cs="Arial" w:eastAsia="Arial" w:hAnsi="Arial"/>
          <w:sz w:val="20"/>
          <w:szCs w:val="20"/>
          <w:color w:val="auto"/>
        </w:rPr>
        <w:t>the third anniversary of the date of grant. See “Compensation Discussion and Analysis — Named Executive’s 2025 Compensation Program and Results — Long-Term Equity Incentives — Restricted Stock Units” for additional information.</w:t>
      </w:r>
    </w:p>
    <w:p>
      <w:pPr>
        <w:spacing w:after="0" w:line="122" w:lineRule="exact"/>
        <w:rPr>
          <w:sz w:val="20"/>
          <w:szCs w:val="20"/>
          <w:color w:val="auto"/>
        </w:rPr>
      </w:pPr>
    </w:p>
    <w:p>
      <w:pPr>
        <w:jc w:val="both"/>
        <w:ind w:left="402" w:hanging="402"/>
        <w:spacing w:after="0" w:line="265" w:lineRule="auto"/>
        <w:tabs>
          <w:tab w:leader="none" w:pos="402"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Consists of the number of shares of Common Stock potentially issuable upon the exercise of options granted under our 2023 Stock Incentive Plan. See “Compensation Discussion and Analysis — Named Executive’s 2025 Compensation Program and Results — Long-Term Equity Incentives — Stock Options” for additional information. Mr. Reed did not receive stock options in 2025, as such awards were granted prior to his promotion to the senior leadership team in November 2025.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107" w:lineRule="exact"/>
        <w:rPr>
          <w:rFonts w:ascii="Arial" w:cs="Arial" w:eastAsia="Arial" w:hAnsi="Arial"/>
          <w:sz w:val="19"/>
          <w:szCs w:val="19"/>
          <w:color w:val="auto"/>
        </w:rPr>
      </w:pPr>
    </w:p>
    <w:p>
      <w:pPr>
        <w:ind w:left="402" w:hanging="402"/>
        <w:spacing w:after="0" w:line="249"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exercise price represents the average of the high and low market price of our Common Stock on the date of the grant, in accordance with our 2023 Stock Incentive Plan.</w:t>
      </w:r>
    </w:p>
    <w:p>
      <w:pPr>
        <w:spacing w:after="0" w:line="121"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These amounts are grant date fair values of the awards as calculated under ASC Topic 718 and as further described in notes (1) and (2) to the Summary Compensation Table.</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7">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8">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0" w:name="page61"/>
    <w:bookmarkEnd w:id="60"/>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Outstanding Equity Awards as of December 31, 2025</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1000" w:type="dxa"/>
            <w:vAlign w:val="bottom"/>
            <w:tcBorders>
              <w:bottom w:val="single" w:sz="8" w:color="0C3D25"/>
            </w:tcBorders>
          </w:tcPr>
          <w:p>
            <w:pPr>
              <w:spacing w:after="0"/>
              <w:rPr>
                <w:sz w:val="19"/>
                <w:szCs w:val="19"/>
                <w:color w:val="auto"/>
              </w:rPr>
            </w:pPr>
          </w:p>
        </w:tc>
        <w:tc>
          <w:tcPr>
            <w:tcW w:w="2280" w:type="dxa"/>
            <w:vAlign w:val="bottom"/>
            <w:tcBorders>
              <w:bottom w:val="single" w:sz="8" w:color="0C3D25"/>
            </w:tcBorders>
            <w:gridSpan w:val="2"/>
          </w:tcPr>
          <w:p>
            <w:pPr>
              <w:jc w:val="right"/>
              <w:ind w:right="504"/>
              <w:spacing w:after="0"/>
              <w:rPr>
                <w:sz w:val="20"/>
                <w:szCs w:val="20"/>
                <w:color w:val="auto"/>
              </w:rPr>
            </w:pPr>
            <w:r>
              <w:rPr>
                <w:rFonts w:ascii="Arial" w:cs="Arial" w:eastAsia="Arial" w:hAnsi="Arial"/>
                <w:sz w:val="16"/>
                <w:szCs w:val="16"/>
                <w:b w:val="1"/>
                <w:bCs w:val="1"/>
                <w:color w:val="0C3D25"/>
              </w:rPr>
              <w:t>Option Awards</w:t>
            </w:r>
          </w:p>
        </w:tc>
        <w:tc>
          <w:tcPr>
            <w:tcW w:w="1020" w:type="dxa"/>
            <w:vAlign w:val="bottom"/>
            <w:tcBorders>
              <w:bottom w:val="single" w:sz="8" w:color="0C3D25"/>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0C3D25"/>
            </w:tcBorders>
          </w:tcPr>
          <w:p>
            <w:pPr>
              <w:spacing w:after="0"/>
              <w:rPr>
                <w:sz w:val="19"/>
                <w:szCs w:val="19"/>
                <w:color w:val="auto"/>
              </w:rPr>
            </w:pPr>
          </w:p>
        </w:tc>
        <w:tc>
          <w:tcPr>
            <w:tcW w:w="2060" w:type="dxa"/>
            <w:vAlign w:val="bottom"/>
            <w:tcBorders>
              <w:bottom w:val="single" w:sz="8" w:color="0C3D25"/>
            </w:tcBorders>
            <w:gridSpan w:val="2"/>
          </w:tcPr>
          <w:p>
            <w:pPr>
              <w:jc w:val="right"/>
              <w:ind w:right="288"/>
              <w:spacing w:after="0"/>
              <w:rPr>
                <w:sz w:val="20"/>
                <w:szCs w:val="20"/>
                <w:color w:val="auto"/>
              </w:rPr>
            </w:pPr>
            <w:r>
              <w:rPr>
                <w:rFonts w:ascii="Arial" w:cs="Arial" w:eastAsia="Arial" w:hAnsi="Arial"/>
                <w:sz w:val="16"/>
                <w:szCs w:val="16"/>
                <w:b w:val="1"/>
                <w:bCs w:val="1"/>
                <w:color w:val="0C3D25"/>
              </w:rPr>
              <w:t>Stock Awards</w:t>
            </w:r>
            <w:r>
              <w:rPr>
                <w:rFonts w:ascii="Arial" w:cs="Arial" w:eastAsia="Arial" w:hAnsi="Arial"/>
                <w:sz w:val="19"/>
                <w:szCs w:val="19"/>
                <w:b w:val="1"/>
                <w:bCs w:val="1"/>
                <w:color w:val="0C3D25"/>
                <w:vertAlign w:val="superscript"/>
              </w:rPr>
              <w:t>(1)</w:t>
            </w:r>
          </w:p>
        </w:tc>
        <w:tc>
          <w:tcPr>
            <w:tcW w:w="1060" w:type="dxa"/>
            <w:vAlign w:val="bottom"/>
            <w:tcBorders>
              <w:bottom w:val="single" w:sz="8" w:color="0C3D25"/>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tcPr>
          <w:p>
            <w:pPr>
              <w:jc w:val="right"/>
              <w:ind w:right="60"/>
              <w:spacing w:after="0" w:line="177" w:lineRule="exact"/>
              <w:rPr>
                <w:sz w:val="20"/>
                <w:szCs w:val="20"/>
                <w:color w:val="auto"/>
              </w:rPr>
            </w:pPr>
            <w:r>
              <w:rPr>
                <w:rFonts w:ascii="Arial" w:cs="Arial" w:eastAsia="Arial" w:hAnsi="Arial"/>
                <w:sz w:val="16"/>
                <w:szCs w:val="16"/>
                <w:b w:val="1"/>
                <w:bCs w:val="1"/>
                <w:color w:val="0C3D25"/>
              </w:rPr>
              <w:t>Equity</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Incentive</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Equity</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Plan</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Incentive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Awards: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Plan</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Market or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Awards: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Payout</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6"/>
                <w:szCs w:val="16"/>
                <w:b w:val="1"/>
                <w:bCs w:val="1"/>
                <w:color w:val="0C3D25"/>
              </w:rPr>
              <w:t>Market</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Number of</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Value of</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C3D25"/>
              </w:rPr>
              <w:t>Number of</w:t>
            </w:r>
          </w:p>
        </w:tc>
        <w:tc>
          <w:tcPr>
            <w:tcW w:w="126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C3D25"/>
              </w:rPr>
              <w:t>Number of</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C3D25"/>
                <w:w w:val="94"/>
              </w:rPr>
              <w:t>Number of</w:t>
            </w:r>
          </w:p>
        </w:tc>
        <w:tc>
          <w:tcPr>
            <w:tcW w:w="1060" w:type="dxa"/>
            <w:vAlign w:val="bottom"/>
            <w:vMerge w:val="continue"/>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Unearned</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Unearned</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Value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Shares,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Shares,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Securities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Securities</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Shares or</w:t>
            </w:r>
          </w:p>
        </w:tc>
        <w:tc>
          <w:tcPr>
            <w:tcW w:w="106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Shares or</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Units or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Units or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Underlying</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Underlying</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Units of</w:t>
            </w:r>
          </w:p>
        </w:tc>
        <w:tc>
          <w:tcPr>
            <w:tcW w:w="106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Units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Other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Other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w w:val="90"/>
              </w:rPr>
              <w:t>Unexercised</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Unexercised</w:t>
            </w:r>
          </w:p>
        </w:tc>
        <w:tc>
          <w:tcPr>
            <w:tcW w:w="1020" w:type="dxa"/>
            <w:vAlign w:val="bottom"/>
          </w:tcPr>
          <w:p>
            <w:pPr>
              <w:jc w:val="right"/>
              <w:ind w:right="24"/>
              <w:spacing w:after="0" w:line="160" w:lineRule="exact"/>
              <w:rPr>
                <w:sz w:val="20"/>
                <w:szCs w:val="20"/>
                <w:color w:val="auto"/>
              </w:rPr>
            </w:pPr>
            <w:r>
              <w:rPr>
                <w:rFonts w:ascii="Arial" w:cs="Arial" w:eastAsia="Arial" w:hAnsi="Arial"/>
                <w:sz w:val="16"/>
                <w:szCs w:val="16"/>
                <w:b w:val="1"/>
                <w:bCs w:val="1"/>
                <w:color w:val="0C3D25"/>
              </w:rPr>
              <w:t>Option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Stock</w:t>
            </w:r>
          </w:p>
        </w:tc>
        <w:tc>
          <w:tcPr>
            <w:tcW w:w="106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Stock</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Rights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Rights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Options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Options</w:t>
            </w:r>
          </w:p>
        </w:tc>
        <w:tc>
          <w:tcPr>
            <w:tcW w:w="1020" w:type="dxa"/>
            <w:vAlign w:val="bottom"/>
          </w:tcPr>
          <w:p>
            <w:pPr>
              <w:jc w:val="right"/>
              <w:ind w:right="24"/>
              <w:spacing w:after="0" w:line="160" w:lineRule="exact"/>
              <w:rPr>
                <w:sz w:val="20"/>
                <w:szCs w:val="20"/>
                <w:color w:val="auto"/>
              </w:rPr>
            </w:pPr>
            <w:r>
              <w:rPr>
                <w:rFonts w:ascii="Arial" w:cs="Arial" w:eastAsia="Arial" w:hAnsi="Arial"/>
                <w:sz w:val="16"/>
                <w:szCs w:val="16"/>
                <w:b w:val="1"/>
                <w:bCs w:val="1"/>
                <w:color w:val="0C3D25"/>
              </w:rPr>
              <w:t>Exercise</w:t>
            </w:r>
          </w:p>
        </w:tc>
        <w:tc>
          <w:tcPr>
            <w:tcW w:w="1140" w:type="dxa"/>
            <w:vAlign w:val="bottom"/>
            <w:gridSpan w:val="2"/>
          </w:tcPr>
          <w:p>
            <w:pPr>
              <w:jc w:val="right"/>
              <w:ind w:right="120"/>
              <w:spacing w:after="0" w:line="160" w:lineRule="exact"/>
              <w:rPr>
                <w:sz w:val="20"/>
                <w:szCs w:val="20"/>
                <w:color w:val="auto"/>
              </w:rPr>
            </w:pPr>
            <w:r>
              <w:rPr>
                <w:rFonts w:ascii="Arial" w:cs="Arial" w:eastAsia="Arial" w:hAnsi="Arial"/>
                <w:sz w:val="16"/>
                <w:szCs w:val="16"/>
                <w:b w:val="1"/>
                <w:bCs w:val="1"/>
                <w:color w:val="0C3D25"/>
              </w:rPr>
              <w:t>Option</w:t>
            </w: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w w:val="99"/>
              </w:rPr>
              <w:t>That Have</w:t>
            </w:r>
          </w:p>
        </w:tc>
        <w:tc>
          <w:tcPr>
            <w:tcW w:w="106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That Have</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That Have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C3D25"/>
              </w:rPr>
              <w:t>That Have</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100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C3D25"/>
                <w:w w:val="96"/>
              </w:rPr>
              <w:t>Exercisable</w:t>
            </w:r>
          </w:p>
        </w:tc>
        <w:tc>
          <w:tcPr>
            <w:tcW w:w="1260" w:type="dxa"/>
            <w:vAlign w:val="bottom"/>
          </w:tcPr>
          <w:p>
            <w:pPr>
              <w:jc w:val="right"/>
              <w:ind w:right="26"/>
              <w:spacing w:after="0" w:line="150" w:lineRule="exact"/>
              <w:rPr>
                <w:sz w:val="20"/>
                <w:szCs w:val="20"/>
                <w:color w:val="auto"/>
              </w:rPr>
            </w:pPr>
            <w:r>
              <w:rPr>
                <w:rFonts w:ascii="Arial" w:cs="Arial" w:eastAsia="Arial" w:hAnsi="Arial"/>
                <w:sz w:val="16"/>
                <w:szCs w:val="16"/>
                <w:b w:val="1"/>
                <w:bCs w:val="1"/>
                <w:color w:val="0C3D25"/>
              </w:rPr>
              <w:t>Unexercisable</w:t>
            </w:r>
          </w:p>
        </w:tc>
        <w:tc>
          <w:tcPr>
            <w:tcW w:w="1020" w:type="dxa"/>
            <w:vAlign w:val="bottom"/>
          </w:tcPr>
          <w:p>
            <w:pPr>
              <w:jc w:val="right"/>
              <w:ind w:right="24"/>
              <w:spacing w:after="0" w:line="150" w:lineRule="exact"/>
              <w:rPr>
                <w:sz w:val="20"/>
                <w:szCs w:val="20"/>
                <w:color w:val="auto"/>
              </w:rPr>
            </w:pPr>
            <w:r>
              <w:rPr>
                <w:rFonts w:ascii="Arial" w:cs="Arial" w:eastAsia="Arial" w:hAnsi="Arial"/>
                <w:sz w:val="16"/>
                <w:szCs w:val="16"/>
                <w:b w:val="1"/>
                <w:bCs w:val="1"/>
                <w:color w:val="0C3D25"/>
              </w:rPr>
              <w:t>Price</w:t>
            </w:r>
          </w:p>
        </w:tc>
        <w:tc>
          <w:tcPr>
            <w:tcW w:w="1140" w:type="dxa"/>
            <w:vAlign w:val="bottom"/>
            <w:gridSpan w:val="2"/>
          </w:tcPr>
          <w:p>
            <w:pPr>
              <w:jc w:val="right"/>
              <w:ind w:right="120"/>
              <w:spacing w:after="0" w:line="150" w:lineRule="exact"/>
              <w:rPr>
                <w:sz w:val="20"/>
                <w:szCs w:val="20"/>
                <w:color w:val="auto"/>
              </w:rPr>
            </w:pPr>
            <w:r>
              <w:rPr>
                <w:rFonts w:ascii="Arial" w:cs="Arial" w:eastAsia="Arial" w:hAnsi="Arial"/>
                <w:sz w:val="16"/>
                <w:szCs w:val="16"/>
                <w:b w:val="1"/>
                <w:bCs w:val="1"/>
                <w:color w:val="0C3D25"/>
              </w:rPr>
              <w:t>Expiration</w:t>
            </w:r>
          </w:p>
        </w:tc>
        <w:tc>
          <w:tcPr>
            <w:tcW w:w="1020" w:type="dxa"/>
            <w:vAlign w:val="bottom"/>
            <w:gridSpan w:val="2"/>
          </w:tcPr>
          <w:p>
            <w:pPr>
              <w:jc w:val="right"/>
              <w:ind w:right="25"/>
              <w:spacing w:after="0" w:line="150" w:lineRule="exact"/>
              <w:rPr>
                <w:sz w:val="20"/>
                <w:szCs w:val="20"/>
                <w:color w:val="auto"/>
              </w:rPr>
            </w:pPr>
            <w:r>
              <w:rPr>
                <w:rFonts w:ascii="Arial" w:cs="Arial" w:eastAsia="Arial" w:hAnsi="Arial"/>
                <w:sz w:val="16"/>
                <w:szCs w:val="16"/>
                <w:b w:val="1"/>
                <w:bCs w:val="1"/>
                <w:color w:val="0C3D25"/>
              </w:rPr>
              <w:t>Not Vested</w:t>
            </w:r>
          </w:p>
        </w:tc>
        <w:tc>
          <w:tcPr>
            <w:tcW w:w="106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Not Vested</w:t>
            </w:r>
          </w:p>
        </w:tc>
        <w:tc>
          <w:tcPr>
            <w:tcW w:w="100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Not Vested</w:t>
            </w:r>
          </w:p>
        </w:tc>
        <w:tc>
          <w:tcPr>
            <w:tcW w:w="1120" w:type="dxa"/>
            <w:vAlign w:val="bottom"/>
            <w:gridSpan w:val="2"/>
          </w:tcPr>
          <w:p>
            <w:pPr>
              <w:jc w:val="right"/>
              <w:ind w:right="60"/>
              <w:spacing w:after="0" w:line="150" w:lineRule="exact"/>
              <w:rPr>
                <w:sz w:val="20"/>
                <w:szCs w:val="20"/>
                <w:color w:val="auto"/>
              </w:rPr>
            </w:pPr>
            <w:r>
              <w:rPr>
                <w:rFonts w:ascii="Arial" w:cs="Arial" w:eastAsia="Arial" w:hAnsi="Arial"/>
                <w:sz w:val="16"/>
                <w:szCs w:val="16"/>
                <w:b w:val="1"/>
                <w:bCs w:val="1"/>
                <w:color w:val="0C3D25"/>
              </w:rPr>
              <w:t>Not Vested</w:t>
            </w:r>
          </w:p>
        </w:tc>
        <w:tc>
          <w:tcPr>
            <w:tcW w:w="0" w:type="dxa"/>
            <w:vAlign w:val="bottom"/>
          </w:tcPr>
          <w:p>
            <w:pPr>
              <w:spacing w:after="0"/>
              <w:rPr>
                <w:sz w:val="1"/>
                <w:szCs w:val="1"/>
                <w:color w:val="auto"/>
              </w:rPr>
            </w:pPr>
          </w:p>
        </w:tc>
      </w:tr>
      <w:tr>
        <w:trPr>
          <w:trHeight w:val="226"/>
        </w:trPr>
        <w:tc>
          <w:tcPr>
            <w:tcW w:w="144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w:t>
            </w:r>
          </w:p>
        </w:tc>
        <w:tc>
          <w:tcPr>
            <w:tcW w:w="1000" w:type="dxa"/>
            <w:vAlign w:val="bottom"/>
            <w:tcBorders>
              <w:bottom w:val="single" w:sz="8" w:color="0C3D25"/>
            </w:tcBorders>
          </w:tcPr>
          <w:p>
            <w:pPr>
              <w:jc w:val="right"/>
              <w:ind w:right="25"/>
              <w:spacing w:after="0"/>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(2)</w:t>
            </w:r>
          </w:p>
        </w:tc>
        <w:tc>
          <w:tcPr>
            <w:tcW w:w="1260" w:type="dxa"/>
            <w:vAlign w:val="bottom"/>
            <w:tcBorders>
              <w:bottom w:val="single" w:sz="8" w:color="0C3D25"/>
            </w:tcBorders>
          </w:tcPr>
          <w:p>
            <w:pPr>
              <w:jc w:val="right"/>
              <w:ind w:right="26"/>
              <w:spacing w:after="0"/>
              <w:rPr>
                <w:sz w:val="20"/>
                <w:szCs w:val="20"/>
                <w:color w:val="auto"/>
              </w:rPr>
            </w:pPr>
            <w:r>
              <w:rPr>
                <w:rFonts w:ascii="Arial" w:cs="Arial" w:eastAsia="Arial" w:hAnsi="Arial"/>
                <w:sz w:val="16"/>
                <w:szCs w:val="16"/>
                <w:b w:val="1"/>
                <w:bCs w:val="1"/>
                <w:color w:val="0C3D25"/>
              </w:rPr>
              <w:t>(#)</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16"/>
                <w:szCs w:val="16"/>
                <w:b w:val="1"/>
                <w:bCs w:val="1"/>
                <w:color w:val="0C3D25"/>
              </w:rPr>
              <w:t>($)</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16"/>
                <w:szCs w:val="16"/>
                <w:b w:val="1"/>
                <w:bCs w:val="1"/>
                <w:color w:val="0C3D25"/>
              </w:rPr>
              <w:t>Date</w:t>
            </w:r>
          </w:p>
        </w:tc>
        <w:tc>
          <w:tcPr>
            <w:tcW w:w="1020" w:type="dxa"/>
            <w:vAlign w:val="bottom"/>
            <w:tcBorders>
              <w:bottom w:val="single" w:sz="8" w:color="0C3D25"/>
            </w:tcBorders>
            <w:gridSpan w:val="2"/>
          </w:tcPr>
          <w:p>
            <w:pPr>
              <w:jc w:val="right"/>
              <w:ind w:right="25"/>
              <w:spacing w:after="0"/>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(6)</w:t>
            </w:r>
          </w:p>
        </w:tc>
        <w:tc>
          <w:tcPr>
            <w:tcW w:w="1060" w:type="dxa"/>
            <w:vAlign w:val="bottom"/>
            <w:tcBorders>
              <w:bottom w:val="single" w:sz="8" w:color="0C3D25"/>
            </w:tcBorders>
          </w:tcPr>
          <w:p>
            <w:pPr>
              <w:jc w:val="right"/>
              <w:ind w:right="28"/>
              <w:spacing w:after="0" w:line="226" w:lineRule="exact"/>
              <w:rPr>
                <w:sz w:val="20"/>
                <w:szCs w:val="20"/>
                <w:color w:val="auto"/>
              </w:rPr>
            </w:pPr>
            <w:r>
              <w:rPr>
                <w:rFonts w:ascii="Arial" w:cs="Arial" w:eastAsia="Arial" w:hAnsi="Arial"/>
                <w:sz w:val="26"/>
                <w:szCs w:val="26"/>
                <w:b w:val="1"/>
                <w:bCs w:val="1"/>
                <w:color w:val="0C3D25"/>
                <w:vertAlign w:val="subscript"/>
              </w:rPr>
              <w:t>($)</w:t>
            </w:r>
            <w:r>
              <w:rPr>
                <w:rFonts w:ascii="Arial" w:cs="Arial" w:eastAsia="Arial" w:hAnsi="Arial"/>
                <w:sz w:val="9"/>
                <w:szCs w:val="9"/>
                <w:b w:val="1"/>
                <w:bCs w:val="1"/>
                <w:color w:val="0C3D25"/>
              </w:rPr>
              <w:t>(6)</w:t>
            </w:r>
          </w:p>
        </w:tc>
        <w:tc>
          <w:tcPr>
            <w:tcW w:w="1000" w:type="dxa"/>
            <w:vAlign w:val="bottom"/>
            <w:tcBorders>
              <w:bottom w:val="single" w:sz="8" w:color="0C3D25"/>
            </w:tcBorders>
          </w:tcPr>
          <w:p>
            <w:pPr>
              <w:jc w:val="right"/>
              <w:ind w:right="28"/>
              <w:spacing w:after="0"/>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(7)</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16"/>
                <w:szCs w:val="16"/>
                <w:b w:val="1"/>
                <w:bCs w:val="1"/>
                <w:color w:val="0C3D25"/>
              </w:rPr>
              <w:t>($)</w:t>
            </w:r>
            <w:r>
              <w:rPr>
                <w:rFonts w:ascii="Arial" w:cs="Arial" w:eastAsia="Arial" w:hAnsi="Arial"/>
                <w:sz w:val="19"/>
                <w:szCs w:val="19"/>
                <w:b w:val="1"/>
                <w:bCs w:val="1"/>
                <w:color w:val="0C3D25"/>
                <w:vertAlign w:val="superscript"/>
              </w:rPr>
              <w:t>(7)</w:t>
            </w:r>
          </w:p>
        </w:tc>
        <w:tc>
          <w:tcPr>
            <w:tcW w:w="0" w:type="dxa"/>
            <w:vAlign w:val="bottom"/>
          </w:tcPr>
          <w:p>
            <w:pPr>
              <w:spacing w:after="0"/>
              <w:rPr>
                <w:sz w:val="1"/>
                <w:szCs w:val="1"/>
                <w:color w:val="auto"/>
              </w:rPr>
            </w:pPr>
          </w:p>
        </w:tc>
      </w:tr>
      <w:tr>
        <w:trPr>
          <w:trHeight w:val="262"/>
        </w:trPr>
        <w:tc>
          <w:tcPr>
            <w:tcW w:w="24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James C. Fish, Jr.</w:t>
            </w:r>
          </w:p>
        </w:tc>
        <w:tc>
          <w:tcPr>
            <w:tcW w:w="1260" w:type="dxa"/>
            <w:vAlign w:val="bottom"/>
            <w:tcBorders>
              <w:bottom w:val="single" w:sz="8" w:color="0C3D25"/>
            </w:tcBorders>
          </w:tcPr>
          <w:p>
            <w:pPr>
              <w:spacing w:after="0"/>
              <w:rPr>
                <w:sz w:val="22"/>
                <w:szCs w:val="22"/>
                <w:color w:val="auto"/>
              </w:rPr>
            </w:pPr>
          </w:p>
        </w:tc>
        <w:tc>
          <w:tcPr>
            <w:tcW w:w="1020" w:type="dxa"/>
            <w:vAlign w:val="bottom"/>
            <w:tcBorders>
              <w:bottom w:val="single" w:sz="8" w:color="0C3D25"/>
            </w:tcBorders>
          </w:tcPr>
          <w:p>
            <w:pPr>
              <w:spacing w:after="0"/>
              <w:rPr>
                <w:sz w:val="22"/>
                <w:szCs w:val="22"/>
                <w:color w:val="auto"/>
              </w:rPr>
            </w:pPr>
          </w:p>
        </w:tc>
        <w:tc>
          <w:tcPr>
            <w:tcW w:w="1020" w:type="dxa"/>
            <w:vAlign w:val="bottom"/>
            <w:tcBorders>
              <w:bottom w:val="single" w:sz="8" w:color="0C3D25"/>
            </w:tcBorders>
          </w:tcPr>
          <w:p>
            <w:pPr>
              <w:spacing w:after="0"/>
              <w:rPr>
                <w:sz w:val="22"/>
                <w:szCs w:val="22"/>
                <w:color w:val="auto"/>
              </w:rPr>
            </w:pPr>
          </w:p>
        </w:tc>
        <w:tc>
          <w:tcPr>
            <w:tcW w:w="120" w:type="dxa"/>
            <w:vAlign w:val="bottom"/>
            <w:tcBorders>
              <w:bottom w:val="single" w:sz="8" w:color="0C3D25"/>
            </w:tcBorders>
          </w:tcPr>
          <w:p>
            <w:pPr>
              <w:spacing w:after="0"/>
              <w:rPr>
                <w:sz w:val="22"/>
                <w:szCs w:val="22"/>
                <w:color w:val="auto"/>
              </w:rPr>
            </w:pP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60" w:type="dxa"/>
            <w:vAlign w:val="bottom"/>
            <w:tcBorders>
              <w:bottom w:val="single" w:sz="8" w:color="0C3D25"/>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50,580</w:t>
            </w:r>
            <w:r>
              <w:rPr>
                <w:rFonts w:ascii="Arial" w:cs="Arial" w:eastAsia="Arial" w:hAnsi="Arial"/>
                <w:sz w:val="25"/>
                <w:szCs w:val="25"/>
                <w:color w:val="auto"/>
                <w:vertAlign w:val="superscript"/>
              </w:rPr>
              <w:t>(3)</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231.195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2/25/2035</w:t>
            </w:r>
          </w:p>
        </w:tc>
        <w:tc>
          <w:tcPr>
            <w:tcW w:w="120" w:type="dxa"/>
            <w:vAlign w:val="bottom"/>
            <w:tcBorders>
              <w:bottom w:val="single" w:sz="8" w:color="0C3D25"/>
            </w:tcBorders>
          </w:tcPr>
          <w:p>
            <w:pPr>
              <w:spacing w:after="0"/>
              <w:rPr>
                <w:sz w:val="23"/>
                <w:szCs w:val="23"/>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83,842</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36,841,852</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15,117</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30,232</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19,805</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44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David L. Reed</w:t>
            </w:r>
          </w:p>
        </w:tc>
        <w:tc>
          <w:tcPr>
            <w:tcW w:w="1000" w:type="dxa"/>
            <w:vAlign w:val="bottom"/>
            <w:tcBorders>
              <w:bottom w:val="single" w:sz="8" w:color="0C3D25"/>
            </w:tcBorders>
          </w:tcPr>
          <w:p>
            <w:pPr>
              <w:spacing w:after="0"/>
              <w:rPr>
                <w:sz w:val="21"/>
                <w:szCs w:val="21"/>
                <w:color w:val="auto"/>
              </w:rPr>
            </w:pPr>
          </w:p>
        </w:tc>
        <w:tc>
          <w:tcPr>
            <w:tcW w:w="126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60" w:type="dxa"/>
            <w:vAlign w:val="bottom"/>
            <w:tcBorders>
              <w:bottom w:val="single" w:sz="8" w:color="0C3D25"/>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620</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1,240</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020" w:type="dxa"/>
            <w:vAlign w:val="bottom"/>
            <w:tcBorders>
              <w:bottom w:val="single" w:sz="8" w:color="0C3D25"/>
            </w:tcBorders>
            <w:gridSpan w:val="2"/>
          </w:tcPr>
          <w:p>
            <w:pPr>
              <w:jc w:val="right"/>
              <w:ind w:right="185"/>
              <w:spacing w:after="0"/>
              <w:rPr>
                <w:sz w:val="20"/>
                <w:szCs w:val="20"/>
                <w:color w:val="auto"/>
              </w:rPr>
            </w:pPr>
            <w:r>
              <w:rPr>
                <w:rFonts w:ascii="Arial" w:cs="Arial" w:eastAsia="Arial" w:hAnsi="Arial"/>
                <w:sz w:val="20"/>
                <w:szCs w:val="20"/>
                <w:color w:val="auto"/>
              </w:rPr>
              <w:t>4,122</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905,645</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2,328</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1,022,970</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1,523</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762</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44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1,702</w:t>
            </w:r>
          </w:p>
        </w:tc>
        <w:tc>
          <w:tcPr>
            <w:tcW w:w="1260" w:type="dxa"/>
            <w:vAlign w:val="bottom"/>
            <w:tcBorders>
              <w:bottom w:val="single" w:sz="8" w:color="0C3D25"/>
            </w:tcBorders>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24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Devina A. Rankin</w:t>
            </w:r>
          </w:p>
        </w:tc>
        <w:tc>
          <w:tcPr>
            <w:tcW w:w="1260" w:type="dxa"/>
            <w:vAlign w:val="bottom"/>
            <w:tcBorders>
              <w:bottom w:val="single" w:sz="8" w:color="0C3D25"/>
            </w:tcBorders>
          </w:tcPr>
          <w:p>
            <w:pPr>
              <w:spacing w:after="0"/>
              <w:rPr>
                <w:sz w:val="22"/>
                <w:szCs w:val="22"/>
                <w:color w:val="auto"/>
              </w:rPr>
            </w:pPr>
          </w:p>
        </w:tc>
        <w:tc>
          <w:tcPr>
            <w:tcW w:w="1020" w:type="dxa"/>
            <w:vAlign w:val="bottom"/>
            <w:tcBorders>
              <w:bottom w:val="single" w:sz="8" w:color="0C3D25"/>
            </w:tcBorders>
          </w:tcPr>
          <w:p>
            <w:pPr>
              <w:spacing w:after="0"/>
              <w:rPr>
                <w:sz w:val="22"/>
                <w:szCs w:val="22"/>
                <w:color w:val="auto"/>
              </w:rPr>
            </w:pPr>
          </w:p>
        </w:tc>
        <w:tc>
          <w:tcPr>
            <w:tcW w:w="1020" w:type="dxa"/>
            <w:vAlign w:val="bottom"/>
            <w:tcBorders>
              <w:bottom w:val="single" w:sz="8" w:color="0C3D25"/>
            </w:tcBorders>
          </w:tcPr>
          <w:p>
            <w:pPr>
              <w:spacing w:after="0"/>
              <w:rPr>
                <w:sz w:val="22"/>
                <w:szCs w:val="22"/>
                <w:color w:val="auto"/>
              </w:rPr>
            </w:pPr>
          </w:p>
        </w:tc>
        <w:tc>
          <w:tcPr>
            <w:tcW w:w="120" w:type="dxa"/>
            <w:vAlign w:val="bottom"/>
            <w:tcBorders>
              <w:bottom w:val="single" w:sz="8" w:color="0C3D25"/>
            </w:tcBorders>
          </w:tcPr>
          <w:p>
            <w:pPr>
              <w:spacing w:after="0"/>
              <w:rPr>
                <w:sz w:val="22"/>
                <w:szCs w:val="22"/>
                <w:color w:val="auto"/>
              </w:rPr>
            </w:pP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60" w:type="dxa"/>
            <w:vAlign w:val="bottom"/>
            <w:tcBorders>
              <w:bottom w:val="single" w:sz="8" w:color="0C3D25"/>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11,380</w:t>
            </w:r>
            <w:r>
              <w:rPr>
                <w:rFonts w:ascii="Arial" w:cs="Arial" w:eastAsia="Arial" w:hAnsi="Arial"/>
                <w:sz w:val="25"/>
                <w:szCs w:val="25"/>
                <w:color w:val="auto"/>
                <w:vertAlign w:val="superscript"/>
              </w:rPr>
              <w:t>(3)</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231.195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2/25/2035</w:t>
            </w:r>
          </w:p>
        </w:tc>
        <w:tc>
          <w:tcPr>
            <w:tcW w:w="120" w:type="dxa"/>
            <w:vAlign w:val="bottom"/>
            <w:tcBorders>
              <w:bottom w:val="single" w:sz="8" w:color="0C3D25"/>
            </w:tcBorders>
          </w:tcPr>
          <w:p>
            <w:pPr>
              <w:spacing w:after="0"/>
              <w:rPr>
                <w:sz w:val="23"/>
                <w:szCs w:val="23"/>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19,302</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8,481,685</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7,132</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4,672</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24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John J. Morris, Jr.</w:t>
            </w:r>
          </w:p>
        </w:tc>
        <w:tc>
          <w:tcPr>
            <w:tcW w:w="126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60" w:type="dxa"/>
            <w:vAlign w:val="bottom"/>
            <w:tcBorders>
              <w:bottom w:val="single" w:sz="8" w:color="0C3D25"/>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13,066</w:t>
            </w:r>
            <w:r>
              <w:rPr>
                <w:rFonts w:ascii="Arial" w:cs="Arial" w:eastAsia="Arial" w:hAnsi="Arial"/>
                <w:sz w:val="25"/>
                <w:szCs w:val="25"/>
                <w:color w:val="auto"/>
                <w:vertAlign w:val="superscript"/>
              </w:rPr>
              <w:t>(3)</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231.195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2/25/2035</w:t>
            </w:r>
          </w:p>
        </w:tc>
        <w:tc>
          <w:tcPr>
            <w:tcW w:w="1020" w:type="dxa"/>
            <w:vAlign w:val="bottom"/>
            <w:tcBorders>
              <w:bottom w:val="single" w:sz="8" w:color="0C3D25"/>
            </w:tcBorders>
            <w:gridSpan w:val="2"/>
          </w:tcPr>
          <w:p>
            <w:pPr>
              <w:jc w:val="right"/>
              <w:ind w:right="185"/>
              <w:spacing w:after="0"/>
              <w:rPr>
                <w:sz w:val="20"/>
                <w:szCs w:val="20"/>
                <w:color w:val="auto"/>
              </w:rPr>
            </w:pPr>
            <w:r>
              <w:rPr>
                <w:rFonts w:ascii="Arial" w:cs="Arial" w:eastAsia="Arial" w:hAnsi="Arial"/>
                <w:sz w:val="20"/>
                <w:szCs w:val="20"/>
                <w:color w:val="auto"/>
              </w:rPr>
              <w:t>4,585</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1,007,370</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23,436</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10,298,247</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4,574</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9,147</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5,484</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24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Tara J. Hemmer</w:t>
            </w:r>
          </w:p>
        </w:tc>
        <w:tc>
          <w:tcPr>
            <w:tcW w:w="126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60" w:type="dxa"/>
            <w:vAlign w:val="bottom"/>
            <w:tcBorders>
              <w:bottom w:val="single" w:sz="8" w:color="0C3D25"/>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8,851</w:t>
            </w:r>
            <w:r>
              <w:rPr>
                <w:rFonts w:ascii="Arial" w:cs="Arial" w:eastAsia="Arial" w:hAnsi="Arial"/>
                <w:sz w:val="25"/>
                <w:szCs w:val="25"/>
                <w:color w:val="auto"/>
                <w:vertAlign w:val="superscript"/>
              </w:rPr>
              <w:t>(3)</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231.195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2/25/2035</w:t>
            </w:r>
          </w:p>
        </w:tc>
        <w:tc>
          <w:tcPr>
            <w:tcW w:w="1020" w:type="dxa"/>
            <w:vAlign w:val="bottom"/>
            <w:tcBorders>
              <w:bottom w:val="single" w:sz="8" w:color="0C3D25"/>
            </w:tcBorders>
            <w:gridSpan w:val="2"/>
          </w:tcPr>
          <w:p>
            <w:pPr>
              <w:jc w:val="right"/>
              <w:ind w:right="185"/>
              <w:spacing w:after="0"/>
              <w:rPr>
                <w:sz w:val="20"/>
                <w:szCs w:val="20"/>
                <w:color w:val="auto"/>
              </w:rPr>
            </w:pPr>
            <w:r>
              <w:rPr>
                <w:rFonts w:ascii="Arial" w:cs="Arial" w:eastAsia="Arial" w:hAnsi="Arial"/>
                <w:sz w:val="20"/>
                <w:szCs w:val="20"/>
                <w:color w:val="auto"/>
              </w:rPr>
              <w:t>9,130</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2,005,952</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15,884</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6,979,747</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3,101</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6,201</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7,313</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3,656</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24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Rafael E. Carrasco</w:t>
            </w:r>
          </w:p>
        </w:tc>
        <w:tc>
          <w:tcPr>
            <w:tcW w:w="126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0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spacing w:after="0"/>
              <w:rPr>
                <w:sz w:val="21"/>
                <w:szCs w:val="21"/>
                <w:color w:val="auto"/>
              </w:rPr>
            </w:pPr>
          </w:p>
        </w:tc>
        <w:tc>
          <w:tcPr>
            <w:tcW w:w="1060" w:type="dxa"/>
            <w:vAlign w:val="bottom"/>
            <w:tcBorders>
              <w:bottom w:val="single" w:sz="8" w:color="0C3D25"/>
            </w:tcBorders>
          </w:tcPr>
          <w:p>
            <w:pPr>
              <w:spacing w:after="0"/>
              <w:rPr>
                <w:sz w:val="21"/>
                <w:szCs w:val="21"/>
                <w:color w:val="auto"/>
              </w:rPr>
            </w:pPr>
          </w:p>
        </w:tc>
        <w:tc>
          <w:tcPr>
            <w:tcW w:w="60" w:type="dxa"/>
            <w:vAlign w:val="bottom"/>
            <w:tcBorders>
              <w:bottom w:val="single" w:sz="8" w:color="0C3D25"/>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0C3D25"/>
            </w:tcBorders>
          </w:tcPr>
          <w:p>
            <w:pPr>
              <w:spacing w:after="0"/>
              <w:rPr>
                <w:sz w:val="23"/>
                <w:szCs w:val="23"/>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C3D25"/>
            </w:tcBorders>
          </w:tcPr>
          <w:p>
            <w:pPr>
              <w:jc w:val="right"/>
              <w:ind w:right="86"/>
              <w:spacing w:after="0" w:line="268" w:lineRule="exact"/>
              <w:rPr>
                <w:sz w:val="20"/>
                <w:szCs w:val="20"/>
                <w:color w:val="auto"/>
              </w:rPr>
            </w:pPr>
            <w:r>
              <w:rPr>
                <w:rFonts w:ascii="Arial" w:cs="Arial" w:eastAsia="Arial" w:hAnsi="Arial"/>
                <w:sz w:val="20"/>
                <w:szCs w:val="20"/>
                <w:color w:val="auto"/>
              </w:rPr>
              <w:t>8,851</w:t>
            </w:r>
            <w:r>
              <w:rPr>
                <w:rFonts w:ascii="Arial" w:cs="Arial" w:eastAsia="Arial" w:hAnsi="Arial"/>
                <w:sz w:val="25"/>
                <w:szCs w:val="25"/>
                <w:color w:val="auto"/>
                <w:vertAlign w:val="superscript"/>
              </w:rPr>
              <w:t>(3)</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231.195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2/25/2035</w:t>
            </w:r>
          </w:p>
        </w:tc>
        <w:tc>
          <w:tcPr>
            <w:tcW w:w="120" w:type="dxa"/>
            <w:vAlign w:val="bottom"/>
            <w:tcBorders>
              <w:bottom w:val="single" w:sz="8" w:color="0C3D25"/>
            </w:tcBorders>
          </w:tcPr>
          <w:p>
            <w:pPr>
              <w:spacing w:after="0"/>
              <w:rPr>
                <w:sz w:val="23"/>
                <w:szCs w:val="23"/>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15,884</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6,979,747</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3,101</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6,201</w:t>
            </w:r>
            <w:r>
              <w:rPr>
                <w:rFonts w:ascii="Arial" w:cs="Arial" w:eastAsia="Arial" w:hAnsi="Arial"/>
                <w:sz w:val="25"/>
                <w:szCs w:val="25"/>
                <w:color w:val="auto"/>
                <w:vertAlign w:val="superscript"/>
              </w:rPr>
              <w:t>(4)</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C3D25"/>
            </w:tcBorders>
          </w:tcPr>
          <w:p>
            <w:pPr>
              <w:spacing w:after="0"/>
              <w:rPr>
                <w:sz w:val="22"/>
                <w:szCs w:val="22"/>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8,125</w:t>
            </w:r>
          </w:p>
        </w:tc>
        <w:tc>
          <w:tcPr>
            <w:tcW w:w="1260" w:type="dxa"/>
            <w:vAlign w:val="bottom"/>
            <w:tcBorders>
              <w:bottom w:val="single" w:sz="8" w:color="0C3D25"/>
            </w:tcBorders>
          </w:tcPr>
          <w:p>
            <w:pPr>
              <w:jc w:val="right"/>
              <w:ind w:right="86"/>
              <w:spacing w:after="0" w:line="259" w:lineRule="exact"/>
              <w:rPr>
                <w:sz w:val="20"/>
                <w:szCs w:val="20"/>
                <w:color w:val="auto"/>
              </w:rPr>
            </w:pPr>
            <w:r>
              <w:rPr>
                <w:rFonts w:ascii="Arial" w:cs="Arial" w:eastAsia="Arial" w:hAnsi="Arial"/>
                <w:sz w:val="20"/>
                <w:szCs w:val="20"/>
                <w:color w:val="auto"/>
              </w:rPr>
              <w:t>4,063</w:t>
            </w:r>
            <w:r>
              <w:rPr>
                <w:rFonts w:ascii="Arial" w:cs="Arial" w:eastAsia="Arial" w:hAnsi="Arial"/>
                <w:sz w:val="25"/>
                <w:szCs w:val="25"/>
                <w:color w:val="auto"/>
                <w:vertAlign w:val="superscript"/>
              </w:rPr>
              <w:t>(5)</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C3D25"/>
            </w:tcBorders>
          </w:tcPr>
          <w:p>
            <w:pPr>
              <w:spacing w:after="0"/>
              <w:rPr>
                <w:sz w:val="22"/>
                <w:szCs w:val="22"/>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440" w:type="dxa"/>
            <w:vAlign w:val="bottom"/>
            <w:tcBorders>
              <w:bottom w:val="single" w:sz="8" w:color="0C3D25"/>
            </w:tcBorders>
          </w:tcPr>
          <w:p>
            <w:pPr>
              <w:spacing w:after="0"/>
              <w:rPr>
                <w:sz w:val="21"/>
                <w:szCs w:val="21"/>
                <w:color w:val="auto"/>
              </w:rPr>
            </w:pPr>
          </w:p>
        </w:tc>
        <w:tc>
          <w:tcPr>
            <w:tcW w:w="10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12,859</w:t>
            </w:r>
          </w:p>
        </w:tc>
        <w:tc>
          <w:tcPr>
            <w:tcW w:w="1260" w:type="dxa"/>
            <w:vAlign w:val="bottom"/>
            <w:tcBorders>
              <w:bottom w:val="single" w:sz="8" w:color="0C3D25"/>
            </w:tcBorders>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C3D25"/>
            </w:tcBorders>
          </w:tcPr>
          <w:p>
            <w:pPr>
              <w:spacing w:after="0"/>
              <w:rPr>
                <w:sz w:val="21"/>
                <w:szCs w:val="21"/>
                <w:color w:val="auto"/>
              </w:rPr>
            </w:pPr>
          </w:p>
        </w:tc>
        <w:tc>
          <w:tcPr>
            <w:tcW w:w="90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C3D25"/>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1"/>
                <w:szCs w:val="21"/>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2,655</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4"/>
              <w:spacing w:after="0"/>
              <w:rPr>
                <w:sz w:val="20"/>
                <w:szCs w:val="20"/>
                <w:color w:val="auto"/>
              </w:rPr>
            </w:pPr>
            <w:r>
              <w:rPr>
                <w:rFonts w:ascii="Arial" w:cs="Arial" w:eastAsia="Arial" w:hAnsi="Arial"/>
                <w:sz w:val="20"/>
                <w:szCs w:val="20"/>
                <w:color w:val="auto"/>
              </w:rPr>
              <w:t>126.005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Pr>
          <w:p>
            <w:pPr>
              <w:spacing w:after="0"/>
              <w:rPr>
                <w:sz w:val="21"/>
                <w:szCs w:val="21"/>
                <w:color w:val="auto"/>
              </w:rPr>
            </w:pPr>
          </w:p>
        </w:tc>
        <w:tc>
          <w:tcPr>
            <w:tcW w:w="90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
        </w:trPr>
        <w:tc>
          <w:tcPr>
            <w:tcW w:w="1440" w:type="dxa"/>
            <w:vAlign w:val="bottom"/>
            <w:tcBorders>
              <w:bottom w:val="single" w:sz="8" w:color="0C3D25"/>
            </w:tcBorders>
          </w:tcPr>
          <w:p>
            <w:pPr>
              <w:spacing w:after="0"/>
              <w:rPr>
                <w:sz w:val="2"/>
                <w:szCs w:val="2"/>
                <w:color w:val="auto"/>
              </w:rPr>
            </w:pPr>
          </w:p>
        </w:tc>
        <w:tc>
          <w:tcPr>
            <w:tcW w:w="1000" w:type="dxa"/>
            <w:vAlign w:val="bottom"/>
            <w:tcBorders>
              <w:bottom w:val="single" w:sz="8" w:color="0C3D25"/>
            </w:tcBorders>
          </w:tcPr>
          <w:p>
            <w:pPr>
              <w:spacing w:after="0"/>
              <w:rPr>
                <w:sz w:val="2"/>
                <w:szCs w:val="2"/>
                <w:color w:val="auto"/>
              </w:rPr>
            </w:pPr>
          </w:p>
        </w:tc>
        <w:tc>
          <w:tcPr>
            <w:tcW w:w="1260" w:type="dxa"/>
            <w:vAlign w:val="bottom"/>
            <w:tcBorders>
              <w:bottom w:val="single" w:sz="8" w:color="0C3D25"/>
            </w:tcBorders>
          </w:tcPr>
          <w:p>
            <w:pPr>
              <w:spacing w:after="0"/>
              <w:rPr>
                <w:sz w:val="2"/>
                <w:szCs w:val="2"/>
                <w:color w:val="auto"/>
              </w:rPr>
            </w:pPr>
          </w:p>
        </w:tc>
        <w:tc>
          <w:tcPr>
            <w:tcW w:w="1020" w:type="dxa"/>
            <w:vAlign w:val="bottom"/>
            <w:tcBorders>
              <w:bottom w:val="single" w:sz="8" w:color="0C3D25"/>
            </w:tcBorders>
          </w:tcPr>
          <w:p>
            <w:pPr>
              <w:spacing w:after="0"/>
              <w:rPr>
                <w:sz w:val="2"/>
                <w:szCs w:val="2"/>
                <w:color w:val="auto"/>
              </w:rPr>
            </w:pPr>
          </w:p>
        </w:tc>
        <w:tc>
          <w:tcPr>
            <w:tcW w:w="102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900" w:type="dxa"/>
            <w:vAlign w:val="bottom"/>
            <w:tcBorders>
              <w:bottom w:val="single" w:sz="8" w:color="0C3D25"/>
            </w:tcBorders>
          </w:tcPr>
          <w:p>
            <w:pPr>
              <w:spacing w:after="0"/>
              <w:rPr>
                <w:sz w:val="2"/>
                <w:szCs w:val="2"/>
                <w:color w:val="auto"/>
              </w:rPr>
            </w:pPr>
          </w:p>
        </w:tc>
        <w:tc>
          <w:tcPr>
            <w:tcW w:w="1060" w:type="dxa"/>
            <w:vAlign w:val="bottom"/>
            <w:tcBorders>
              <w:bottom w:val="single" w:sz="8" w:color="0C3D25"/>
            </w:tcBorders>
          </w:tcPr>
          <w:p>
            <w:pPr>
              <w:spacing w:after="0"/>
              <w:rPr>
                <w:sz w:val="2"/>
                <w:szCs w:val="2"/>
                <w:color w:val="auto"/>
              </w:rPr>
            </w:pPr>
          </w:p>
        </w:tc>
        <w:tc>
          <w:tcPr>
            <w:tcW w:w="1000" w:type="dxa"/>
            <w:vAlign w:val="bottom"/>
            <w:tcBorders>
              <w:bottom w:val="single" w:sz="8" w:color="0C3D25"/>
            </w:tcBorders>
          </w:tcPr>
          <w:p>
            <w:pPr>
              <w:spacing w:after="0"/>
              <w:rPr>
                <w:sz w:val="2"/>
                <w:szCs w:val="2"/>
                <w:color w:val="auto"/>
              </w:rPr>
            </w:pPr>
          </w:p>
        </w:tc>
        <w:tc>
          <w:tcPr>
            <w:tcW w:w="106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02" w:hanging="402"/>
        <w:spacing w:after="0"/>
        <w:tabs>
          <w:tab w:leader="none" w:pos="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Values are based on the closing price of our Common Stock on December 31, 2025 of $219.71.</w:t>
      </w:r>
    </w:p>
    <w:p>
      <w:pPr>
        <w:spacing w:after="0" w:line="153" w:lineRule="exact"/>
        <w:rPr>
          <w:rFonts w:ascii="Arial" w:cs="Arial" w:eastAsia="Arial" w:hAnsi="Arial"/>
          <w:sz w:val="20"/>
          <w:szCs w:val="20"/>
          <w:color w:val="auto"/>
        </w:rPr>
      </w:pPr>
    </w:p>
    <w:p>
      <w:pPr>
        <w:ind w:left="402" w:hanging="402"/>
        <w:spacing w:after="0" w:line="286" w:lineRule="auto"/>
        <w:tabs>
          <w:tab w:leader="none" w:pos="4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Includes vested stock options granted on February 19, 2020, March 1, 2022, and March 7, 2023 pursuant to our 2014 Stock Incentive Plan and stock options granted on March 1, 2024 pursuant to our 2023 Stock Incentive Plan.</w:t>
      </w:r>
    </w:p>
    <w:p>
      <w:pPr>
        <w:spacing w:after="0" w:line="111" w:lineRule="exact"/>
        <w:rPr>
          <w:rFonts w:ascii="Arial" w:cs="Arial" w:eastAsia="Arial" w:hAnsi="Arial"/>
          <w:sz w:val="19"/>
          <w:szCs w:val="19"/>
          <w:color w:val="auto"/>
        </w:rPr>
      </w:pPr>
    </w:p>
    <w:p>
      <w:pPr>
        <w:ind w:left="402" w:hanging="402"/>
        <w:spacing w:after="0" w:line="259" w:lineRule="auto"/>
        <w:tabs>
          <w:tab w:leader="none" w:pos="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Includes stock options granted on February 25, 2025 that vest ratably in three annual increments, beginning on the first anniversary of the date of grant.</w:t>
      </w:r>
    </w:p>
    <w:p>
      <w:pPr>
        <w:spacing w:after="0" w:line="136" w:lineRule="exact"/>
        <w:rPr>
          <w:rFonts w:ascii="Arial" w:cs="Arial" w:eastAsia="Arial" w:hAnsi="Arial"/>
          <w:sz w:val="20"/>
          <w:szCs w:val="20"/>
          <w:color w:val="auto"/>
        </w:rPr>
      </w:pPr>
    </w:p>
    <w:p>
      <w:pPr>
        <w:ind w:left="402" w:hanging="402"/>
        <w:spacing w:after="0" w:line="259" w:lineRule="auto"/>
        <w:tabs>
          <w:tab w:leader="none" w:pos="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Includes stock options granted on March 1, 2024 that vest ratably in three annual increments, beginning on the first anniversary of the date of grant.</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358"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4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1" w:name="page62"/>
    <w:bookmarkEnd w:id="61"/>
    <w:p>
      <w:pPr>
        <w:ind w:left="3"/>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ind w:left="403" w:hanging="402"/>
        <w:spacing w:after="0" w:line="249" w:lineRule="auto"/>
        <w:tabs>
          <w:tab w:leader="none" w:pos="403"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Includes stock options granted on March 7, 2023 that vest ratably in three annual increments, beginning on the first anniversary of the date of grant.</w:t>
      </w:r>
    </w:p>
    <w:p>
      <w:pPr>
        <w:spacing w:after="0" w:line="121" w:lineRule="exact"/>
        <w:rPr>
          <w:rFonts w:ascii="Arial" w:cs="Arial" w:eastAsia="Arial" w:hAnsi="Arial"/>
          <w:sz w:val="20"/>
          <w:szCs w:val="20"/>
          <w:color w:val="auto"/>
        </w:rPr>
      </w:pPr>
    </w:p>
    <w:p>
      <w:pPr>
        <w:jc w:val="both"/>
        <w:ind w:left="403" w:hanging="402"/>
        <w:spacing w:after="0" w:line="264" w:lineRule="auto"/>
        <w:tabs>
          <w:tab w:leader="none" w:pos="403"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Includes the following: (a) Mr. Morris: 4,585 RSUs granted on May 20, 2025 that vest ratably in three annual increments, beginning on the first anniversary of the date of grant; (b) Mr. Reed — 2,628 RSUs granted on November 3, 2025; 727 RSUs granted on February 25, 2025 and 274 RSUs granted on March 1, 2024 that vest ratably in three annual increments, beginning on the first anniversary of the date of grant; (c) Mr. Reed — 493 RSUs granted on March 7, 2023 that vest in full on the third anniversary of date of grant; and (d) Ms. Hemmer — 9,130 RSUs granted on September 2, 2025 that vest 50% on the second anniversary of the date of grant and 50% on the third anniversary of the date of grant. All of the RSUs were granted under our 2023 Stock Incentive Plan, except that the March 7, 2023 grant of RSUs to Mr. Reed was made under our 2014 Stock Incentive Plan.</w:t>
      </w:r>
    </w:p>
    <w:p>
      <w:pPr>
        <w:spacing w:after="0" w:line="112" w:lineRule="exact"/>
        <w:rPr>
          <w:rFonts w:ascii="Arial" w:cs="Arial" w:eastAsia="Arial" w:hAnsi="Arial"/>
          <w:sz w:val="19"/>
          <w:szCs w:val="19"/>
          <w:color w:val="auto"/>
        </w:rPr>
      </w:pPr>
    </w:p>
    <w:p>
      <w:pPr>
        <w:jc w:val="both"/>
        <w:ind w:left="403" w:hanging="402"/>
        <w:spacing w:after="0" w:line="280" w:lineRule="auto"/>
        <w:tabs>
          <w:tab w:leader="none" w:pos="4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2026 and December 31, 2027.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2025 are not included in the table as they are considered earned as of December 31, 2025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2025 exceeded target, the payout value of unearned awards is calculated assuming maximum performance criteria is achieved. The following number of PSUs have a performance period ending December 31, 2026: Mr. Fish — 40,206; Ms. Rankin — 9,484; Mr. Reed — 1,238; Mr. Morris — 12,164; and Ms. Hemmer — 8,248; and Mr. Carrasco — 8,248. The following number of PSUs have a performance period ending December 31, 2027: Mr. Fish — 43,636; Ms. Rankin — 9,818; Mr. Reed — 1,090; Mr. Morris — 11,272; and Ms. Hemmer — 7,636; and Mr. Carrasco — 7,636.</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24"/>
          <w:szCs w:val="24"/>
          <w:b w:val="1"/>
          <w:bCs w:val="1"/>
          <w:color w:val="0C3D25"/>
        </w:rPr>
        <w:t>Option Exercises and Stock Vested</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480" w:type="dxa"/>
            <w:vAlign w:val="bottom"/>
            <w:gridSpan w:val="3"/>
          </w:tcPr>
          <w:p>
            <w:pPr>
              <w:ind w:left="1160"/>
              <w:spacing w:after="0"/>
              <w:rPr>
                <w:sz w:val="20"/>
                <w:szCs w:val="20"/>
                <w:color w:val="auto"/>
              </w:rPr>
            </w:pPr>
            <w:r>
              <w:rPr>
                <w:rFonts w:ascii="Arial" w:cs="Arial" w:eastAsia="Arial" w:hAnsi="Arial"/>
                <w:sz w:val="16"/>
                <w:szCs w:val="16"/>
                <w:b w:val="1"/>
                <w:bCs w:val="1"/>
                <w:color w:val="0C3D25"/>
              </w:rPr>
              <w:t>Option Awards</w:t>
            </w:r>
          </w:p>
        </w:tc>
        <w:tc>
          <w:tcPr>
            <w:tcW w:w="120" w:type="dxa"/>
            <w:vAlign w:val="bottom"/>
          </w:tcPr>
          <w:p>
            <w:pPr>
              <w:spacing w:after="0"/>
              <w:rPr>
                <w:sz w:val="16"/>
                <w:szCs w:val="16"/>
                <w:color w:val="auto"/>
              </w:rPr>
            </w:pPr>
          </w:p>
        </w:tc>
        <w:tc>
          <w:tcPr>
            <w:tcW w:w="3340" w:type="dxa"/>
            <w:vAlign w:val="bottom"/>
            <w:gridSpan w:val="3"/>
          </w:tcPr>
          <w:p>
            <w:pPr>
              <w:ind w:left="1140"/>
              <w:spacing w:after="0"/>
              <w:rPr>
                <w:sz w:val="20"/>
                <w:szCs w:val="20"/>
                <w:color w:val="auto"/>
              </w:rPr>
            </w:pPr>
            <w:r>
              <w:rPr>
                <w:rFonts w:ascii="Arial" w:cs="Arial" w:eastAsia="Arial" w:hAnsi="Arial"/>
                <w:sz w:val="16"/>
                <w:szCs w:val="16"/>
                <w:b w:val="1"/>
                <w:bCs w:val="1"/>
                <w:color w:val="0C3D25"/>
              </w:rPr>
              <w:t>Stock Awards</w:t>
            </w:r>
          </w:p>
        </w:tc>
      </w:tr>
      <w:tr>
        <w:trPr>
          <w:trHeight w:val="46"/>
        </w:trPr>
        <w:tc>
          <w:tcPr>
            <w:tcW w:w="3120" w:type="dxa"/>
            <w:vAlign w:val="bottom"/>
          </w:tcPr>
          <w:p>
            <w:pPr>
              <w:spacing w:after="0"/>
              <w:rPr>
                <w:sz w:val="3"/>
                <w:szCs w:val="3"/>
                <w:color w:val="auto"/>
              </w:rPr>
            </w:pPr>
          </w:p>
        </w:tc>
        <w:tc>
          <w:tcPr>
            <w:tcW w:w="1980" w:type="dxa"/>
            <w:vAlign w:val="bottom"/>
            <w:tcBorders>
              <w:bottom w:val="single" w:sz="8" w:color="0C3D25"/>
            </w:tcBorders>
          </w:tcPr>
          <w:p>
            <w:pPr>
              <w:spacing w:after="0"/>
              <w:rPr>
                <w:sz w:val="3"/>
                <w:szCs w:val="3"/>
                <w:color w:val="auto"/>
              </w:rPr>
            </w:pPr>
          </w:p>
        </w:tc>
        <w:tc>
          <w:tcPr>
            <w:tcW w:w="1380" w:type="dxa"/>
            <w:vAlign w:val="bottom"/>
            <w:tcBorders>
              <w:bottom w:val="single" w:sz="8" w:color="0C3D25"/>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0C3D25"/>
            </w:tcBorders>
          </w:tcPr>
          <w:p>
            <w:pPr>
              <w:spacing w:after="0"/>
              <w:rPr>
                <w:sz w:val="3"/>
                <w:szCs w:val="3"/>
                <w:color w:val="auto"/>
              </w:rPr>
            </w:pPr>
          </w:p>
        </w:tc>
        <w:tc>
          <w:tcPr>
            <w:tcW w:w="1380" w:type="dxa"/>
            <w:vAlign w:val="bottom"/>
            <w:tcBorders>
              <w:bottom w:val="single" w:sz="8" w:color="0C3D25"/>
            </w:tcBorders>
          </w:tcPr>
          <w:p>
            <w:pPr>
              <w:spacing w:after="0"/>
              <w:rPr>
                <w:sz w:val="3"/>
                <w:szCs w:val="3"/>
                <w:color w:val="auto"/>
              </w:rPr>
            </w:pPr>
          </w:p>
        </w:tc>
        <w:tc>
          <w:tcPr>
            <w:tcW w:w="60" w:type="dxa"/>
            <w:vAlign w:val="bottom"/>
          </w:tcPr>
          <w:p>
            <w:pPr>
              <w:spacing w:after="0"/>
              <w:rPr>
                <w:sz w:val="3"/>
                <w:szCs w:val="3"/>
                <w:color w:val="auto"/>
              </w:rPr>
            </w:pPr>
          </w:p>
        </w:tc>
      </w:tr>
      <w:tr>
        <w:trPr>
          <w:trHeight w:val="176"/>
        </w:trPr>
        <w:tc>
          <w:tcPr>
            <w:tcW w:w="3120" w:type="dxa"/>
            <w:vAlign w:val="bottom"/>
          </w:tcPr>
          <w:p>
            <w:pPr>
              <w:spacing w:after="0"/>
              <w:rPr>
                <w:sz w:val="15"/>
                <w:szCs w:val="15"/>
                <w:color w:val="auto"/>
              </w:rPr>
            </w:pPr>
          </w:p>
        </w:tc>
        <w:tc>
          <w:tcPr>
            <w:tcW w:w="1980" w:type="dxa"/>
            <w:vAlign w:val="bottom"/>
          </w:tcPr>
          <w:p>
            <w:pPr>
              <w:jc w:val="right"/>
              <w:ind w:right="27"/>
              <w:spacing w:after="0" w:line="175" w:lineRule="exact"/>
              <w:rPr>
                <w:sz w:val="20"/>
                <w:szCs w:val="20"/>
                <w:color w:val="auto"/>
              </w:rPr>
            </w:pPr>
            <w:r>
              <w:rPr>
                <w:rFonts w:ascii="Arial" w:cs="Arial" w:eastAsia="Arial" w:hAnsi="Arial"/>
                <w:sz w:val="16"/>
                <w:szCs w:val="16"/>
                <w:b w:val="1"/>
                <w:bCs w:val="1"/>
                <w:color w:val="0C3D25"/>
              </w:rPr>
              <w:t>Number of Shares</w:t>
            </w:r>
          </w:p>
        </w:tc>
        <w:tc>
          <w:tcPr>
            <w:tcW w:w="150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0C3D25"/>
                <w:w w:val="99"/>
              </w:rPr>
              <w:t>Value Realized on</w:t>
            </w:r>
          </w:p>
        </w:tc>
        <w:tc>
          <w:tcPr>
            <w:tcW w:w="120" w:type="dxa"/>
            <w:vAlign w:val="bottom"/>
          </w:tcPr>
          <w:p>
            <w:pPr>
              <w:spacing w:after="0"/>
              <w:rPr>
                <w:sz w:val="15"/>
                <w:szCs w:val="15"/>
                <w:color w:val="auto"/>
              </w:rPr>
            </w:pPr>
          </w:p>
        </w:tc>
        <w:tc>
          <w:tcPr>
            <w:tcW w:w="1900" w:type="dxa"/>
            <w:vAlign w:val="bottom"/>
          </w:tcPr>
          <w:p>
            <w:pPr>
              <w:jc w:val="right"/>
              <w:ind w:right="40"/>
              <w:spacing w:after="0" w:line="175" w:lineRule="exact"/>
              <w:rPr>
                <w:sz w:val="20"/>
                <w:szCs w:val="20"/>
                <w:color w:val="auto"/>
              </w:rPr>
            </w:pPr>
            <w:r>
              <w:rPr>
                <w:rFonts w:ascii="Arial" w:cs="Arial" w:eastAsia="Arial" w:hAnsi="Arial"/>
                <w:sz w:val="16"/>
                <w:szCs w:val="16"/>
                <w:b w:val="1"/>
                <w:bCs w:val="1"/>
                <w:color w:val="0C3D25"/>
              </w:rPr>
              <w:t>Number of Shares</w:t>
            </w:r>
          </w:p>
        </w:tc>
        <w:tc>
          <w:tcPr>
            <w:tcW w:w="144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0C3D25"/>
                <w:w w:val="99"/>
              </w:rPr>
              <w:t>Value Realized on</w:t>
            </w:r>
          </w:p>
        </w:tc>
      </w:tr>
      <w:tr>
        <w:trPr>
          <w:trHeight w:val="231"/>
        </w:trPr>
        <w:tc>
          <w:tcPr>
            <w:tcW w:w="312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w:t>
            </w:r>
          </w:p>
        </w:tc>
        <w:tc>
          <w:tcPr>
            <w:tcW w:w="1980" w:type="dxa"/>
            <w:vAlign w:val="bottom"/>
            <w:tcBorders>
              <w:bottom w:val="single" w:sz="8" w:color="0C3D25"/>
            </w:tcBorders>
          </w:tcPr>
          <w:p>
            <w:pPr>
              <w:jc w:val="right"/>
              <w:ind w:right="27"/>
              <w:spacing w:after="0"/>
              <w:rPr>
                <w:sz w:val="20"/>
                <w:szCs w:val="20"/>
                <w:color w:val="auto"/>
              </w:rPr>
            </w:pPr>
            <w:r>
              <w:rPr>
                <w:rFonts w:ascii="Arial" w:cs="Arial" w:eastAsia="Arial" w:hAnsi="Arial"/>
                <w:sz w:val="16"/>
                <w:szCs w:val="16"/>
                <w:b w:val="1"/>
                <w:bCs w:val="1"/>
                <w:color w:val="0C3D25"/>
                <w:w w:val="90"/>
              </w:rPr>
              <w:t>Acquired on Exercise (#)</w:t>
            </w:r>
            <w:r>
              <w:rPr>
                <w:rFonts w:ascii="Arial" w:cs="Arial" w:eastAsia="Arial" w:hAnsi="Arial"/>
                <w:sz w:val="19"/>
                <w:szCs w:val="19"/>
                <w:b w:val="1"/>
                <w:bCs w:val="1"/>
                <w:color w:val="0C3D25"/>
                <w:w w:val="90"/>
                <w:vertAlign w:val="superscript"/>
              </w:rPr>
              <w:t>(1)</w:t>
            </w:r>
          </w:p>
        </w:tc>
        <w:tc>
          <w:tcPr>
            <w:tcW w:w="1500" w:type="dxa"/>
            <w:vAlign w:val="bottom"/>
            <w:tcBorders>
              <w:bottom w:val="single" w:sz="8" w:color="0C3D25"/>
            </w:tcBorders>
            <w:gridSpan w:val="2"/>
          </w:tcPr>
          <w:p>
            <w:pPr>
              <w:jc w:val="right"/>
              <w:ind w:right="120"/>
              <w:spacing w:after="0"/>
              <w:rPr>
                <w:sz w:val="20"/>
                <w:szCs w:val="20"/>
                <w:color w:val="auto"/>
              </w:rPr>
            </w:pPr>
            <w:r>
              <w:rPr>
                <w:rFonts w:ascii="Arial" w:cs="Arial" w:eastAsia="Arial" w:hAnsi="Arial"/>
                <w:sz w:val="16"/>
                <w:szCs w:val="16"/>
                <w:b w:val="1"/>
                <w:bCs w:val="1"/>
                <w:color w:val="0C3D25"/>
              </w:rPr>
              <w:t>Exercise ($)</w:t>
            </w:r>
          </w:p>
        </w:tc>
        <w:tc>
          <w:tcPr>
            <w:tcW w:w="2020" w:type="dxa"/>
            <w:vAlign w:val="bottom"/>
            <w:tcBorders>
              <w:bottom w:val="single" w:sz="8" w:color="0C3D25"/>
            </w:tcBorders>
            <w:gridSpan w:val="2"/>
          </w:tcPr>
          <w:p>
            <w:pPr>
              <w:jc w:val="right"/>
              <w:ind w:right="40"/>
              <w:spacing w:after="0"/>
              <w:rPr>
                <w:sz w:val="20"/>
                <w:szCs w:val="20"/>
                <w:color w:val="auto"/>
              </w:rPr>
            </w:pPr>
            <w:r>
              <w:rPr>
                <w:rFonts w:ascii="Arial" w:cs="Arial" w:eastAsia="Arial" w:hAnsi="Arial"/>
                <w:sz w:val="16"/>
                <w:szCs w:val="16"/>
                <w:b w:val="1"/>
                <w:bCs w:val="1"/>
                <w:color w:val="0C3D25"/>
                <w:w w:val="96"/>
              </w:rPr>
              <w:t>Acquired on Vesting (#)</w:t>
            </w:r>
            <w:r>
              <w:rPr>
                <w:rFonts w:ascii="Arial" w:cs="Arial" w:eastAsia="Arial" w:hAnsi="Arial"/>
                <w:sz w:val="19"/>
                <w:szCs w:val="19"/>
                <w:b w:val="1"/>
                <w:bCs w:val="1"/>
                <w:color w:val="0C3D25"/>
                <w:w w:val="96"/>
                <w:vertAlign w:val="superscript"/>
              </w:rPr>
              <w:t>(2)</w:t>
            </w:r>
          </w:p>
        </w:tc>
        <w:tc>
          <w:tcPr>
            <w:tcW w:w="144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16"/>
                <w:szCs w:val="16"/>
                <w:b w:val="1"/>
                <w:bCs w:val="1"/>
                <w:color w:val="0C3D25"/>
              </w:rPr>
              <w:t>Vesting ($)</w:t>
            </w:r>
            <w:r>
              <w:rPr>
                <w:rFonts w:ascii="Arial" w:cs="Arial" w:eastAsia="Arial" w:hAnsi="Arial"/>
                <w:sz w:val="19"/>
                <w:szCs w:val="19"/>
                <w:b w:val="1"/>
                <w:bCs w:val="1"/>
                <w:color w:val="0C3D25"/>
                <w:vertAlign w:val="superscript"/>
              </w:rPr>
              <w:t>(2)</w:t>
            </w:r>
          </w:p>
        </w:tc>
      </w:tr>
      <w:tr>
        <w:trPr>
          <w:trHeight w:val="268"/>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James C. Fish, Jr.</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41,868</w:t>
            </w:r>
          </w:p>
        </w:tc>
        <w:tc>
          <w:tcPr>
            <w:tcW w:w="1380" w:type="dxa"/>
            <w:vAlign w:val="bottom"/>
          </w:tcPr>
          <w:p>
            <w:pPr>
              <w:jc w:val="right"/>
              <w:ind w:right="125"/>
              <w:spacing w:after="0"/>
              <w:rPr>
                <w:sz w:val="20"/>
                <w:szCs w:val="20"/>
                <w:color w:val="auto"/>
              </w:rPr>
            </w:pPr>
            <w:r>
              <w:rPr>
                <w:rFonts w:ascii="Arial" w:cs="Arial" w:eastAsia="Arial" w:hAnsi="Arial"/>
                <w:sz w:val="20"/>
                <w:szCs w:val="20"/>
                <w:color w:val="auto"/>
              </w:rPr>
              <w:t>3,411,294</w:t>
            </w:r>
          </w:p>
        </w:tc>
        <w:tc>
          <w:tcPr>
            <w:tcW w:w="120" w:type="dxa"/>
            <w:vAlign w:val="bottom"/>
          </w:tcPr>
          <w:p>
            <w:pPr>
              <w:spacing w:after="0"/>
              <w:rPr>
                <w:sz w:val="23"/>
                <w:szCs w:val="23"/>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59,516</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13,475,018</w:t>
            </w:r>
          </w:p>
        </w:tc>
        <w:tc>
          <w:tcPr>
            <w:tcW w:w="60" w:type="dxa"/>
            <w:vAlign w:val="bottom"/>
          </w:tcPr>
          <w:p>
            <w:pPr>
              <w:spacing w:after="0"/>
              <w:rPr>
                <w:sz w:val="23"/>
                <w:szCs w:val="23"/>
                <w:color w:val="auto"/>
              </w:rPr>
            </w:pPr>
          </w:p>
        </w:tc>
      </w:tr>
      <w:tr>
        <w:trPr>
          <w:trHeight w:val="27"/>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500" w:type="dxa"/>
            <w:vAlign w:val="bottom"/>
            <w:tcBorders>
              <w:bottom w:val="single" w:sz="8" w:color="0C3D25"/>
            </w:tcBorders>
            <w:gridSpan w:val="2"/>
          </w:tcPr>
          <w:p>
            <w:pPr>
              <w:spacing w:after="0"/>
              <w:rPr>
                <w:sz w:val="2"/>
                <w:szCs w:val="2"/>
                <w:color w:val="auto"/>
              </w:rPr>
            </w:pPr>
          </w:p>
        </w:tc>
        <w:tc>
          <w:tcPr>
            <w:tcW w:w="2020" w:type="dxa"/>
            <w:vAlign w:val="bottom"/>
            <w:tcBorders>
              <w:bottom w:val="single" w:sz="8" w:color="0C3D25"/>
            </w:tcBorders>
            <w:gridSpan w:val="2"/>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r>
        <w:trPr>
          <w:trHeight w:val="253"/>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David L. Reed</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2,161</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491,474</w:t>
            </w:r>
          </w:p>
        </w:tc>
        <w:tc>
          <w:tcPr>
            <w:tcW w:w="60" w:type="dxa"/>
            <w:vAlign w:val="bottom"/>
          </w:tcPr>
          <w:p>
            <w:pPr>
              <w:spacing w:after="0"/>
              <w:rPr>
                <w:sz w:val="21"/>
                <w:szCs w:val="21"/>
                <w:color w:val="auto"/>
              </w:rPr>
            </w:pPr>
          </w:p>
        </w:tc>
      </w:tr>
      <w:tr>
        <w:trPr>
          <w:trHeight w:val="27"/>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2020" w:type="dxa"/>
            <w:vAlign w:val="bottom"/>
            <w:tcBorders>
              <w:bottom w:val="single" w:sz="8" w:color="0C3D25"/>
            </w:tcBorders>
            <w:gridSpan w:val="2"/>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r>
        <w:trPr>
          <w:trHeight w:val="253"/>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Devina A. Rankin</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79,183</w:t>
            </w:r>
          </w:p>
        </w:tc>
        <w:tc>
          <w:tcPr>
            <w:tcW w:w="1380" w:type="dxa"/>
            <w:vAlign w:val="bottom"/>
          </w:tcPr>
          <w:p>
            <w:pPr>
              <w:jc w:val="right"/>
              <w:ind w:right="125"/>
              <w:spacing w:after="0"/>
              <w:rPr>
                <w:sz w:val="20"/>
                <w:szCs w:val="20"/>
                <w:color w:val="auto"/>
              </w:rPr>
            </w:pPr>
            <w:r>
              <w:rPr>
                <w:rFonts w:ascii="Arial" w:cs="Arial" w:eastAsia="Arial" w:hAnsi="Arial"/>
                <w:sz w:val="20"/>
                <w:szCs w:val="20"/>
                <w:color w:val="auto"/>
              </w:rPr>
              <w:t>8,354,211</w:t>
            </w:r>
          </w:p>
        </w:tc>
        <w:tc>
          <w:tcPr>
            <w:tcW w:w="120" w:type="dxa"/>
            <w:vAlign w:val="bottom"/>
          </w:tcPr>
          <w:p>
            <w:pPr>
              <w:spacing w:after="0"/>
              <w:rPr>
                <w:sz w:val="21"/>
                <w:szCs w:val="21"/>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20,844</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4,753,033</w:t>
            </w:r>
          </w:p>
        </w:tc>
        <w:tc>
          <w:tcPr>
            <w:tcW w:w="60" w:type="dxa"/>
            <w:vAlign w:val="bottom"/>
          </w:tcPr>
          <w:p>
            <w:pPr>
              <w:spacing w:after="0"/>
              <w:rPr>
                <w:sz w:val="21"/>
                <w:szCs w:val="21"/>
                <w:color w:val="auto"/>
              </w:rPr>
            </w:pPr>
          </w:p>
        </w:tc>
      </w:tr>
      <w:tr>
        <w:trPr>
          <w:trHeight w:val="27"/>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2020" w:type="dxa"/>
            <w:vAlign w:val="bottom"/>
            <w:tcBorders>
              <w:bottom w:val="single" w:sz="8" w:color="0C3D25"/>
            </w:tcBorders>
            <w:gridSpan w:val="2"/>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r>
        <w:trPr>
          <w:trHeight w:val="253"/>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John J. Morris, Jr.</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30,636</w:t>
            </w:r>
          </w:p>
        </w:tc>
        <w:tc>
          <w:tcPr>
            <w:tcW w:w="1380" w:type="dxa"/>
            <w:vAlign w:val="bottom"/>
          </w:tcPr>
          <w:p>
            <w:pPr>
              <w:jc w:val="right"/>
              <w:ind w:right="125"/>
              <w:spacing w:after="0"/>
              <w:rPr>
                <w:sz w:val="20"/>
                <w:szCs w:val="20"/>
                <w:color w:val="auto"/>
              </w:rPr>
            </w:pPr>
            <w:r>
              <w:rPr>
                <w:rFonts w:ascii="Arial" w:cs="Arial" w:eastAsia="Arial" w:hAnsi="Arial"/>
                <w:sz w:val="20"/>
                <w:szCs w:val="20"/>
                <w:color w:val="auto"/>
              </w:rPr>
              <w:t>2,636,501</w:t>
            </w:r>
          </w:p>
        </w:tc>
        <w:tc>
          <w:tcPr>
            <w:tcW w:w="120" w:type="dxa"/>
            <w:vAlign w:val="bottom"/>
          </w:tcPr>
          <w:p>
            <w:pPr>
              <w:spacing w:after="0"/>
              <w:rPr>
                <w:sz w:val="21"/>
                <w:szCs w:val="21"/>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26,685</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6,092,363</w:t>
            </w:r>
          </w:p>
        </w:tc>
        <w:tc>
          <w:tcPr>
            <w:tcW w:w="60" w:type="dxa"/>
            <w:vAlign w:val="bottom"/>
          </w:tcPr>
          <w:p>
            <w:pPr>
              <w:spacing w:after="0"/>
              <w:rPr>
                <w:sz w:val="21"/>
                <w:szCs w:val="21"/>
                <w:color w:val="auto"/>
              </w:rPr>
            </w:pPr>
          </w:p>
        </w:tc>
      </w:tr>
      <w:tr>
        <w:trPr>
          <w:trHeight w:val="27"/>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2020" w:type="dxa"/>
            <w:vAlign w:val="bottom"/>
            <w:tcBorders>
              <w:bottom w:val="single" w:sz="8" w:color="0C3D25"/>
            </w:tcBorders>
            <w:gridSpan w:val="2"/>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r>
        <w:trPr>
          <w:trHeight w:val="253"/>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Tara J. Hemmer</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53,429</w:t>
            </w:r>
          </w:p>
        </w:tc>
        <w:tc>
          <w:tcPr>
            <w:tcW w:w="1380" w:type="dxa"/>
            <w:vAlign w:val="bottom"/>
          </w:tcPr>
          <w:p>
            <w:pPr>
              <w:jc w:val="right"/>
              <w:ind w:right="125"/>
              <w:spacing w:after="0"/>
              <w:rPr>
                <w:sz w:val="20"/>
                <w:szCs w:val="20"/>
                <w:color w:val="auto"/>
              </w:rPr>
            </w:pPr>
            <w:r>
              <w:rPr>
                <w:rFonts w:ascii="Arial" w:cs="Arial" w:eastAsia="Arial" w:hAnsi="Arial"/>
                <w:sz w:val="20"/>
                <w:szCs w:val="20"/>
                <w:color w:val="auto"/>
              </w:rPr>
              <w:t>5,776,116</w:t>
            </w:r>
          </w:p>
        </w:tc>
        <w:tc>
          <w:tcPr>
            <w:tcW w:w="120" w:type="dxa"/>
            <w:vAlign w:val="bottom"/>
          </w:tcPr>
          <w:p>
            <w:pPr>
              <w:spacing w:after="0"/>
              <w:rPr>
                <w:sz w:val="21"/>
                <w:szCs w:val="21"/>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16,090</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3,668,243</w:t>
            </w:r>
          </w:p>
        </w:tc>
        <w:tc>
          <w:tcPr>
            <w:tcW w:w="60" w:type="dxa"/>
            <w:vAlign w:val="bottom"/>
          </w:tcPr>
          <w:p>
            <w:pPr>
              <w:spacing w:after="0"/>
              <w:rPr>
                <w:sz w:val="21"/>
                <w:szCs w:val="21"/>
                <w:color w:val="auto"/>
              </w:rPr>
            </w:pPr>
          </w:p>
        </w:tc>
      </w:tr>
      <w:tr>
        <w:trPr>
          <w:trHeight w:val="27"/>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2020" w:type="dxa"/>
            <w:vAlign w:val="bottom"/>
            <w:tcBorders>
              <w:bottom w:val="single" w:sz="8" w:color="0C3D25"/>
            </w:tcBorders>
            <w:gridSpan w:val="2"/>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r>
        <w:trPr>
          <w:trHeight w:val="253"/>
        </w:trPr>
        <w:tc>
          <w:tcPr>
            <w:tcW w:w="3120" w:type="dxa"/>
            <w:vAlign w:val="bottom"/>
          </w:tcPr>
          <w:p>
            <w:pPr>
              <w:ind w:left="60"/>
              <w:spacing w:after="0"/>
              <w:rPr>
                <w:sz w:val="20"/>
                <w:szCs w:val="20"/>
                <w:color w:val="auto"/>
              </w:rPr>
            </w:pPr>
            <w:r>
              <w:rPr>
                <w:rFonts w:ascii="Arial" w:cs="Arial" w:eastAsia="Arial" w:hAnsi="Arial"/>
                <w:sz w:val="20"/>
                <w:szCs w:val="20"/>
                <w:b w:val="1"/>
                <w:bCs w:val="1"/>
                <w:color w:val="auto"/>
              </w:rPr>
              <w:t>Rafael E. Carrasco</w:t>
            </w:r>
          </w:p>
        </w:tc>
        <w:tc>
          <w:tcPr>
            <w:tcW w:w="1980" w:type="dxa"/>
            <w:vAlign w:val="bottom"/>
          </w:tcPr>
          <w:p>
            <w:pPr>
              <w:jc w:val="right"/>
              <w:ind w:right="667"/>
              <w:spacing w:after="0"/>
              <w:rPr>
                <w:sz w:val="20"/>
                <w:szCs w:val="20"/>
                <w:color w:val="auto"/>
              </w:rPr>
            </w:pPr>
            <w:r>
              <w:rPr>
                <w:rFonts w:ascii="Arial" w:cs="Arial" w:eastAsia="Arial" w:hAnsi="Arial"/>
                <w:sz w:val="20"/>
                <w:szCs w:val="20"/>
                <w:color w:val="auto"/>
              </w:rPr>
              <w:t>3,137</w:t>
            </w:r>
          </w:p>
        </w:tc>
        <w:tc>
          <w:tcPr>
            <w:tcW w:w="1380" w:type="dxa"/>
            <w:vAlign w:val="bottom"/>
          </w:tcPr>
          <w:p>
            <w:pPr>
              <w:jc w:val="right"/>
              <w:ind w:right="125"/>
              <w:spacing w:after="0"/>
              <w:rPr>
                <w:sz w:val="20"/>
                <w:szCs w:val="20"/>
                <w:color w:val="auto"/>
              </w:rPr>
            </w:pPr>
            <w:r>
              <w:rPr>
                <w:rFonts w:ascii="Arial" w:cs="Arial" w:eastAsia="Arial" w:hAnsi="Arial"/>
                <w:sz w:val="20"/>
                <w:szCs w:val="20"/>
                <w:color w:val="auto"/>
              </w:rPr>
              <w:t>412,404</w:t>
            </w:r>
          </w:p>
        </w:tc>
        <w:tc>
          <w:tcPr>
            <w:tcW w:w="120" w:type="dxa"/>
            <w:vAlign w:val="bottom"/>
          </w:tcPr>
          <w:p>
            <w:pPr>
              <w:spacing w:after="0"/>
              <w:rPr>
                <w:sz w:val="21"/>
                <w:szCs w:val="21"/>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20"/>
                <w:szCs w:val="20"/>
                <w:color w:val="auto"/>
              </w:rPr>
              <w:t>15,269</w:t>
            </w:r>
          </w:p>
        </w:tc>
        <w:tc>
          <w:tcPr>
            <w:tcW w:w="1380" w:type="dxa"/>
            <w:vAlign w:val="bottom"/>
          </w:tcPr>
          <w:p>
            <w:pPr>
              <w:jc w:val="right"/>
              <w:ind w:right="65"/>
              <w:spacing w:after="0"/>
              <w:rPr>
                <w:sz w:val="20"/>
                <w:szCs w:val="20"/>
                <w:color w:val="auto"/>
              </w:rPr>
            </w:pPr>
            <w:r>
              <w:rPr>
                <w:rFonts w:ascii="Arial" w:cs="Arial" w:eastAsia="Arial" w:hAnsi="Arial"/>
                <w:sz w:val="20"/>
                <w:szCs w:val="20"/>
                <w:color w:val="auto"/>
              </w:rPr>
              <w:t>3,472,237</w:t>
            </w:r>
          </w:p>
        </w:tc>
        <w:tc>
          <w:tcPr>
            <w:tcW w:w="60" w:type="dxa"/>
            <w:vAlign w:val="bottom"/>
          </w:tcPr>
          <w:p>
            <w:pPr>
              <w:spacing w:after="0"/>
              <w:rPr>
                <w:sz w:val="21"/>
                <w:szCs w:val="21"/>
                <w:color w:val="auto"/>
              </w:rPr>
            </w:pPr>
          </w:p>
        </w:tc>
      </w:tr>
      <w:tr>
        <w:trPr>
          <w:trHeight w:val="32"/>
        </w:trPr>
        <w:tc>
          <w:tcPr>
            <w:tcW w:w="3120" w:type="dxa"/>
            <w:vAlign w:val="bottom"/>
            <w:tcBorders>
              <w:bottom w:val="single" w:sz="8" w:color="0C3D25"/>
            </w:tcBorders>
          </w:tcPr>
          <w:p>
            <w:pPr>
              <w:spacing w:after="0"/>
              <w:rPr>
                <w:sz w:val="2"/>
                <w:szCs w:val="2"/>
                <w:color w:val="auto"/>
              </w:rPr>
            </w:pPr>
          </w:p>
        </w:tc>
        <w:tc>
          <w:tcPr>
            <w:tcW w:w="198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120" w:type="dxa"/>
            <w:vAlign w:val="bottom"/>
            <w:tcBorders>
              <w:bottom w:val="single" w:sz="8" w:color="0C3D25"/>
            </w:tcBorders>
          </w:tcPr>
          <w:p>
            <w:pPr>
              <w:spacing w:after="0"/>
              <w:rPr>
                <w:sz w:val="2"/>
                <w:szCs w:val="2"/>
                <w:color w:val="auto"/>
              </w:rPr>
            </w:pPr>
          </w:p>
        </w:tc>
        <w:tc>
          <w:tcPr>
            <w:tcW w:w="1900" w:type="dxa"/>
            <w:vAlign w:val="bottom"/>
            <w:tcBorders>
              <w:bottom w:val="single" w:sz="8" w:color="0C3D25"/>
            </w:tcBorders>
          </w:tcPr>
          <w:p>
            <w:pPr>
              <w:spacing w:after="0"/>
              <w:rPr>
                <w:sz w:val="2"/>
                <w:szCs w:val="2"/>
                <w:color w:val="auto"/>
              </w:rPr>
            </w:pPr>
          </w:p>
        </w:tc>
        <w:tc>
          <w:tcPr>
            <w:tcW w:w="1380" w:type="dxa"/>
            <w:vAlign w:val="bottom"/>
            <w:tcBorders>
              <w:bottom w:val="single" w:sz="8" w:color="0C3D25"/>
            </w:tcBorders>
          </w:tcPr>
          <w:p>
            <w:pPr>
              <w:spacing w:after="0"/>
              <w:rPr>
                <w:sz w:val="2"/>
                <w:szCs w:val="2"/>
                <w:color w:val="auto"/>
              </w:rPr>
            </w:pPr>
          </w:p>
        </w:tc>
        <w:tc>
          <w:tcPr>
            <w:tcW w:w="6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jc w:val="both"/>
        <w:ind w:left="403" w:hanging="399"/>
        <w:spacing w:after="0" w:line="249" w:lineRule="auto"/>
        <w:tabs>
          <w:tab w:leader="none" w:pos="383" w:val="left"/>
        </w:tabs>
        <w:rPr>
          <w:sz w:val="20"/>
          <w:szCs w:val="20"/>
          <w:color w:val="auto"/>
        </w:rPr>
      </w:pPr>
      <w:r>
        <w:rPr>
          <w:rFonts w:ascii="Arial" w:cs="Arial" w:eastAsia="Arial" w:hAnsi="Arial"/>
          <w:sz w:val="20"/>
          <w:szCs w:val="20"/>
          <w:color w:val="auto"/>
        </w:rPr>
        <w:t>(1)</w:t>
        <w:tab/>
        <w:t>The following number of net shares were received, after withholdings and/or sale of shares to cover option costs and taxes: Mr. Fish — 9,026; Ms. Rankin — 21,295; Mr. Morris — 6,841; Ms. Hemmer — 15,023 and Mr. Carrasco — 522.</w:t>
      </w:r>
    </w:p>
    <w:p>
      <w:pPr>
        <w:spacing w:after="0" w:line="122" w:lineRule="exact"/>
        <w:rPr>
          <w:sz w:val="20"/>
          <w:szCs w:val="20"/>
          <w:color w:val="auto"/>
        </w:rPr>
      </w:pPr>
    </w:p>
    <w:p>
      <w:pPr>
        <w:jc w:val="both"/>
        <w:ind w:left="403" w:hanging="403"/>
        <w:spacing w:after="0" w:line="277" w:lineRule="auto"/>
        <w:tabs>
          <w:tab w:leader="none" w:pos="4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2023 with a performance period ended December 31, 2025. The determination of achievement of performance results and corresponding vesting of such PSUs was performed by the MD&amp;C Committee in January 2026. Following such determination, shares of the Company’s Common Stock earned under this award were issued on January 29, 2026. Also includes:</w:t>
      </w:r>
    </w:p>
    <w:p>
      <w:pPr>
        <w:spacing w:after="0" w:line="2" w:lineRule="exact"/>
        <w:rPr>
          <w:rFonts w:ascii="Arial" w:cs="Arial" w:eastAsia="Arial" w:hAnsi="Arial"/>
          <w:sz w:val="18"/>
          <w:szCs w:val="18"/>
          <w:color w:val="auto"/>
        </w:rPr>
      </w:pPr>
    </w:p>
    <w:p>
      <w:pPr>
        <w:ind w:left="663" w:hanging="264"/>
        <w:spacing w:after="0"/>
        <w:tabs>
          <w:tab w:leader="none" w:pos="6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444 RSUs granted to Mr. Reed prior to his promotion to the senior leadership team that vested in full in 2025 and</w:t>
      </w:r>
    </w:p>
    <w:p>
      <w:pPr>
        <w:spacing w:after="0" w:line="32" w:lineRule="exact"/>
        <w:rPr>
          <w:rFonts w:ascii="Arial" w:cs="Arial" w:eastAsia="Arial" w:hAnsi="Arial"/>
          <w:sz w:val="18"/>
          <w:szCs w:val="18"/>
          <w:color w:val="auto"/>
        </w:rPr>
      </w:pPr>
    </w:p>
    <w:p>
      <w:pPr>
        <w:jc w:val="both"/>
        <w:ind w:left="403" w:hanging="4"/>
        <w:spacing w:after="0" w:line="267" w:lineRule="auto"/>
        <w:tabs>
          <w:tab w:leader="none" w:pos="658"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following number of RSUs that were granted to in 2022 in connection with achievement of targeted synergies from the Company’s 2020 acquisition of Advanced Disposal that vested in full in 2025: Ms. Rankin — 6,803; Mr. Morris — 10,204; Ms. Hemmer — 5,102 and Mr. Carrasco — 3,061. The value of PSUs and RSUs is calculated using the average of the high and low market price of our Common Stock on the date of payout.</w:t>
      </w:r>
    </w:p>
    <w:p>
      <w:pPr>
        <w:sectPr>
          <w:pgSz w:w="11880" w:h="15480" w:orient="portrait"/>
          <w:cols w:equalWidth="0" w:num="1">
            <w:col w:w="10063"/>
          </w:cols>
          <w:pgMar w:left="897"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
        <w:spacing w:after="0"/>
        <w:tabs>
          <w:tab w:leader="none" w:pos="363"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5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-87630</wp:posOffset>
            </wp:positionV>
            <wp:extent cx="4254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5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3"/>
          </w:cols>
          <w:pgMar w:left="897" w:top="513" w:right="920" w:bottom="315" w:gutter="0" w:footer="0" w:header="0"/>
          <w:type w:val="continuous"/>
        </w:sectPr>
      </w:pPr>
    </w:p>
    <w:bookmarkStart w:id="62" w:name="page63"/>
    <w:bookmarkEnd w:id="62"/>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Nonqualified Deferred Compensation in 2025</w:t>
      </w:r>
    </w:p>
    <w:p>
      <w:pPr>
        <w:spacing w:after="0" w:line="121"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i w:val="1"/>
          <w:iCs w:val="1"/>
          <w:u w:val="single" w:color="auto"/>
          <w:color w:val="auto"/>
        </w:rPr>
        <w:t>Amounts that Can be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Under our 409A Deferral Plan, each of our named executive officers may elect to defer</w:t>
      </w:r>
      <w:r>
        <w:rPr>
          <w:rFonts w:ascii="Arial" w:cs="Arial" w:eastAsia="Arial" w:hAnsi="Arial"/>
          <w:sz w:val="20"/>
          <w:szCs w:val="20"/>
          <w:i w:val="1"/>
          <w:iCs w:val="1"/>
          <w:color w:val="auto"/>
        </w:rPr>
        <w:t xml:space="preserve"> </w:t>
      </w:r>
      <w:r>
        <w:rPr>
          <w:rFonts w:ascii="Arial" w:cs="Arial" w:eastAsia="Arial" w:hAnsi="Arial"/>
          <w:sz w:val="20"/>
          <w:szCs w:val="20"/>
          <w:color w:val="auto"/>
        </w:rPr>
        <w:t>receipt of portions of their base salary and annual cash incentives for the applicable fiscal year in excess of the annual compensation threshold (the “Threshold”) established under Section 401(a)(17) of IRC. For 2025, the Threshold was $350,000.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105"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i w:val="1"/>
          <w:iCs w:val="1"/>
          <w:u w:val="single" w:color="auto"/>
          <w:color w:val="auto"/>
        </w:rPr>
        <w:t>Matching Contributions.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match provided under the 409A Deferral Plan is dollar for dollar on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106" w:lineRule="exact"/>
        <w:rPr>
          <w:sz w:val="20"/>
          <w:szCs w:val="20"/>
          <w:color w:val="auto"/>
        </w:rPr>
      </w:pPr>
    </w:p>
    <w:p>
      <w:pPr>
        <w:jc w:val="both"/>
        <w:ind w:left="2"/>
        <w:spacing w:after="0" w:line="27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 commencing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72"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020" w:type="dxa"/>
            <w:vAlign w:val="bottom"/>
          </w:tcPr>
          <w:p>
            <w:pPr>
              <w:jc w:val="right"/>
              <w:ind w:right="28"/>
              <w:spacing w:after="0"/>
              <w:rPr>
                <w:sz w:val="20"/>
                <w:szCs w:val="20"/>
                <w:color w:val="auto"/>
              </w:rPr>
            </w:pPr>
            <w:r>
              <w:rPr>
                <w:rFonts w:ascii="Arial" w:cs="Arial" w:eastAsia="Arial" w:hAnsi="Arial"/>
                <w:sz w:val="16"/>
                <w:szCs w:val="16"/>
                <w:b w:val="1"/>
                <w:bCs w:val="1"/>
                <w:color w:val="0C3D25"/>
              </w:rPr>
              <w:t>Executive</w:t>
            </w:r>
          </w:p>
        </w:tc>
        <w:tc>
          <w:tcPr>
            <w:tcW w:w="1180" w:type="dxa"/>
            <w:vAlign w:val="bottom"/>
          </w:tcPr>
          <w:p>
            <w:pPr>
              <w:jc w:val="right"/>
              <w:ind w:right="28"/>
              <w:spacing w:after="0"/>
              <w:rPr>
                <w:sz w:val="20"/>
                <w:szCs w:val="20"/>
                <w:color w:val="auto"/>
              </w:rPr>
            </w:pPr>
            <w:r>
              <w:rPr>
                <w:rFonts w:ascii="Arial" w:cs="Arial" w:eastAsia="Arial" w:hAnsi="Arial"/>
                <w:sz w:val="16"/>
                <w:szCs w:val="16"/>
                <w:b w:val="1"/>
                <w:bCs w:val="1"/>
                <w:color w:val="0C3D25"/>
              </w:rPr>
              <w:t>Registrant</w:t>
            </w:r>
          </w:p>
        </w:tc>
        <w:tc>
          <w:tcPr>
            <w:tcW w:w="1180" w:type="dxa"/>
            <w:vAlign w:val="bottom"/>
          </w:tcPr>
          <w:p>
            <w:pPr>
              <w:jc w:val="right"/>
              <w:ind w:right="28"/>
              <w:spacing w:after="0"/>
              <w:rPr>
                <w:sz w:val="20"/>
                <w:szCs w:val="20"/>
                <w:color w:val="auto"/>
              </w:rPr>
            </w:pPr>
            <w:r>
              <w:rPr>
                <w:rFonts w:ascii="Arial" w:cs="Arial" w:eastAsia="Arial" w:hAnsi="Arial"/>
                <w:sz w:val="16"/>
                <w:szCs w:val="16"/>
                <w:b w:val="1"/>
                <w:bCs w:val="1"/>
                <w:color w:val="0C3D25"/>
              </w:rPr>
              <w:t>Aggregate</w:t>
            </w: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60"/>
        </w:trPr>
        <w:tc>
          <w:tcPr>
            <w:tcW w:w="2640" w:type="dxa"/>
            <w:vAlign w:val="bottom"/>
          </w:tcPr>
          <w:p>
            <w:pPr>
              <w:spacing w:after="0"/>
              <w:rPr>
                <w:sz w:val="13"/>
                <w:szCs w:val="13"/>
                <w:color w:val="auto"/>
              </w:rPr>
            </w:pPr>
          </w:p>
        </w:tc>
        <w:tc>
          <w:tcPr>
            <w:tcW w:w="202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Contributions</w:t>
            </w:r>
          </w:p>
        </w:tc>
        <w:tc>
          <w:tcPr>
            <w:tcW w:w="118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w w:val="99"/>
              </w:rPr>
              <w:t>Contributions</w:t>
            </w:r>
          </w:p>
        </w:tc>
        <w:tc>
          <w:tcPr>
            <w:tcW w:w="118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Earnings</w:t>
            </w:r>
          </w:p>
        </w:tc>
        <w:tc>
          <w:tcPr>
            <w:tcW w:w="152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C3D25"/>
              </w:rPr>
              <w:t>Aggregate</w:t>
            </w:r>
          </w:p>
        </w:tc>
        <w:tc>
          <w:tcPr>
            <w:tcW w:w="15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w w:val="99"/>
              </w:rPr>
              <w:t>Aggregate Balance</w:t>
            </w:r>
          </w:p>
        </w:tc>
      </w:tr>
      <w:tr>
        <w:trPr>
          <w:trHeight w:val="150"/>
        </w:trPr>
        <w:tc>
          <w:tcPr>
            <w:tcW w:w="2640" w:type="dxa"/>
            <w:vAlign w:val="bottom"/>
          </w:tcPr>
          <w:p>
            <w:pPr>
              <w:spacing w:after="0"/>
              <w:rPr>
                <w:sz w:val="13"/>
                <w:szCs w:val="13"/>
                <w:color w:val="auto"/>
              </w:rPr>
            </w:pPr>
          </w:p>
        </w:tc>
        <w:tc>
          <w:tcPr>
            <w:tcW w:w="202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in Last Fiscal</w:t>
            </w:r>
          </w:p>
        </w:tc>
        <w:tc>
          <w:tcPr>
            <w:tcW w:w="118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in Last Fiscal</w:t>
            </w:r>
          </w:p>
        </w:tc>
        <w:tc>
          <w:tcPr>
            <w:tcW w:w="118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in Last Fiscal</w:t>
            </w:r>
          </w:p>
        </w:tc>
        <w:tc>
          <w:tcPr>
            <w:tcW w:w="1520" w:type="dxa"/>
            <w:vAlign w:val="bottom"/>
          </w:tcPr>
          <w:p>
            <w:pPr>
              <w:jc w:val="right"/>
              <w:ind w:right="27"/>
              <w:spacing w:after="0" w:line="150" w:lineRule="exact"/>
              <w:rPr>
                <w:sz w:val="20"/>
                <w:szCs w:val="20"/>
                <w:color w:val="auto"/>
              </w:rPr>
            </w:pPr>
            <w:r>
              <w:rPr>
                <w:rFonts w:ascii="Arial" w:cs="Arial" w:eastAsia="Arial" w:hAnsi="Arial"/>
                <w:sz w:val="16"/>
                <w:szCs w:val="16"/>
                <w:b w:val="1"/>
                <w:bCs w:val="1"/>
                <w:color w:val="0C3D25"/>
              </w:rPr>
              <w:t>Withdrawals/</w:t>
            </w:r>
          </w:p>
        </w:tc>
        <w:tc>
          <w:tcPr>
            <w:tcW w:w="1520" w:type="dxa"/>
            <w:vAlign w:val="bottom"/>
          </w:tcPr>
          <w:p>
            <w:pPr>
              <w:jc w:val="right"/>
              <w:spacing w:after="0" w:line="150" w:lineRule="exact"/>
              <w:rPr>
                <w:sz w:val="20"/>
                <w:szCs w:val="20"/>
                <w:color w:val="auto"/>
              </w:rPr>
            </w:pPr>
            <w:r>
              <w:rPr>
                <w:rFonts w:ascii="Arial" w:cs="Arial" w:eastAsia="Arial" w:hAnsi="Arial"/>
                <w:sz w:val="16"/>
                <w:szCs w:val="16"/>
                <w:b w:val="1"/>
                <w:bCs w:val="1"/>
                <w:color w:val="0C3D25"/>
              </w:rPr>
              <w:t>at Last Fiscal</w:t>
            </w:r>
          </w:p>
        </w:tc>
      </w:tr>
      <w:tr>
        <w:trPr>
          <w:trHeight w:val="196"/>
        </w:trPr>
        <w:tc>
          <w:tcPr>
            <w:tcW w:w="2640" w:type="dxa"/>
            <w:vAlign w:val="bottom"/>
            <w:tcBorders>
              <w:bottom w:val="single" w:sz="8" w:color="0C3D25"/>
            </w:tcBorders>
          </w:tcPr>
          <w:p>
            <w:pPr>
              <w:ind w:left="60"/>
              <w:spacing w:after="0"/>
              <w:rPr>
                <w:sz w:val="20"/>
                <w:szCs w:val="20"/>
                <w:color w:val="auto"/>
              </w:rPr>
            </w:pPr>
            <w:r>
              <w:rPr>
                <w:rFonts w:ascii="Arial" w:cs="Arial" w:eastAsia="Arial" w:hAnsi="Arial"/>
                <w:sz w:val="16"/>
                <w:szCs w:val="16"/>
                <w:b w:val="1"/>
                <w:bCs w:val="1"/>
                <w:color w:val="0C3D25"/>
              </w:rPr>
              <w:t>Name</w:t>
            </w:r>
          </w:p>
        </w:tc>
        <w:tc>
          <w:tcPr>
            <w:tcW w:w="2020" w:type="dxa"/>
            <w:vAlign w:val="bottom"/>
            <w:tcBorders>
              <w:bottom w:val="single" w:sz="8" w:color="0C3D25"/>
            </w:tcBorders>
          </w:tcPr>
          <w:p>
            <w:pPr>
              <w:jc w:val="right"/>
              <w:ind w:right="28"/>
              <w:spacing w:after="0" w:line="195" w:lineRule="exact"/>
              <w:rPr>
                <w:sz w:val="20"/>
                <w:szCs w:val="20"/>
                <w:color w:val="auto"/>
              </w:rPr>
            </w:pPr>
            <w:r>
              <w:rPr>
                <w:rFonts w:ascii="Arial" w:cs="Arial" w:eastAsia="Arial" w:hAnsi="Arial"/>
                <w:sz w:val="16"/>
                <w:szCs w:val="16"/>
                <w:b w:val="1"/>
                <w:bCs w:val="1"/>
                <w:color w:val="0C3D25"/>
              </w:rPr>
              <w:t>Year ($)</w:t>
            </w:r>
            <w:r>
              <w:rPr>
                <w:rFonts w:ascii="Arial" w:cs="Arial" w:eastAsia="Arial" w:hAnsi="Arial"/>
                <w:sz w:val="19"/>
                <w:szCs w:val="19"/>
                <w:b w:val="1"/>
                <w:bCs w:val="1"/>
                <w:color w:val="0C3D25"/>
                <w:vertAlign w:val="superscript"/>
              </w:rPr>
              <w:t>(1)</w:t>
            </w:r>
          </w:p>
        </w:tc>
        <w:tc>
          <w:tcPr>
            <w:tcW w:w="1180" w:type="dxa"/>
            <w:vAlign w:val="bottom"/>
            <w:tcBorders>
              <w:bottom w:val="single" w:sz="8" w:color="0C3D25"/>
            </w:tcBorders>
          </w:tcPr>
          <w:p>
            <w:pPr>
              <w:jc w:val="right"/>
              <w:ind w:right="28"/>
              <w:spacing w:after="0" w:line="195" w:lineRule="exact"/>
              <w:rPr>
                <w:sz w:val="20"/>
                <w:szCs w:val="20"/>
                <w:color w:val="auto"/>
              </w:rPr>
            </w:pPr>
            <w:r>
              <w:rPr>
                <w:rFonts w:ascii="Arial" w:cs="Arial" w:eastAsia="Arial" w:hAnsi="Arial"/>
                <w:sz w:val="16"/>
                <w:szCs w:val="16"/>
                <w:b w:val="1"/>
                <w:bCs w:val="1"/>
                <w:color w:val="0C3D25"/>
              </w:rPr>
              <w:t>Year ($)</w:t>
            </w:r>
            <w:r>
              <w:rPr>
                <w:rFonts w:ascii="Arial" w:cs="Arial" w:eastAsia="Arial" w:hAnsi="Arial"/>
                <w:sz w:val="19"/>
                <w:szCs w:val="19"/>
                <w:b w:val="1"/>
                <w:bCs w:val="1"/>
                <w:color w:val="0C3D25"/>
                <w:vertAlign w:val="superscript"/>
              </w:rPr>
              <w:t>(2)</w:t>
            </w:r>
          </w:p>
        </w:tc>
        <w:tc>
          <w:tcPr>
            <w:tcW w:w="1180" w:type="dxa"/>
            <w:vAlign w:val="bottom"/>
            <w:tcBorders>
              <w:bottom w:val="single" w:sz="8" w:color="0C3D25"/>
            </w:tcBorders>
          </w:tcPr>
          <w:p>
            <w:pPr>
              <w:jc w:val="right"/>
              <w:ind w:right="28"/>
              <w:spacing w:after="0" w:line="195" w:lineRule="exact"/>
              <w:rPr>
                <w:sz w:val="20"/>
                <w:szCs w:val="20"/>
                <w:color w:val="auto"/>
              </w:rPr>
            </w:pPr>
            <w:r>
              <w:rPr>
                <w:rFonts w:ascii="Arial" w:cs="Arial" w:eastAsia="Arial" w:hAnsi="Arial"/>
                <w:sz w:val="16"/>
                <w:szCs w:val="16"/>
                <w:b w:val="1"/>
                <w:bCs w:val="1"/>
                <w:color w:val="0C3D25"/>
              </w:rPr>
              <w:t>Year ($)</w:t>
            </w:r>
            <w:r>
              <w:rPr>
                <w:rFonts w:ascii="Arial" w:cs="Arial" w:eastAsia="Arial" w:hAnsi="Arial"/>
                <w:sz w:val="19"/>
                <w:szCs w:val="19"/>
                <w:b w:val="1"/>
                <w:bCs w:val="1"/>
                <w:color w:val="0C3D25"/>
                <w:vertAlign w:val="superscript"/>
              </w:rPr>
              <w:t>(3)</w:t>
            </w:r>
          </w:p>
        </w:tc>
        <w:tc>
          <w:tcPr>
            <w:tcW w:w="1520" w:type="dxa"/>
            <w:vAlign w:val="bottom"/>
            <w:tcBorders>
              <w:bottom w:val="single" w:sz="8" w:color="0C3D25"/>
            </w:tcBorders>
          </w:tcPr>
          <w:p>
            <w:pPr>
              <w:jc w:val="right"/>
              <w:ind w:right="27"/>
              <w:spacing w:after="0" w:line="195" w:lineRule="exact"/>
              <w:rPr>
                <w:sz w:val="20"/>
                <w:szCs w:val="20"/>
                <w:color w:val="auto"/>
              </w:rPr>
            </w:pPr>
            <w:r>
              <w:rPr>
                <w:rFonts w:ascii="Arial" w:cs="Arial" w:eastAsia="Arial" w:hAnsi="Arial"/>
                <w:sz w:val="16"/>
                <w:szCs w:val="16"/>
                <w:b w:val="1"/>
                <w:bCs w:val="1"/>
                <w:color w:val="0C3D25"/>
                <w:w w:val="99"/>
              </w:rPr>
              <w:t>Distributions ($)</w:t>
            </w:r>
            <w:r>
              <w:rPr>
                <w:rFonts w:ascii="Arial" w:cs="Arial" w:eastAsia="Arial" w:hAnsi="Arial"/>
                <w:sz w:val="19"/>
                <w:szCs w:val="19"/>
                <w:b w:val="1"/>
                <w:bCs w:val="1"/>
                <w:color w:val="0C3D25"/>
                <w:w w:val="99"/>
                <w:vertAlign w:val="superscript"/>
              </w:rPr>
              <w:t>(3)</w:t>
            </w:r>
          </w:p>
        </w:tc>
        <w:tc>
          <w:tcPr>
            <w:tcW w:w="1520" w:type="dxa"/>
            <w:vAlign w:val="bottom"/>
            <w:tcBorders>
              <w:bottom w:val="single" w:sz="8" w:color="0C3D25"/>
            </w:tcBorders>
          </w:tcPr>
          <w:p>
            <w:pPr>
              <w:jc w:val="right"/>
              <w:spacing w:after="0" w:line="195" w:lineRule="exact"/>
              <w:rPr>
                <w:sz w:val="20"/>
                <w:szCs w:val="20"/>
                <w:color w:val="auto"/>
              </w:rPr>
            </w:pPr>
            <w:r>
              <w:rPr>
                <w:rFonts w:ascii="Arial" w:cs="Arial" w:eastAsia="Arial" w:hAnsi="Arial"/>
                <w:sz w:val="16"/>
                <w:szCs w:val="16"/>
                <w:b w:val="1"/>
                <w:bCs w:val="1"/>
                <w:color w:val="0C3D25"/>
              </w:rPr>
              <w:t>Year End ($)</w:t>
            </w:r>
            <w:r>
              <w:rPr>
                <w:rFonts w:ascii="Arial" w:cs="Arial" w:eastAsia="Arial" w:hAnsi="Arial"/>
                <w:sz w:val="19"/>
                <w:szCs w:val="19"/>
                <w:b w:val="1"/>
                <w:bCs w:val="1"/>
                <w:color w:val="0C3D25"/>
                <w:vertAlign w:val="superscript"/>
              </w:rPr>
              <w:t>(4)</w:t>
            </w:r>
          </w:p>
        </w:tc>
      </w:tr>
      <w:tr>
        <w:trPr>
          <w:trHeight w:val="210"/>
        </w:trPr>
        <w:tc>
          <w:tcPr>
            <w:tcW w:w="2640" w:type="dxa"/>
            <w:vAlign w:val="bottom"/>
            <w:tcBorders>
              <w:bottom w:val="single" w:sz="8" w:color="0C3D25"/>
            </w:tcBorders>
          </w:tcPr>
          <w:p>
            <w:pPr>
              <w:ind w:left="60"/>
              <w:spacing w:after="0" w:line="210" w:lineRule="exact"/>
              <w:rPr>
                <w:sz w:val="20"/>
                <w:szCs w:val="20"/>
                <w:color w:val="auto"/>
              </w:rPr>
            </w:pPr>
            <w:r>
              <w:rPr>
                <w:rFonts w:ascii="Arial" w:cs="Arial" w:eastAsia="Arial" w:hAnsi="Arial"/>
                <w:sz w:val="20"/>
                <w:szCs w:val="20"/>
                <w:b w:val="1"/>
                <w:bCs w:val="1"/>
                <w:color w:val="auto"/>
              </w:rPr>
              <w:t>James C. Fish, Jr.</w:t>
            </w:r>
          </w:p>
        </w:tc>
        <w:tc>
          <w:tcPr>
            <w:tcW w:w="2020" w:type="dxa"/>
            <w:vAlign w:val="bottom"/>
            <w:tcBorders>
              <w:bottom w:val="single" w:sz="8" w:color="0C3D25"/>
            </w:tcBorders>
          </w:tcPr>
          <w:p>
            <w:pPr>
              <w:jc w:val="right"/>
              <w:ind w:right="168"/>
              <w:spacing w:after="0" w:line="210" w:lineRule="exact"/>
              <w:rPr>
                <w:sz w:val="20"/>
                <w:szCs w:val="20"/>
                <w:color w:val="auto"/>
              </w:rPr>
            </w:pPr>
            <w:r>
              <w:rPr>
                <w:rFonts w:ascii="Arial" w:cs="Arial" w:eastAsia="Arial" w:hAnsi="Arial"/>
                <w:sz w:val="20"/>
                <w:szCs w:val="20"/>
                <w:color w:val="auto"/>
              </w:rPr>
              <w:t>252,997</w:t>
            </w:r>
          </w:p>
        </w:tc>
        <w:tc>
          <w:tcPr>
            <w:tcW w:w="1180" w:type="dxa"/>
            <w:vAlign w:val="bottom"/>
            <w:tcBorders>
              <w:bottom w:val="single" w:sz="8" w:color="0C3D25"/>
            </w:tcBorders>
          </w:tcPr>
          <w:p>
            <w:pPr>
              <w:jc w:val="right"/>
              <w:ind w:right="148"/>
              <w:spacing w:after="0" w:line="210" w:lineRule="exact"/>
              <w:rPr>
                <w:sz w:val="20"/>
                <w:szCs w:val="20"/>
                <w:color w:val="auto"/>
              </w:rPr>
            </w:pPr>
            <w:r>
              <w:rPr>
                <w:rFonts w:ascii="Arial" w:cs="Arial" w:eastAsia="Arial" w:hAnsi="Arial"/>
                <w:sz w:val="20"/>
                <w:szCs w:val="20"/>
                <w:color w:val="auto"/>
              </w:rPr>
              <w:t>189,748</w:t>
            </w:r>
          </w:p>
        </w:tc>
        <w:tc>
          <w:tcPr>
            <w:tcW w:w="1180" w:type="dxa"/>
            <w:vAlign w:val="bottom"/>
            <w:tcBorders>
              <w:bottom w:val="single" w:sz="8" w:color="0C3D25"/>
            </w:tcBorders>
          </w:tcPr>
          <w:p>
            <w:pPr>
              <w:jc w:val="right"/>
              <w:ind w:right="88"/>
              <w:spacing w:after="0" w:line="210" w:lineRule="exact"/>
              <w:rPr>
                <w:sz w:val="20"/>
                <w:szCs w:val="20"/>
                <w:color w:val="auto"/>
              </w:rPr>
            </w:pPr>
            <w:r>
              <w:rPr>
                <w:rFonts w:ascii="Arial" w:cs="Arial" w:eastAsia="Arial" w:hAnsi="Arial"/>
                <w:sz w:val="20"/>
                <w:szCs w:val="20"/>
                <w:color w:val="auto"/>
              </w:rPr>
              <w:t>2,659,610</w:t>
            </w:r>
          </w:p>
        </w:tc>
        <w:tc>
          <w:tcPr>
            <w:tcW w:w="1520" w:type="dxa"/>
            <w:vAlign w:val="bottom"/>
            <w:tcBorders>
              <w:bottom w:val="single" w:sz="8" w:color="0C3D25"/>
            </w:tcBorders>
          </w:tcPr>
          <w:p>
            <w:pPr>
              <w:jc w:val="right"/>
              <w:ind w:right="327"/>
              <w:spacing w:after="0" w:line="210" w:lineRule="exact"/>
              <w:rPr>
                <w:sz w:val="20"/>
                <w:szCs w:val="20"/>
                <w:color w:val="auto"/>
              </w:rPr>
            </w:pPr>
            <w:r>
              <w:rPr>
                <w:rFonts w:ascii="Arial" w:cs="Arial" w:eastAsia="Arial" w:hAnsi="Arial"/>
                <w:sz w:val="20"/>
                <w:szCs w:val="20"/>
                <w:color w:val="auto"/>
              </w:rPr>
              <w:t>312,985</w:t>
            </w:r>
          </w:p>
        </w:tc>
        <w:tc>
          <w:tcPr>
            <w:tcW w:w="1520" w:type="dxa"/>
            <w:vAlign w:val="bottom"/>
            <w:tcBorders>
              <w:bottom w:val="single" w:sz="8" w:color="0C3D25"/>
            </w:tcBorders>
          </w:tcPr>
          <w:p>
            <w:pPr>
              <w:jc w:val="right"/>
              <w:ind w:right="167"/>
              <w:spacing w:after="0" w:line="210" w:lineRule="exact"/>
              <w:rPr>
                <w:sz w:val="20"/>
                <w:szCs w:val="20"/>
                <w:color w:val="auto"/>
              </w:rPr>
            </w:pPr>
            <w:r>
              <w:rPr>
                <w:rFonts w:ascii="Arial" w:cs="Arial" w:eastAsia="Arial" w:hAnsi="Arial"/>
                <w:sz w:val="20"/>
                <w:szCs w:val="20"/>
                <w:color w:val="auto"/>
              </w:rPr>
              <w:t>25,970,343</w:t>
            </w:r>
          </w:p>
        </w:tc>
      </w:tr>
      <w:tr>
        <w:trPr>
          <w:trHeight w:val="200"/>
        </w:trPr>
        <w:tc>
          <w:tcPr>
            <w:tcW w:w="2640" w:type="dxa"/>
            <w:vAlign w:val="bottom"/>
            <w:tcBorders>
              <w:bottom w:val="single" w:sz="8" w:color="0C3D25"/>
            </w:tcBorders>
          </w:tcPr>
          <w:p>
            <w:pPr>
              <w:ind w:left="60"/>
              <w:spacing w:after="0" w:line="200" w:lineRule="exact"/>
              <w:rPr>
                <w:sz w:val="20"/>
                <w:szCs w:val="20"/>
                <w:color w:val="auto"/>
              </w:rPr>
            </w:pPr>
            <w:r>
              <w:rPr>
                <w:rFonts w:ascii="Arial" w:cs="Arial" w:eastAsia="Arial" w:hAnsi="Arial"/>
                <w:sz w:val="20"/>
                <w:szCs w:val="20"/>
                <w:b w:val="1"/>
                <w:bCs w:val="1"/>
                <w:color w:val="auto"/>
              </w:rPr>
              <w:t>David L. Reed</w:t>
            </w:r>
          </w:p>
        </w:tc>
        <w:tc>
          <w:tcPr>
            <w:tcW w:w="2020" w:type="dxa"/>
            <w:vAlign w:val="bottom"/>
            <w:tcBorders>
              <w:bottom w:val="single" w:sz="8" w:color="0C3D25"/>
            </w:tcBorders>
          </w:tcPr>
          <w:p>
            <w:pPr>
              <w:jc w:val="right"/>
              <w:ind w:right="168"/>
              <w:spacing w:after="0" w:line="200" w:lineRule="exact"/>
              <w:rPr>
                <w:sz w:val="20"/>
                <w:szCs w:val="20"/>
                <w:color w:val="auto"/>
              </w:rPr>
            </w:pPr>
            <w:r>
              <w:rPr>
                <w:rFonts w:ascii="Arial" w:cs="Arial" w:eastAsia="Arial" w:hAnsi="Arial"/>
                <w:sz w:val="20"/>
                <w:szCs w:val="20"/>
                <w:color w:val="auto"/>
              </w:rPr>
              <w:t>28,442</w:t>
            </w:r>
          </w:p>
        </w:tc>
        <w:tc>
          <w:tcPr>
            <w:tcW w:w="1180" w:type="dxa"/>
            <w:vAlign w:val="bottom"/>
            <w:tcBorders>
              <w:bottom w:val="single" w:sz="8" w:color="0C3D25"/>
            </w:tcBorders>
          </w:tcPr>
          <w:p>
            <w:pPr>
              <w:jc w:val="right"/>
              <w:ind w:right="148"/>
              <w:spacing w:after="0" w:line="200" w:lineRule="exact"/>
              <w:rPr>
                <w:sz w:val="20"/>
                <w:szCs w:val="20"/>
                <w:color w:val="auto"/>
              </w:rPr>
            </w:pPr>
            <w:r>
              <w:rPr>
                <w:rFonts w:ascii="Arial" w:cs="Arial" w:eastAsia="Arial" w:hAnsi="Arial"/>
                <w:sz w:val="20"/>
                <w:szCs w:val="20"/>
                <w:color w:val="auto"/>
              </w:rPr>
              <w:t>21,332</w:t>
            </w:r>
          </w:p>
        </w:tc>
        <w:tc>
          <w:tcPr>
            <w:tcW w:w="1180" w:type="dxa"/>
            <w:vAlign w:val="bottom"/>
            <w:tcBorders>
              <w:bottom w:val="single" w:sz="8" w:color="0C3D25"/>
            </w:tcBorders>
          </w:tcPr>
          <w:p>
            <w:pPr>
              <w:jc w:val="right"/>
              <w:ind w:right="88"/>
              <w:spacing w:after="0" w:line="200" w:lineRule="exact"/>
              <w:rPr>
                <w:sz w:val="20"/>
                <w:szCs w:val="20"/>
                <w:color w:val="auto"/>
              </w:rPr>
            </w:pPr>
            <w:r>
              <w:rPr>
                <w:rFonts w:ascii="Arial" w:cs="Arial" w:eastAsia="Arial" w:hAnsi="Arial"/>
                <w:sz w:val="20"/>
                <w:szCs w:val="20"/>
                <w:color w:val="auto"/>
              </w:rPr>
              <w:t>12,352</w:t>
            </w:r>
          </w:p>
        </w:tc>
        <w:tc>
          <w:tcPr>
            <w:tcW w:w="1520" w:type="dxa"/>
            <w:vAlign w:val="bottom"/>
            <w:tcBorders>
              <w:bottom w:val="single" w:sz="8" w:color="0C3D25"/>
            </w:tcBorders>
          </w:tcPr>
          <w:p>
            <w:pPr>
              <w:jc w:val="right"/>
              <w:ind w:right="327"/>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C3D25"/>
            </w:tcBorders>
          </w:tcPr>
          <w:p>
            <w:pPr>
              <w:jc w:val="right"/>
              <w:ind w:right="167"/>
              <w:spacing w:after="0" w:line="200" w:lineRule="exact"/>
              <w:rPr>
                <w:sz w:val="20"/>
                <w:szCs w:val="20"/>
                <w:color w:val="auto"/>
              </w:rPr>
            </w:pPr>
            <w:r>
              <w:rPr>
                <w:rFonts w:ascii="Arial" w:cs="Arial" w:eastAsia="Arial" w:hAnsi="Arial"/>
                <w:sz w:val="20"/>
                <w:szCs w:val="20"/>
                <w:color w:val="auto"/>
              </w:rPr>
              <w:t>246,345</w:t>
            </w:r>
          </w:p>
        </w:tc>
      </w:tr>
      <w:tr>
        <w:trPr>
          <w:trHeight w:val="200"/>
        </w:trPr>
        <w:tc>
          <w:tcPr>
            <w:tcW w:w="2640" w:type="dxa"/>
            <w:vAlign w:val="bottom"/>
            <w:tcBorders>
              <w:bottom w:val="single" w:sz="8" w:color="0C3D25"/>
            </w:tcBorders>
          </w:tcPr>
          <w:p>
            <w:pPr>
              <w:ind w:left="60"/>
              <w:spacing w:after="0" w:line="200" w:lineRule="exact"/>
              <w:rPr>
                <w:sz w:val="20"/>
                <w:szCs w:val="20"/>
                <w:color w:val="auto"/>
              </w:rPr>
            </w:pPr>
            <w:r>
              <w:rPr>
                <w:rFonts w:ascii="Arial" w:cs="Arial" w:eastAsia="Arial" w:hAnsi="Arial"/>
                <w:sz w:val="20"/>
                <w:szCs w:val="20"/>
                <w:b w:val="1"/>
                <w:bCs w:val="1"/>
                <w:color w:val="auto"/>
              </w:rPr>
              <w:t>Devina A. Rankin</w:t>
            </w:r>
          </w:p>
        </w:tc>
        <w:tc>
          <w:tcPr>
            <w:tcW w:w="2020" w:type="dxa"/>
            <w:vAlign w:val="bottom"/>
            <w:tcBorders>
              <w:bottom w:val="single" w:sz="8" w:color="0C3D25"/>
            </w:tcBorders>
          </w:tcPr>
          <w:p>
            <w:pPr>
              <w:jc w:val="right"/>
              <w:ind w:right="168"/>
              <w:spacing w:after="0" w:line="200" w:lineRule="exact"/>
              <w:rPr>
                <w:sz w:val="20"/>
                <w:szCs w:val="20"/>
                <w:color w:val="auto"/>
              </w:rPr>
            </w:pPr>
            <w:r>
              <w:rPr>
                <w:rFonts w:ascii="Arial" w:cs="Arial" w:eastAsia="Arial" w:hAnsi="Arial"/>
                <w:sz w:val="20"/>
                <w:szCs w:val="20"/>
                <w:color w:val="auto"/>
              </w:rPr>
              <w:t>62,274</w:t>
            </w:r>
          </w:p>
        </w:tc>
        <w:tc>
          <w:tcPr>
            <w:tcW w:w="1180" w:type="dxa"/>
            <w:vAlign w:val="bottom"/>
            <w:tcBorders>
              <w:bottom w:val="single" w:sz="8" w:color="0C3D25"/>
            </w:tcBorders>
          </w:tcPr>
          <w:p>
            <w:pPr>
              <w:jc w:val="right"/>
              <w:ind w:right="148"/>
              <w:spacing w:after="0" w:line="200" w:lineRule="exact"/>
              <w:rPr>
                <w:sz w:val="20"/>
                <w:szCs w:val="20"/>
                <w:color w:val="auto"/>
              </w:rPr>
            </w:pPr>
            <w:r>
              <w:rPr>
                <w:rFonts w:ascii="Arial" w:cs="Arial" w:eastAsia="Arial" w:hAnsi="Arial"/>
                <w:sz w:val="20"/>
                <w:szCs w:val="20"/>
                <w:color w:val="auto"/>
              </w:rPr>
              <w:t>46,705</w:t>
            </w:r>
          </w:p>
        </w:tc>
        <w:tc>
          <w:tcPr>
            <w:tcW w:w="1180" w:type="dxa"/>
            <w:vAlign w:val="bottom"/>
            <w:tcBorders>
              <w:bottom w:val="single" w:sz="8" w:color="0C3D25"/>
            </w:tcBorders>
          </w:tcPr>
          <w:p>
            <w:pPr>
              <w:jc w:val="right"/>
              <w:ind w:right="88"/>
              <w:spacing w:after="0" w:line="200" w:lineRule="exact"/>
              <w:rPr>
                <w:sz w:val="20"/>
                <w:szCs w:val="20"/>
                <w:color w:val="auto"/>
              </w:rPr>
            </w:pPr>
            <w:r>
              <w:rPr>
                <w:rFonts w:ascii="Arial" w:cs="Arial" w:eastAsia="Arial" w:hAnsi="Arial"/>
                <w:sz w:val="20"/>
                <w:szCs w:val="20"/>
                <w:color w:val="auto"/>
              </w:rPr>
              <w:t>239,533</w:t>
            </w:r>
          </w:p>
        </w:tc>
        <w:tc>
          <w:tcPr>
            <w:tcW w:w="1520" w:type="dxa"/>
            <w:vAlign w:val="bottom"/>
            <w:tcBorders>
              <w:bottom w:val="single" w:sz="8" w:color="0C3D25"/>
            </w:tcBorders>
          </w:tcPr>
          <w:p>
            <w:pPr>
              <w:jc w:val="right"/>
              <w:ind w:right="327"/>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C3D25"/>
            </w:tcBorders>
          </w:tcPr>
          <w:p>
            <w:pPr>
              <w:jc w:val="right"/>
              <w:ind w:right="167"/>
              <w:spacing w:after="0" w:line="200" w:lineRule="exact"/>
              <w:rPr>
                <w:sz w:val="20"/>
                <w:szCs w:val="20"/>
                <w:color w:val="auto"/>
              </w:rPr>
            </w:pPr>
            <w:r>
              <w:rPr>
                <w:rFonts w:ascii="Arial" w:cs="Arial" w:eastAsia="Arial" w:hAnsi="Arial"/>
                <w:sz w:val="20"/>
                <w:szCs w:val="20"/>
                <w:color w:val="auto"/>
              </w:rPr>
              <w:t>1,649,038</w:t>
            </w:r>
          </w:p>
        </w:tc>
      </w:tr>
      <w:tr>
        <w:trPr>
          <w:trHeight w:val="200"/>
        </w:trPr>
        <w:tc>
          <w:tcPr>
            <w:tcW w:w="2640" w:type="dxa"/>
            <w:vAlign w:val="bottom"/>
            <w:tcBorders>
              <w:bottom w:val="single" w:sz="8" w:color="0C3D25"/>
            </w:tcBorders>
          </w:tcPr>
          <w:p>
            <w:pPr>
              <w:ind w:left="60"/>
              <w:spacing w:after="0" w:line="200" w:lineRule="exact"/>
              <w:rPr>
                <w:sz w:val="20"/>
                <w:szCs w:val="20"/>
                <w:color w:val="auto"/>
              </w:rPr>
            </w:pPr>
            <w:r>
              <w:rPr>
                <w:rFonts w:ascii="Arial" w:cs="Arial" w:eastAsia="Arial" w:hAnsi="Arial"/>
                <w:sz w:val="20"/>
                <w:szCs w:val="20"/>
                <w:b w:val="1"/>
                <w:bCs w:val="1"/>
                <w:color w:val="auto"/>
              </w:rPr>
              <w:t>John J. Morris, Jr.</w:t>
            </w:r>
          </w:p>
        </w:tc>
        <w:tc>
          <w:tcPr>
            <w:tcW w:w="2020" w:type="dxa"/>
            <w:vAlign w:val="bottom"/>
            <w:tcBorders>
              <w:bottom w:val="single" w:sz="8" w:color="0C3D25"/>
            </w:tcBorders>
          </w:tcPr>
          <w:p>
            <w:pPr>
              <w:jc w:val="right"/>
              <w:ind w:right="168"/>
              <w:spacing w:after="0" w:line="200" w:lineRule="exact"/>
              <w:rPr>
                <w:sz w:val="20"/>
                <w:szCs w:val="20"/>
                <w:color w:val="auto"/>
              </w:rPr>
            </w:pPr>
            <w:r>
              <w:rPr>
                <w:rFonts w:ascii="Arial" w:cs="Arial" w:eastAsia="Arial" w:hAnsi="Arial"/>
                <w:sz w:val="20"/>
                <w:szCs w:val="20"/>
                <w:color w:val="auto"/>
              </w:rPr>
              <w:t>71,434</w:t>
            </w:r>
          </w:p>
        </w:tc>
        <w:tc>
          <w:tcPr>
            <w:tcW w:w="1180" w:type="dxa"/>
            <w:vAlign w:val="bottom"/>
            <w:tcBorders>
              <w:bottom w:val="single" w:sz="8" w:color="0C3D25"/>
            </w:tcBorders>
          </w:tcPr>
          <w:p>
            <w:pPr>
              <w:jc w:val="right"/>
              <w:ind w:right="148"/>
              <w:spacing w:after="0" w:line="200" w:lineRule="exact"/>
              <w:rPr>
                <w:sz w:val="20"/>
                <w:szCs w:val="20"/>
                <w:color w:val="auto"/>
              </w:rPr>
            </w:pPr>
            <w:r>
              <w:rPr>
                <w:rFonts w:ascii="Arial" w:cs="Arial" w:eastAsia="Arial" w:hAnsi="Arial"/>
                <w:sz w:val="20"/>
                <w:szCs w:val="20"/>
                <w:color w:val="auto"/>
              </w:rPr>
              <w:t>53,576</w:t>
            </w:r>
          </w:p>
        </w:tc>
        <w:tc>
          <w:tcPr>
            <w:tcW w:w="1180" w:type="dxa"/>
            <w:vAlign w:val="bottom"/>
            <w:tcBorders>
              <w:bottom w:val="single" w:sz="8" w:color="0C3D25"/>
            </w:tcBorders>
          </w:tcPr>
          <w:p>
            <w:pPr>
              <w:jc w:val="right"/>
              <w:ind w:right="88"/>
              <w:spacing w:after="0" w:line="200" w:lineRule="exact"/>
              <w:rPr>
                <w:sz w:val="20"/>
                <w:szCs w:val="20"/>
                <w:color w:val="auto"/>
              </w:rPr>
            </w:pPr>
            <w:r>
              <w:rPr>
                <w:rFonts w:ascii="Arial" w:cs="Arial" w:eastAsia="Arial" w:hAnsi="Arial"/>
                <w:sz w:val="20"/>
                <w:szCs w:val="20"/>
                <w:color w:val="auto"/>
              </w:rPr>
              <w:t>694,746</w:t>
            </w:r>
          </w:p>
        </w:tc>
        <w:tc>
          <w:tcPr>
            <w:tcW w:w="1520" w:type="dxa"/>
            <w:vAlign w:val="bottom"/>
            <w:tcBorders>
              <w:bottom w:val="single" w:sz="8" w:color="0C3D25"/>
            </w:tcBorders>
          </w:tcPr>
          <w:p>
            <w:pPr>
              <w:jc w:val="right"/>
              <w:ind w:right="327"/>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C3D25"/>
            </w:tcBorders>
          </w:tcPr>
          <w:p>
            <w:pPr>
              <w:jc w:val="right"/>
              <w:ind w:right="167"/>
              <w:spacing w:after="0" w:line="200" w:lineRule="exact"/>
              <w:rPr>
                <w:sz w:val="20"/>
                <w:szCs w:val="20"/>
                <w:color w:val="auto"/>
              </w:rPr>
            </w:pPr>
            <w:r>
              <w:rPr>
                <w:rFonts w:ascii="Arial" w:cs="Arial" w:eastAsia="Arial" w:hAnsi="Arial"/>
                <w:sz w:val="20"/>
                <w:szCs w:val="20"/>
                <w:color w:val="auto"/>
              </w:rPr>
              <w:t>4,725,707</w:t>
            </w:r>
          </w:p>
        </w:tc>
      </w:tr>
      <w:tr>
        <w:trPr>
          <w:trHeight w:val="200"/>
        </w:trPr>
        <w:tc>
          <w:tcPr>
            <w:tcW w:w="2640" w:type="dxa"/>
            <w:vAlign w:val="bottom"/>
            <w:tcBorders>
              <w:bottom w:val="single" w:sz="8" w:color="0C3D25"/>
            </w:tcBorders>
          </w:tcPr>
          <w:p>
            <w:pPr>
              <w:ind w:left="60"/>
              <w:spacing w:after="0" w:line="200" w:lineRule="exact"/>
              <w:rPr>
                <w:sz w:val="20"/>
                <w:szCs w:val="20"/>
                <w:color w:val="auto"/>
              </w:rPr>
            </w:pPr>
            <w:r>
              <w:rPr>
                <w:rFonts w:ascii="Arial" w:cs="Arial" w:eastAsia="Arial" w:hAnsi="Arial"/>
                <w:sz w:val="20"/>
                <w:szCs w:val="20"/>
                <w:b w:val="1"/>
                <w:bCs w:val="1"/>
                <w:color w:val="auto"/>
              </w:rPr>
              <w:t>Tara J. Hemmer</w:t>
            </w:r>
          </w:p>
        </w:tc>
        <w:tc>
          <w:tcPr>
            <w:tcW w:w="2020" w:type="dxa"/>
            <w:vAlign w:val="bottom"/>
            <w:tcBorders>
              <w:bottom w:val="single" w:sz="8" w:color="0C3D25"/>
            </w:tcBorders>
          </w:tcPr>
          <w:p>
            <w:pPr>
              <w:jc w:val="right"/>
              <w:ind w:right="168"/>
              <w:spacing w:after="0" w:line="200" w:lineRule="exact"/>
              <w:rPr>
                <w:sz w:val="20"/>
                <w:szCs w:val="20"/>
                <w:color w:val="auto"/>
              </w:rPr>
            </w:pPr>
            <w:r>
              <w:rPr>
                <w:rFonts w:ascii="Arial" w:cs="Arial" w:eastAsia="Arial" w:hAnsi="Arial"/>
                <w:sz w:val="20"/>
                <w:szCs w:val="20"/>
                <w:color w:val="auto"/>
              </w:rPr>
              <w:t>84,142</w:t>
            </w:r>
          </w:p>
        </w:tc>
        <w:tc>
          <w:tcPr>
            <w:tcW w:w="1180" w:type="dxa"/>
            <w:vAlign w:val="bottom"/>
            <w:tcBorders>
              <w:bottom w:val="single" w:sz="8" w:color="0C3D25"/>
            </w:tcBorders>
          </w:tcPr>
          <w:p>
            <w:pPr>
              <w:jc w:val="right"/>
              <w:ind w:right="148"/>
              <w:spacing w:after="0" w:line="200" w:lineRule="exact"/>
              <w:rPr>
                <w:sz w:val="20"/>
                <w:szCs w:val="20"/>
                <w:color w:val="auto"/>
              </w:rPr>
            </w:pPr>
            <w:r>
              <w:rPr>
                <w:rFonts w:ascii="Arial" w:cs="Arial" w:eastAsia="Arial" w:hAnsi="Arial"/>
                <w:sz w:val="20"/>
                <w:szCs w:val="20"/>
                <w:color w:val="auto"/>
              </w:rPr>
              <w:t>63,107</w:t>
            </w:r>
          </w:p>
        </w:tc>
        <w:tc>
          <w:tcPr>
            <w:tcW w:w="1180" w:type="dxa"/>
            <w:vAlign w:val="bottom"/>
            <w:tcBorders>
              <w:bottom w:val="single" w:sz="8" w:color="0C3D25"/>
            </w:tcBorders>
          </w:tcPr>
          <w:p>
            <w:pPr>
              <w:jc w:val="right"/>
              <w:ind w:right="88"/>
              <w:spacing w:after="0" w:line="200" w:lineRule="exact"/>
              <w:rPr>
                <w:sz w:val="20"/>
                <w:szCs w:val="20"/>
                <w:color w:val="auto"/>
              </w:rPr>
            </w:pPr>
            <w:r>
              <w:rPr>
                <w:rFonts w:ascii="Arial" w:cs="Arial" w:eastAsia="Arial" w:hAnsi="Arial"/>
                <w:sz w:val="20"/>
                <w:szCs w:val="20"/>
                <w:color w:val="auto"/>
              </w:rPr>
              <w:t>252,572</w:t>
            </w:r>
          </w:p>
        </w:tc>
        <w:tc>
          <w:tcPr>
            <w:tcW w:w="1520" w:type="dxa"/>
            <w:vAlign w:val="bottom"/>
            <w:tcBorders>
              <w:bottom w:val="single" w:sz="8" w:color="0C3D25"/>
            </w:tcBorders>
          </w:tcPr>
          <w:p>
            <w:pPr>
              <w:jc w:val="right"/>
              <w:ind w:right="327"/>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C3D25"/>
            </w:tcBorders>
          </w:tcPr>
          <w:p>
            <w:pPr>
              <w:jc w:val="right"/>
              <w:ind w:right="167"/>
              <w:spacing w:after="0" w:line="200" w:lineRule="exact"/>
              <w:rPr>
                <w:sz w:val="20"/>
                <w:szCs w:val="20"/>
                <w:color w:val="auto"/>
              </w:rPr>
            </w:pPr>
            <w:r>
              <w:rPr>
                <w:rFonts w:ascii="Arial" w:cs="Arial" w:eastAsia="Arial" w:hAnsi="Arial"/>
                <w:sz w:val="20"/>
                <w:szCs w:val="20"/>
                <w:color w:val="auto"/>
              </w:rPr>
              <w:t>1,648,618</w:t>
            </w:r>
          </w:p>
        </w:tc>
      </w:tr>
      <w:tr>
        <w:trPr>
          <w:trHeight w:val="222"/>
        </w:trPr>
        <w:tc>
          <w:tcPr>
            <w:tcW w:w="2640" w:type="dxa"/>
            <w:vAlign w:val="bottom"/>
          </w:tcPr>
          <w:p>
            <w:pPr>
              <w:ind w:left="60"/>
              <w:spacing w:after="0" w:line="222" w:lineRule="exact"/>
              <w:rPr>
                <w:sz w:val="20"/>
                <w:szCs w:val="20"/>
                <w:color w:val="auto"/>
              </w:rPr>
            </w:pPr>
            <w:r>
              <w:rPr>
                <w:rFonts w:ascii="Arial" w:cs="Arial" w:eastAsia="Arial" w:hAnsi="Arial"/>
                <w:sz w:val="20"/>
                <w:szCs w:val="20"/>
                <w:b w:val="1"/>
                <w:bCs w:val="1"/>
                <w:color w:val="auto"/>
              </w:rPr>
              <w:t>Rafael E. Carrasco</w:t>
            </w:r>
          </w:p>
        </w:tc>
        <w:tc>
          <w:tcPr>
            <w:tcW w:w="2020" w:type="dxa"/>
            <w:vAlign w:val="bottom"/>
          </w:tcPr>
          <w:p>
            <w:pPr>
              <w:jc w:val="right"/>
              <w:ind w:right="168"/>
              <w:spacing w:after="0" w:line="222" w:lineRule="exact"/>
              <w:rPr>
                <w:sz w:val="20"/>
                <w:szCs w:val="20"/>
                <w:color w:val="auto"/>
              </w:rPr>
            </w:pPr>
            <w:r>
              <w:rPr>
                <w:rFonts w:ascii="Arial" w:cs="Arial" w:eastAsia="Arial" w:hAnsi="Arial"/>
                <w:sz w:val="20"/>
                <w:szCs w:val="20"/>
                <w:color w:val="auto"/>
              </w:rPr>
              <w:t>43,901</w:t>
            </w:r>
          </w:p>
        </w:tc>
        <w:tc>
          <w:tcPr>
            <w:tcW w:w="1180" w:type="dxa"/>
            <w:vAlign w:val="bottom"/>
          </w:tcPr>
          <w:p>
            <w:pPr>
              <w:jc w:val="right"/>
              <w:ind w:right="148"/>
              <w:spacing w:after="0" w:line="222" w:lineRule="exact"/>
              <w:rPr>
                <w:sz w:val="20"/>
                <w:szCs w:val="20"/>
                <w:color w:val="auto"/>
              </w:rPr>
            </w:pPr>
            <w:r>
              <w:rPr>
                <w:rFonts w:ascii="Arial" w:cs="Arial" w:eastAsia="Arial" w:hAnsi="Arial"/>
                <w:sz w:val="20"/>
                <w:szCs w:val="20"/>
                <w:color w:val="auto"/>
              </w:rPr>
              <w:t>32,926</w:t>
            </w:r>
          </w:p>
        </w:tc>
        <w:tc>
          <w:tcPr>
            <w:tcW w:w="1180" w:type="dxa"/>
            <w:vAlign w:val="bottom"/>
          </w:tcPr>
          <w:p>
            <w:pPr>
              <w:jc w:val="right"/>
              <w:ind w:right="88"/>
              <w:spacing w:after="0" w:line="222" w:lineRule="exact"/>
              <w:rPr>
                <w:sz w:val="20"/>
                <w:szCs w:val="20"/>
                <w:color w:val="auto"/>
              </w:rPr>
            </w:pPr>
            <w:r>
              <w:rPr>
                <w:rFonts w:ascii="Arial" w:cs="Arial" w:eastAsia="Arial" w:hAnsi="Arial"/>
                <w:sz w:val="20"/>
                <w:szCs w:val="20"/>
                <w:color w:val="auto"/>
              </w:rPr>
              <w:t>20,438</w:t>
            </w:r>
          </w:p>
        </w:tc>
        <w:tc>
          <w:tcPr>
            <w:tcW w:w="1520" w:type="dxa"/>
            <w:vAlign w:val="bottom"/>
          </w:tcPr>
          <w:p>
            <w:pPr>
              <w:jc w:val="right"/>
              <w:ind w:right="327"/>
              <w:spacing w:after="0" w:line="222" w:lineRule="exact"/>
              <w:rPr>
                <w:sz w:val="20"/>
                <w:szCs w:val="20"/>
                <w:color w:val="auto"/>
              </w:rPr>
            </w:pPr>
            <w:r>
              <w:rPr>
                <w:rFonts w:ascii="Arial" w:cs="Arial" w:eastAsia="Arial" w:hAnsi="Arial"/>
                <w:sz w:val="20"/>
                <w:szCs w:val="20"/>
                <w:color w:val="auto"/>
              </w:rPr>
              <w:t>—</w:t>
            </w:r>
          </w:p>
        </w:tc>
        <w:tc>
          <w:tcPr>
            <w:tcW w:w="1520" w:type="dxa"/>
            <w:vAlign w:val="bottom"/>
          </w:tcPr>
          <w:p>
            <w:pPr>
              <w:jc w:val="right"/>
              <w:ind w:right="167"/>
              <w:spacing w:after="0" w:line="222" w:lineRule="exact"/>
              <w:rPr>
                <w:sz w:val="20"/>
                <w:szCs w:val="20"/>
                <w:color w:val="auto"/>
              </w:rPr>
            </w:pPr>
            <w:r>
              <w:rPr>
                <w:rFonts w:ascii="Arial" w:cs="Arial" w:eastAsia="Arial" w:hAnsi="Arial"/>
                <w:sz w:val="20"/>
                <w:szCs w:val="20"/>
                <w:color w:val="auto"/>
              </w:rPr>
              <w:t>152,864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638619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502.85pt,1.5pt" o:allowincell="f" strokecolor="#0C3D25" strokeweight="0.7969pt"/>
            </w:pict>
          </mc:Fallback>
        </mc:AlternateContent>
      </w:r>
    </w:p>
    <w:p>
      <w:pPr>
        <w:spacing w:after="0" w:line="31" w:lineRule="exact"/>
        <w:rPr>
          <w:sz w:val="20"/>
          <w:szCs w:val="20"/>
          <w:color w:val="auto"/>
        </w:rPr>
      </w:pPr>
    </w:p>
    <w:p>
      <w:pPr>
        <w:jc w:val="both"/>
        <w:ind w:left="402" w:hanging="402"/>
        <w:spacing w:after="0" w:line="245"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62" w:lineRule="exact"/>
        <w:rPr>
          <w:rFonts w:ascii="Arial" w:cs="Arial" w:eastAsia="Arial" w:hAnsi="Arial"/>
          <w:sz w:val="20"/>
          <w:szCs w:val="20"/>
          <w:color w:val="auto"/>
        </w:rPr>
      </w:pPr>
    </w:p>
    <w:p>
      <w:pPr>
        <w:ind w:left="402" w:hanging="402"/>
        <w:spacing w:after="0" w:line="245"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Company contributions to the executives’ 409A Deferral Plan accounts are included in the All Other Compensation column in the Summary Compensation Table.</w:t>
      </w:r>
    </w:p>
    <w:p>
      <w:pPr>
        <w:spacing w:after="0" w:line="61" w:lineRule="exact"/>
        <w:rPr>
          <w:rFonts w:ascii="Arial" w:cs="Arial" w:eastAsia="Arial" w:hAnsi="Arial"/>
          <w:sz w:val="20"/>
          <w:szCs w:val="20"/>
          <w:color w:val="auto"/>
        </w:rPr>
      </w:pPr>
    </w:p>
    <w:p>
      <w:pPr>
        <w:jc w:val="both"/>
        <w:ind w:left="402" w:hanging="402"/>
        <w:spacing w:after="0" w:line="245"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2024 to December 31, 2025, plus $3.30 of dividend equivalents paid per share of Common Stock in 2025, multiplied by the number of shares deferred. The dividend equivalents on the deferred shares were paid in cash to Mr. Fish during 2025 and are reflected in the Aggregate Withdrawals/ Distributions column above. The value of Mr. Fish’s deferred shares was included in the Option Exercises and Stock Vested table in the years such awards vested.</w:t>
      </w:r>
    </w:p>
    <w:p>
      <w:pPr>
        <w:spacing w:after="0" w:line="66" w:lineRule="exact"/>
        <w:rPr>
          <w:rFonts w:ascii="Arial" w:cs="Arial" w:eastAsia="Arial" w:hAnsi="Arial"/>
          <w:sz w:val="20"/>
          <w:szCs w:val="20"/>
          <w:color w:val="auto"/>
        </w:rPr>
      </w:pPr>
    </w:p>
    <w:p>
      <w:pPr>
        <w:jc w:val="both"/>
        <w:ind w:left="402" w:hanging="402"/>
        <w:spacing w:after="0" w:line="264" w:lineRule="auto"/>
        <w:tabs>
          <w:tab w:leader="none" w:pos="402" w:val="left"/>
        </w:tabs>
        <w:numPr>
          <w:ilvl w:val="0"/>
          <w:numId w:val="36"/>
        </w:numPr>
        <w:rPr>
          <w:rFonts w:ascii="Arial" w:cs="Arial" w:eastAsia="Arial" w:hAnsi="Arial"/>
          <w:sz w:val="19"/>
          <w:szCs w:val="19"/>
          <w:color w:val="auto"/>
        </w:rPr>
      </w:pPr>
      <w:r>
        <w:rPr>
          <w:rFonts w:ascii="Arial" w:cs="Arial" w:eastAsia="Arial" w:hAnsi="Arial"/>
          <w:sz w:val="19"/>
          <w:szCs w:val="19"/>
          <w:color w:val="auto"/>
        </w:rPr>
        <w:t>Amounts shown in this column include the following amounts that were reported as compensation to the named executive in the Summary Compensation Table for 2023-2025: Mr. Fish — $1,148,691; Mr. Reed — $49,774; Ms. Rankin — $431,994; Mr. Morris — $474,564; Ms. Hemmer — $470,191 and Mr. Carrasco — $131,303.</w:t>
      </w:r>
    </w:p>
    <w:p>
      <w:pPr>
        <w:spacing w:after="0" w:line="200" w:lineRule="exact"/>
        <w:rPr>
          <w:sz w:val="20"/>
          <w:szCs w:val="20"/>
          <w:color w:val="auto"/>
        </w:rPr>
      </w:pPr>
    </w:p>
    <w:p>
      <w:pPr>
        <w:spacing w:after="0" w:line="207" w:lineRule="exact"/>
        <w:rPr>
          <w:sz w:val="20"/>
          <w:szCs w:val="20"/>
          <w:color w:val="auto"/>
        </w:rPr>
      </w:pPr>
    </w:p>
    <w:p>
      <w:pPr>
        <w:ind w:left="7502"/>
        <w:spacing w:after="0"/>
        <w:tabs>
          <w:tab w:leader="none" w:pos="9541"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-207010</wp:posOffset>
            </wp:positionV>
            <wp:extent cx="538480" cy="161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5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Potential Payments Upon Termination or Change in Control</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u w:val="single" w:color="auto"/>
          <w:color w:val="auto"/>
        </w:rPr>
        <w:t>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The post-employment compensation our named executives receive is based on provisions included</w:t>
      </w:r>
      <w:r>
        <w:rPr>
          <w:rFonts w:ascii="Arial" w:cs="Arial" w:eastAsia="Arial" w:hAnsi="Arial"/>
          <w:sz w:val="19"/>
          <w:szCs w:val="19"/>
          <w:i w:val="1"/>
          <w:iCs w:val="1"/>
          <w:color w:val="auto"/>
        </w:rPr>
        <w:t xml:space="preserve"> </w:t>
      </w:r>
      <w:r>
        <w:rPr>
          <w:rFonts w:ascii="Arial" w:cs="Arial" w:eastAsia="Arial" w:hAnsi="Arial"/>
          <w:sz w:val="19"/>
          <w:szCs w:val="19"/>
          <w:color w:val="auto"/>
        </w:rPr>
        <w:t>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Severance Protection Plan, in the event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123"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23" w:lineRule="exact"/>
        <w:rPr>
          <w:sz w:val="20"/>
          <w:szCs w:val="20"/>
          <w:color w:val="auto"/>
        </w:rPr>
      </w:pPr>
    </w:p>
    <w:p>
      <w:pPr>
        <w:jc w:val="both"/>
        <w:ind w:left="400"/>
        <w:spacing w:after="0" w:line="262" w:lineRule="auto"/>
        <w:rPr>
          <w:sz w:val="20"/>
          <w:szCs w:val="20"/>
          <w:color w:val="auto"/>
        </w:rPr>
      </w:pPr>
      <w:r>
        <w:rPr>
          <w:rFonts w:ascii="Arial" w:cs="Arial" w:eastAsia="Arial" w:hAnsi="Arial"/>
          <w:sz w:val="19"/>
          <w:szCs w:val="19"/>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08"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Voluntary Termination; Retirement.</w:t>
      </w:r>
      <w:r>
        <w:rPr>
          <w:rFonts w:ascii="Arial" w:cs="Arial" w:eastAsia="Arial" w:hAnsi="Arial"/>
          <w:sz w:val="19"/>
          <w:szCs w:val="19"/>
          <w:i w:val="1"/>
          <w:iCs w:val="1"/>
          <w:color w:val="auto"/>
        </w:rPr>
        <w:t xml:space="preserve"> </w:t>
      </w:r>
      <w:r>
        <w:rPr>
          <w:rFonts w:ascii="Arial" w:cs="Arial" w:eastAsia="Arial" w:hAnsi="Arial"/>
          <w:sz w:val="19"/>
          <w:szCs w:val="19"/>
          <w:color w:val="auto"/>
        </w:rPr>
        <w:t>Our equity award agreements generally provide that an executive forfeits unvested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awards if he or she voluntarily terminates employment. RSUs and PSUs generally vest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upon involuntary termination other than for cause. RSUs, PSUs and stock options generally continue to vest following a qualifying retirement as if the employee had remained employed until the end of the performance period. A qualifying</w:t>
      </w:r>
    </w:p>
    <w:p>
      <w:pPr>
        <w:spacing w:after="0" w:line="200" w:lineRule="exact"/>
        <w:rPr>
          <w:sz w:val="20"/>
          <w:szCs w:val="20"/>
          <w:color w:val="auto"/>
        </w:rPr>
      </w:pPr>
    </w:p>
    <w:p>
      <w:pPr>
        <w:spacing w:after="0" w:line="20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5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64" w:name="page65"/>
    <w:bookmarkEnd w:id="64"/>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retirement generally requires that the employee has reached age 55, has a sum of age plus years of service with the Company equal to 65 or greater, and has completed at least five consecutive years of service with the Company immediately preceding the employee’s voluntary resignation. If the recipient is terminated by the Company without cause or voluntarily resigns outside of a qualifying retirement, the recipient is entitled to exercise all stock options outstanding and exercisable within a specified time frame after such termination or resignation.</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Resignation of Ms. Rankin.</w:t>
      </w:r>
      <w:r>
        <w:rPr>
          <w:rFonts w:ascii="Arial" w:cs="Arial" w:eastAsia="Arial" w:hAnsi="Arial"/>
          <w:sz w:val="19"/>
          <w:szCs w:val="19"/>
          <w:i w:val="1"/>
          <w:iCs w:val="1"/>
          <w:color w:val="auto"/>
        </w:rPr>
        <w:t xml:space="preserve"> </w:t>
      </w:r>
      <w:r>
        <w:rPr>
          <w:rFonts w:ascii="Arial" w:cs="Arial" w:eastAsia="Arial" w:hAnsi="Arial"/>
          <w:sz w:val="19"/>
          <w:szCs w:val="19"/>
          <w:color w:val="auto"/>
        </w:rPr>
        <w:t>Ms. Rankin resigned from her position as an executive officer as of November 1, 2025,</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her admirable career spanning 23 years of dedicated service to the Company, including nearly nine years as Chief Financial Officer. She served as an Executive Advisor until March 13, 2026 at her prior base salary to ensure an effective transition of her responsibilities. Upon her departure from the Company, Ms. Rankin received a cash service gift of $45,000 and a previously-disclosed cash bonus of $1 million in recognition of the value delivered to Company stockholders as a result of her leadership in completing the orderly transition of the Chief Financial Officer role to her successor and her important contributions toward the integration of the Company’s Healthcare Solutions business. The Company will also make a $10,000 donation to a charity of her choice. Her unvested equity awards were treated under the voluntary termination provisions of the applicable award agreements, as described above, and were forfeited.</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Explanation of Tabular Disclosure.</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table presents potential payouts to our named executives at year-end</w:t>
      </w:r>
      <w:r>
        <w:rPr>
          <w:rFonts w:ascii="Arial" w:cs="Arial" w:eastAsia="Arial" w:hAnsi="Arial"/>
          <w:sz w:val="20"/>
          <w:szCs w:val="20"/>
          <w:i w:val="1"/>
          <w:iCs w:val="1"/>
          <w:color w:val="auto"/>
        </w:rPr>
        <w:t xml:space="preserve"> </w:t>
      </w:r>
      <w:r>
        <w:rPr>
          <w:rFonts w:ascii="Arial" w:cs="Arial" w:eastAsia="Arial" w:hAnsi="Arial"/>
          <w:sz w:val="20"/>
          <w:szCs w:val="20"/>
          <w:color w:val="auto"/>
        </w:rPr>
        <w:t>upon termination of employment in the circumstances indicated pursuant to the terms of applicable plans and agreements. The payouts set forth below assume the triggering event indicated occurred on December 31, 2025, when the closing price of our Common Stock was $219.71 per share. These payouts are calculated for SEC disclosure purposes and are not necessarily indicative of the actual amounts the named executive would receive. Please note the following when reviewing the payouts set forth below:</w:t>
      </w:r>
    </w:p>
    <w:p>
      <w:pPr>
        <w:spacing w:after="0" w:line="125" w:lineRule="exact"/>
        <w:rPr>
          <w:sz w:val="20"/>
          <w:szCs w:val="20"/>
          <w:color w:val="auto"/>
        </w:rPr>
      </w:pPr>
    </w:p>
    <w:p>
      <w:pPr>
        <w:jc w:val="both"/>
        <w:ind w:left="600" w:hanging="203"/>
        <w:spacing w:after="0" w:line="249" w:lineRule="auto"/>
        <w:tabs>
          <w:tab w:leader="none" w:pos="600" w:val="left"/>
        </w:tabs>
        <w:numPr>
          <w:ilvl w:val="0"/>
          <w:numId w:val="37"/>
        </w:numPr>
        <w:rPr>
          <w:rFonts w:ascii="Arial" w:cs="Arial" w:eastAsia="Arial" w:hAnsi="Arial"/>
          <w:sz w:val="20"/>
          <w:szCs w:val="20"/>
          <w:color w:val="0C3D25"/>
        </w:rPr>
      </w:pPr>
      <w:r>
        <w:rPr>
          <w:rFonts w:ascii="Arial" w:cs="Arial" w:eastAsia="Arial" w:hAnsi="Arial"/>
          <w:sz w:val="20"/>
          <w:szCs w:val="20"/>
          <w:color w:val="auto"/>
        </w:rPr>
        <w:t>The compensation component set forth below for accelerated vesting of stock options is comprised of the unvested stock options granted in 2023, 2024 and 2025, based on the difference between the closing price of our Common Stock on December 31, 2025 and the exercise price of those options.</w:t>
      </w:r>
    </w:p>
    <w:p>
      <w:pPr>
        <w:spacing w:after="0" w:line="122" w:lineRule="exact"/>
        <w:rPr>
          <w:rFonts w:ascii="Arial" w:cs="Arial" w:eastAsia="Arial" w:hAnsi="Arial"/>
          <w:sz w:val="20"/>
          <w:szCs w:val="20"/>
          <w:color w:val="0C3D25"/>
        </w:rPr>
      </w:pPr>
    </w:p>
    <w:p>
      <w:pPr>
        <w:jc w:val="both"/>
        <w:ind w:left="600" w:hanging="203"/>
        <w:spacing w:after="0" w:line="249" w:lineRule="auto"/>
        <w:tabs>
          <w:tab w:leader="none" w:pos="600" w:val="left"/>
        </w:tabs>
        <w:numPr>
          <w:ilvl w:val="0"/>
          <w:numId w:val="37"/>
        </w:numPr>
        <w:rPr>
          <w:rFonts w:ascii="Arial" w:cs="Arial" w:eastAsia="Arial" w:hAnsi="Arial"/>
          <w:sz w:val="20"/>
          <w:szCs w:val="20"/>
          <w:color w:val="0C3D25"/>
        </w:rPr>
      </w:pPr>
      <w:r>
        <w:rPr>
          <w:rFonts w:ascii="Arial" w:cs="Arial" w:eastAsia="Arial" w:hAnsi="Arial"/>
          <w:sz w:val="20"/>
          <w:szCs w:val="20"/>
          <w:color w:val="auto"/>
        </w:rPr>
        <w:t>For purposes of calculating the payout of performance share unit awards outstanding as of December 31, 2025, we have assumed that target performance was achieved; actual performance share unit payouts will be based on actual performance of the Company during the performance period.</w:t>
      </w:r>
    </w:p>
    <w:p>
      <w:pPr>
        <w:spacing w:after="0" w:line="122" w:lineRule="exact"/>
        <w:rPr>
          <w:rFonts w:ascii="Arial" w:cs="Arial" w:eastAsia="Arial" w:hAnsi="Arial"/>
          <w:sz w:val="20"/>
          <w:szCs w:val="20"/>
          <w:color w:val="0C3D25"/>
        </w:rPr>
      </w:pPr>
    </w:p>
    <w:p>
      <w:pPr>
        <w:jc w:val="both"/>
        <w:ind w:left="600" w:hanging="203"/>
        <w:spacing w:after="0" w:line="249" w:lineRule="auto"/>
        <w:tabs>
          <w:tab w:leader="none" w:pos="600" w:val="left"/>
        </w:tabs>
        <w:numPr>
          <w:ilvl w:val="0"/>
          <w:numId w:val="37"/>
        </w:numPr>
        <w:rPr>
          <w:rFonts w:ascii="Arial" w:cs="Arial" w:eastAsia="Arial" w:hAnsi="Arial"/>
          <w:sz w:val="20"/>
          <w:szCs w:val="20"/>
          <w:color w:val="0C3D25"/>
        </w:rPr>
      </w:pPr>
      <w:r>
        <w:rPr>
          <w:rFonts w:ascii="Arial" w:cs="Arial" w:eastAsia="Arial" w:hAnsi="Arial"/>
          <w:sz w:val="20"/>
          <w:szCs w:val="20"/>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2025.</w:t>
      </w:r>
    </w:p>
    <w:p>
      <w:pPr>
        <w:spacing w:after="0" w:line="123" w:lineRule="exact"/>
        <w:rPr>
          <w:rFonts w:ascii="Arial" w:cs="Arial" w:eastAsia="Arial" w:hAnsi="Arial"/>
          <w:sz w:val="20"/>
          <w:szCs w:val="20"/>
          <w:color w:val="0C3D25"/>
        </w:rPr>
      </w:pPr>
    </w:p>
    <w:p>
      <w:pPr>
        <w:ind w:left="600" w:hanging="203"/>
        <w:spacing w:after="0" w:line="249" w:lineRule="auto"/>
        <w:tabs>
          <w:tab w:leader="none" w:pos="600" w:val="left"/>
        </w:tabs>
        <w:numPr>
          <w:ilvl w:val="0"/>
          <w:numId w:val="37"/>
        </w:numPr>
        <w:rPr>
          <w:rFonts w:ascii="Arial" w:cs="Arial" w:eastAsia="Arial" w:hAnsi="Arial"/>
          <w:sz w:val="20"/>
          <w:szCs w:val="20"/>
          <w:color w:val="0C3D25"/>
        </w:rPr>
      </w:pPr>
      <w:r>
        <w:rPr>
          <w:rFonts w:ascii="Arial" w:cs="Arial" w:eastAsia="Arial" w:hAnsi="Arial"/>
          <w:sz w:val="20"/>
          <w:szCs w:val="20"/>
          <w:color w:val="auto"/>
        </w:rPr>
        <w:t>The payout for continuation of benefits is an estimate of the cost the Company would incur to continue those benefits.</w:t>
      </w:r>
    </w:p>
    <w:p>
      <w:pPr>
        <w:spacing w:after="0" w:line="121" w:lineRule="exact"/>
        <w:rPr>
          <w:rFonts w:ascii="Arial" w:cs="Arial" w:eastAsia="Arial" w:hAnsi="Arial"/>
          <w:sz w:val="20"/>
          <w:szCs w:val="20"/>
          <w:color w:val="0C3D25"/>
        </w:rPr>
      </w:pPr>
    </w:p>
    <w:p>
      <w:pPr>
        <w:jc w:val="both"/>
        <w:ind w:left="600" w:hanging="203"/>
        <w:spacing w:after="0" w:line="290" w:lineRule="auto"/>
        <w:tabs>
          <w:tab w:leader="none" w:pos="600" w:val="left"/>
        </w:tabs>
        <w:numPr>
          <w:ilvl w:val="0"/>
          <w:numId w:val="37"/>
        </w:numPr>
        <w:rPr>
          <w:rFonts w:ascii="Arial" w:cs="Arial" w:eastAsia="Arial" w:hAnsi="Arial"/>
          <w:sz w:val="18"/>
          <w:szCs w:val="18"/>
          <w:color w:val="0C3D25"/>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87" w:lineRule="exact"/>
        <w:rPr>
          <w:rFonts w:ascii="Arial" w:cs="Arial" w:eastAsia="Arial" w:hAnsi="Arial"/>
          <w:sz w:val="18"/>
          <w:szCs w:val="18"/>
          <w:color w:val="0C3D25"/>
        </w:rPr>
      </w:pPr>
    </w:p>
    <w:p>
      <w:pPr>
        <w:ind w:left="600" w:hanging="203"/>
        <w:spacing w:after="0" w:line="275" w:lineRule="auto"/>
        <w:tabs>
          <w:tab w:leader="none" w:pos="600" w:val="left"/>
        </w:tabs>
        <w:numPr>
          <w:ilvl w:val="0"/>
          <w:numId w:val="37"/>
        </w:numPr>
        <w:rPr>
          <w:rFonts w:ascii="Arial" w:cs="Arial" w:eastAsia="Arial" w:hAnsi="Arial"/>
          <w:sz w:val="19"/>
          <w:szCs w:val="19"/>
          <w:color w:val="0C3D25"/>
        </w:rPr>
      </w:pPr>
      <w:r>
        <w:rPr>
          <w:rFonts w:ascii="Arial" w:cs="Arial" w:eastAsia="Arial" w:hAnsi="Arial"/>
          <w:sz w:val="19"/>
          <w:szCs w:val="19"/>
          <w:color w:val="auto"/>
        </w:rPr>
        <w:t>Refer to the Nonqualified Deferred Compensation in 2025 table above for aggregate balances payable to the named executives under our 409A Deferral Plan pursuant to the named executive’s distribution elections.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65" w:name="page66"/>
    <w:bookmarkEnd w:id="65"/>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Potential Consideration Upon Termination of Employment</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4620" w:type="dxa"/>
            <w:vAlign w:val="bottom"/>
            <w:tcBorders>
              <w:bottom w:val="single" w:sz="8" w:color="0C3D25"/>
            </w:tcBorders>
          </w:tcPr>
          <w:p>
            <w:pPr>
              <w:spacing w:after="0"/>
              <w:rPr>
                <w:sz w:val="19"/>
                <w:szCs w:val="19"/>
                <w:color w:val="auto"/>
              </w:rPr>
            </w:pP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Mr. Fish</w:t>
            </w:r>
            <w:r>
              <w:rPr>
                <w:rFonts w:ascii="Arial" w:cs="Arial" w:eastAsia="Arial" w:hAnsi="Arial"/>
                <w:sz w:val="19"/>
                <w:szCs w:val="19"/>
                <w:b w:val="1"/>
                <w:bCs w:val="1"/>
                <w:color w:val="0C3D25"/>
                <w:vertAlign w:val="superscript"/>
              </w:rPr>
              <w:t>(1)</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16"/>
                <w:szCs w:val="16"/>
                <w:b w:val="1"/>
                <w:bCs w:val="1"/>
                <w:color w:val="0C3D25"/>
              </w:rPr>
              <w:t>Mr. Reed</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rPr>
              <w:t>Mr. Morris</w:t>
            </w:r>
            <w:r>
              <w:rPr>
                <w:rFonts w:ascii="Arial" w:cs="Arial" w:eastAsia="Arial" w:hAnsi="Arial"/>
                <w:sz w:val="19"/>
                <w:szCs w:val="19"/>
                <w:b w:val="1"/>
                <w:bCs w:val="1"/>
                <w:color w:val="0C3D25"/>
                <w:vertAlign w:val="superscript"/>
              </w:rPr>
              <w:t>(1)</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w w:val="98"/>
              </w:rPr>
              <w:t>Ms. Hemmer</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16"/>
                <w:szCs w:val="16"/>
                <w:b w:val="1"/>
                <w:bCs w:val="1"/>
                <w:color w:val="0C3D25"/>
                <w:w w:val="98"/>
              </w:rPr>
              <w:t>Mr. Carrasco</w:t>
            </w:r>
          </w:p>
        </w:tc>
      </w:tr>
      <w:tr>
        <w:trPr>
          <w:trHeight w:val="262"/>
        </w:trPr>
        <w:tc>
          <w:tcPr>
            <w:tcW w:w="58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Payout or Value of Compensation Components, in dollars</w:t>
            </w:r>
          </w:p>
        </w:tc>
        <w:tc>
          <w:tcPr>
            <w:tcW w:w="108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1040" w:type="dxa"/>
            <w:vAlign w:val="bottom"/>
            <w:tcBorders>
              <w:bottom w:val="single" w:sz="8" w:color="0C3D25"/>
            </w:tcBorders>
          </w:tcPr>
          <w:p>
            <w:pPr>
              <w:spacing w:after="0"/>
              <w:rPr>
                <w:sz w:val="22"/>
                <w:szCs w:val="22"/>
                <w:color w:val="auto"/>
              </w:rPr>
            </w:pPr>
          </w:p>
        </w:tc>
        <w:tc>
          <w:tcPr>
            <w:tcW w:w="1040" w:type="dxa"/>
            <w:vAlign w:val="bottom"/>
            <w:tcBorders>
              <w:bottom w:val="single" w:sz="8" w:color="0C3D25"/>
            </w:tcBorders>
          </w:tcPr>
          <w:p>
            <w:pPr>
              <w:spacing w:after="0"/>
              <w:rPr>
                <w:sz w:val="22"/>
                <w:szCs w:val="22"/>
                <w:color w:val="auto"/>
              </w:rPr>
            </w:pPr>
          </w:p>
        </w:tc>
      </w:tr>
      <w:tr>
        <w:trPr>
          <w:trHeight w:val="259"/>
        </w:trPr>
        <w:tc>
          <w:tcPr>
            <w:tcW w:w="462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i w:val="1"/>
                <w:iCs w:val="1"/>
                <w:color w:val="auto"/>
              </w:rPr>
              <w:t>In Event of Death or Disability</w:t>
            </w:r>
          </w:p>
        </w:tc>
        <w:tc>
          <w:tcPr>
            <w:tcW w:w="1220" w:type="dxa"/>
            <w:vAlign w:val="bottom"/>
            <w:tcBorders>
              <w:bottom w:val="single" w:sz="8" w:color="0C3D25"/>
            </w:tcBorders>
          </w:tcPr>
          <w:p>
            <w:pPr>
              <w:spacing w:after="0"/>
              <w:rPr>
                <w:sz w:val="22"/>
                <w:szCs w:val="22"/>
                <w:color w:val="auto"/>
              </w:rPr>
            </w:pPr>
          </w:p>
        </w:tc>
        <w:tc>
          <w:tcPr>
            <w:tcW w:w="1080" w:type="dxa"/>
            <w:vAlign w:val="bottom"/>
            <w:tcBorders>
              <w:bottom w:val="single" w:sz="8" w:color="0C3D25"/>
            </w:tcBorders>
          </w:tcPr>
          <w:p>
            <w:pPr>
              <w:spacing w:after="0"/>
              <w:rPr>
                <w:sz w:val="22"/>
                <w:szCs w:val="22"/>
                <w:color w:val="auto"/>
              </w:rPr>
            </w:pPr>
          </w:p>
        </w:tc>
        <w:tc>
          <w:tcPr>
            <w:tcW w:w="1060" w:type="dxa"/>
            <w:vAlign w:val="bottom"/>
            <w:tcBorders>
              <w:bottom w:val="single" w:sz="8" w:color="0C3D25"/>
            </w:tcBorders>
          </w:tcPr>
          <w:p>
            <w:pPr>
              <w:spacing w:after="0"/>
              <w:rPr>
                <w:sz w:val="22"/>
                <w:szCs w:val="22"/>
                <w:color w:val="auto"/>
              </w:rPr>
            </w:pPr>
          </w:p>
        </w:tc>
        <w:tc>
          <w:tcPr>
            <w:tcW w:w="1040" w:type="dxa"/>
            <w:vAlign w:val="bottom"/>
            <w:tcBorders>
              <w:bottom w:val="single" w:sz="8" w:color="0C3D25"/>
            </w:tcBorders>
          </w:tcPr>
          <w:p>
            <w:pPr>
              <w:spacing w:after="0"/>
              <w:rPr>
                <w:sz w:val="22"/>
                <w:szCs w:val="22"/>
                <w:color w:val="auto"/>
              </w:rPr>
            </w:pPr>
          </w:p>
        </w:tc>
        <w:tc>
          <w:tcPr>
            <w:tcW w:w="1040" w:type="dxa"/>
            <w:vAlign w:val="bottom"/>
            <w:tcBorders>
              <w:bottom w:val="single" w:sz="8" w:color="0C3D25"/>
            </w:tcBorders>
          </w:tcPr>
          <w:p>
            <w:pPr>
              <w:spacing w:after="0"/>
              <w:rPr>
                <w:sz w:val="22"/>
                <w:szCs w:val="22"/>
                <w:color w:val="auto"/>
              </w:rPr>
            </w:pPr>
          </w:p>
        </w:tc>
      </w:tr>
      <w:tr>
        <w:trPr>
          <w:trHeight w:val="259"/>
        </w:trPr>
        <w:tc>
          <w:tcPr>
            <w:tcW w:w="4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Accelerated vesting of stock options</w:t>
            </w: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1,830,343</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71,571</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518,420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347,154</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375,479</w:t>
            </w:r>
          </w:p>
        </w:tc>
      </w:tr>
      <w:tr>
        <w:trPr>
          <w:trHeight w:val="251"/>
        </w:trPr>
        <w:tc>
          <w:tcPr>
            <w:tcW w:w="4620" w:type="dxa"/>
            <w:vAlign w:val="bottom"/>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Payment of PSUs (contingent on actual</w:t>
            </w: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462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performance at end of performance period)</w:t>
            </w: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18,420,926</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511,485</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5,149,124</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3,489,874</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3,489,874</w:t>
            </w:r>
          </w:p>
        </w:tc>
      </w:tr>
      <w:tr>
        <w:trPr>
          <w:trHeight w:val="259"/>
        </w:trPr>
        <w:tc>
          <w:tcPr>
            <w:tcW w:w="46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Accelerated vesting of RSUs</w:t>
            </w: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905,645</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1,007,370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2,005,952</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r>
      <w:tr>
        <w:trPr>
          <w:trHeight w:val="251"/>
        </w:trPr>
        <w:tc>
          <w:tcPr>
            <w:tcW w:w="4620" w:type="dxa"/>
            <w:vAlign w:val="bottom"/>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Life insurance benefit paid by insurance company</w:t>
            </w: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462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(in the case of death)</w:t>
            </w: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1,377,000</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420,000</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816,000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700,000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676,000</w:t>
            </w:r>
          </w:p>
        </w:tc>
      </w:tr>
      <w:tr>
        <w:trPr>
          <w:trHeight w:val="259"/>
        </w:trPr>
        <w:tc>
          <w:tcPr>
            <w:tcW w:w="462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Total</w:t>
            </w:r>
          </w:p>
        </w:tc>
        <w:tc>
          <w:tcPr>
            <w:tcW w:w="122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21,628,269</w:t>
            </w:r>
          </w:p>
        </w:tc>
        <w:tc>
          <w:tcPr>
            <w:tcW w:w="108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b w:val="1"/>
                <w:bCs w:val="1"/>
                <w:color w:val="auto"/>
              </w:rPr>
              <w:t>1,908,701</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7,490,914</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6,542,980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4,541,353</w:t>
            </w:r>
          </w:p>
        </w:tc>
      </w:tr>
    </w:tbl>
    <w:p>
      <w:pPr>
        <w:spacing w:after="0" w:line="21" w:lineRule="exact"/>
        <w:rPr>
          <w:sz w:val="20"/>
          <w:szCs w:val="20"/>
          <w:color w:val="auto"/>
        </w:rPr>
      </w:pPr>
    </w:p>
    <w:p>
      <w:pPr>
        <w:ind w:left="62"/>
        <w:spacing w:after="0"/>
        <w:rPr>
          <w:sz w:val="20"/>
          <w:szCs w:val="20"/>
          <w:color w:val="auto"/>
        </w:rPr>
      </w:pPr>
      <w:r>
        <w:rPr>
          <w:rFonts w:ascii="Arial" w:cs="Arial" w:eastAsia="Arial" w:hAnsi="Arial"/>
          <w:sz w:val="20"/>
          <w:szCs w:val="20"/>
          <w:b w:val="1"/>
          <w:bCs w:val="1"/>
          <w:i w:val="1"/>
          <w:iCs w:val="1"/>
          <w:color w:val="auto"/>
        </w:rPr>
        <w:t>In Event of Termination Without Cause by the Company or For Good Reason by the Employee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638619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502.85pt,1.15pt" o:allowincell="f" strokecolor="#0C3D25" strokeweight="0.499pt"/>
            </w:pict>
          </mc:Fallback>
        </mc:AlternateContent>
      </w:r>
    </w:p>
    <w:p>
      <w:pPr>
        <w:spacing w:after="0" w:line="31" w:lineRule="exact"/>
        <w:rPr>
          <w:sz w:val="20"/>
          <w:szCs w:val="20"/>
          <w:color w:val="auto"/>
        </w:rPr>
      </w:pPr>
    </w:p>
    <w:p>
      <w:pPr>
        <w:ind w:left="262" w:hanging="202"/>
        <w:spacing w:after="0"/>
        <w:tabs>
          <w:tab w:leader="none" w:pos="262" w:val="left"/>
        </w:tabs>
        <w:numPr>
          <w:ilvl w:val="0"/>
          <w:numId w:val="38"/>
        </w:numPr>
        <w:rPr>
          <w:rFonts w:ascii="Arial" w:cs="Arial" w:eastAsia="Arial" w:hAnsi="Arial"/>
          <w:sz w:val="20"/>
          <w:szCs w:val="20"/>
          <w:color w:val="0C3D25"/>
        </w:rPr>
      </w:pPr>
      <w:r>
        <w:rPr>
          <w:rFonts w:ascii="Arial" w:cs="Arial" w:eastAsia="Arial" w:hAnsi="Arial"/>
          <w:sz w:val="20"/>
          <w:szCs w:val="20"/>
          <w:color w:val="auto"/>
        </w:rPr>
        <w:t>Two times base salary plus target annual cash</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440" w:type="dxa"/>
            <w:vAlign w:val="bottom"/>
          </w:tcPr>
          <w:p>
            <w:pPr>
              <w:ind w:left="60"/>
              <w:spacing w:after="0"/>
              <w:rPr>
                <w:sz w:val="20"/>
                <w:szCs w:val="20"/>
                <w:color w:val="auto"/>
              </w:rPr>
            </w:pPr>
            <w:r>
              <w:rPr>
                <w:rFonts w:ascii="Arial" w:cs="Arial" w:eastAsia="Arial" w:hAnsi="Arial"/>
                <w:sz w:val="20"/>
                <w:szCs w:val="20"/>
                <w:color w:val="auto"/>
              </w:rPr>
              <w:t>bonus (one-half payable in lump sum; one-half</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9"/>
        </w:trPr>
        <w:tc>
          <w:tcPr>
            <w:tcW w:w="20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Arial" w:cs="Arial" w:eastAsia="Arial" w:hAnsi="Arial"/>
                <w:sz w:val="20"/>
                <w:szCs w:val="20"/>
                <w:color w:val="auto"/>
              </w:rPr>
              <w:t>payable in bi-weekly installments over a two-year</w:t>
            </w: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200" w:type="dxa"/>
            <w:vAlign w:val="bottom"/>
            <w:tcBorders>
              <w:bottom w:val="single" w:sz="8" w:color="0C3D25"/>
            </w:tcBorders>
          </w:tcPr>
          <w:p>
            <w:pPr>
              <w:spacing w:after="0"/>
              <w:rPr>
                <w:sz w:val="21"/>
                <w:szCs w:val="21"/>
                <w:color w:val="auto"/>
              </w:rPr>
            </w:pPr>
          </w:p>
        </w:tc>
        <w:tc>
          <w:tcPr>
            <w:tcW w:w="44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period)</w:t>
            </w:r>
          </w:p>
        </w:tc>
        <w:tc>
          <w:tcPr>
            <w:tcW w:w="12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7,800,000</w:t>
            </w:r>
          </w:p>
        </w:tc>
        <w:tc>
          <w:tcPr>
            <w:tcW w:w="1080" w:type="dxa"/>
            <w:vAlign w:val="bottom"/>
            <w:tcBorders>
              <w:bottom w:val="single" w:sz="8" w:color="0C3D25"/>
            </w:tcBorders>
          </w:tcPr>
          <w:p>
            <w:pPr>
              <w:jc w:val="right"/>
              <w:ind w:right="20"/>
              <w:spacing w:after="0"/>
              <w:rPr>
                <w:sz w:val="20"/>
                <w:szCs w:val="20"/>
                <w:color w:val="auto"/>
              </w:rPr>
            </w:pPr>
            <w:r>
              <w:rPr>
                <w:rFonts w:ascii="Arial" w:cs="Arial" w:eastAsia="Arial" w:hAnsi="Arial"/>
                <w:sz w:val="20"/>
                <w:szCs w:val="20"/>
                <w:color w:val="auto"/>
              </w:rPr>
              <w:t>2,800,000</w:t>
            </w:r>
          </w:p>
        </w:tc>
        <w:tc>
          <w:tcPr>
            <w:tcW w:w="10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4,500,000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2,825,550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2,811,900</w:t>
            </w:r>
          </w:p>
        </w:tc>
      </w:tr>
      <w:tr>
        <w:trPr>
          <w:trHeight w:val="251"/>
        </w:trPr>
        <w:tc>
          <w:tcPr>
            <w:tcW w:w="200" w:type="dxa"/>
            <w:vAlign w:val="bottom"/>
          </w:tcPr>
          <w:p>
            <w:pPr>
              <w:ind w:left="60"/>
              <w:spacing w:after="0"/>
              <w:rPr>
                <w:sz w:val="20"/>
                <w:szCs w:val="20"/>
                <w:color w:val="auto"/>
              </w:rPr>
            </w:pPr>
            <w:r>
              <w:rPr>
                <w:rFonts w:ascii="Arial" w:cs="Arial" w:eastAsia="Arial" w:hAnsi="Arial"/>
                <w:sz w:val="20"/>
                <w:szCs w:val="20"/>
                <w:color w:val="0C3D25"/>
              </w:rPr>
              <w:t>•</w:t>
            </w:r>
          </w:p>
        </w:tc>
        <w:tc>
          <w:tcPr>
            <w:tcW w:w="4440" w:type="dxa"/>
            <w:vAlign w:val="bottom"/>
          </w:tcPr>
          <w:p>
            <w:pPr>
              <w:ind w:left="60"/>
              <w:spacing w:after="0"/>
              <w:rPr>
                <w:sz w:val="20"/>
                <w:szCs w:val="20"/>
                <w:color w:val="auto"/>
              </w:rPr>
            </w:pPr>
            <w:r>
              <w:rPr>
                <w:rFonts w:ascii="Arial" w:cs="Arial" w:eastAsia="Arial" w:hAnsi="Arial"/>
                <w:sz w:val="20"/>
                <w:szCs w:val="20"/>
                <w:color w:val="auto"/>
              </w:rPr>
              <w:t>Continued coverage under health and welfare</w:t>
            </w: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200" w:type="dxa"/>
            <w:vAlign w:val="bottom"/>
            <w:tcBorders>
              <w:bottom w:val="single" w:sz="8" w:color="0C3D25"/>
            </w:tcBorders>
          </w:tcPr>
          <w:p>
            <w:pPr>
              <w:spacing w:after="0"/>
              <w:rPr>
                <w:sz w:val="21"/>
                <w:szCs w:val="21"/>
                <w:color w:val="auto"/>
              </w:rPr>
            </w:pPr>
          </w:p>
        </w:tc>
        <w:tc>
          <w:tcPr>
            <w:tcW w:w="44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benefit plans for two years</w:t>
            </w:r>
          </w:p>
        </w:tc>
        <w:tc>
          <w:tcPr>
            <w:tcW w:w="12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80" w:type="dxa"/>
            <w:vAlign w:val="bottom"/>
            <w:tcBorders>
              <w:bottom w:val="single" w:sz="8" w:color="0C3D25"/>
            </w:tcBorders>
          </w:tcPr>
          <w:p>
            <w:pPr>
              <w:jc w:val="right"/>
              <w:ind w:right="20"/>
              <w:spacing w:after="0"/>
              <w:rPr>
                <w:sz w:val="20"/>
                <w:szCs w:val="20"/>
                <w:color w:val="auto"/>
              </w:rPr>
            </w:pPr>
            <w:r>
              <w:rPr>
                <w:rFonts w:ascii="Arial" w:cs="Arial" w:eastAsia="Arial" w:hAnsi="Arial"/>
                <w:sz w:val="20"/>
                <w:szCs w:val="20"/>
                <w:color w:val="auto"/>
              </w:rPr>
              <w:t>33,930</w:t>
            </w:r>
          </w:p>
        </w:tc>
        <w:tc>
          <w:tcPr>
            <w:tcW w:w="10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r>
      <w:tr>
        <w:trPr>
          <w:trHeight w:val="251"/>
        </w:trPr>
        <w:tc>
          <w:tcPr>
            <w:tcW w:w="200" w:type="dxa"/>
            <w:vAlign w:val="bottom"/>
          </w:tcPr>
          <w:p>
            <w:pPr>
              <w:ind w:left="60"/>
              <w:spacing w:after="0"/>
              <w:rPr>
                <w:sz w:val="20"/>
                <w:szCs w:val="20"/>
                <w:color w:val="auto"/>
              </w:rPr>
            </w:pPr>
            <w:r>
              <w:rPr>
                <w:rFonts w:ascii="Arial" w:cs="Arial" w:eastAsia="Arial" w:hAnsi="Arial"/>
                <w:sz w:val="20"/>
                <w:szCs w:val="20"/>
                <w:color w:val="0C3D25"/>
              </w:rPr>
              <w:t>•</w:t>
            </w:r>
          </w:p>
        </w:tc>
        <w:tc>
          <w:tcPr>
            <w:tcW w:w="4440" w:type="dxa"/>
            <w:vAlign w:val="bottom"/>
          </w:tcPr>
          <w:p>
            <w:pPr>
              <w:ind w:left="60"/>
              <w:spacing w:after="0"/>
              <w:rPr>
                <w:sz w:val="20"/>
                <w:szCs w:val="20"/>
                <w:color w:val="auto"/>
              </w:rPr>
            </w:pPr>
            <w:r>
              <w:rPr>
                <w:rFonts w:ascii="Arial" w:cs="Arial" w:eastAsia="Arial" w:hAnsi="Arial"/>
                <w:sz w:val="20"/>
                <w:szCs w:val="20"/>
                <w:color w:val="auto"/>
              </w:rPr>
              <w:t>Prorated payment of PSUs (contingent on actual</w:t>
            </w: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200" w:type="dxa"/>
            <w:vAlign w:val="bottom"/>
            <w:tcBorders>
              <w:bottom w:val="single" w:sz="8" w:color="0C3D25"/>
            </w:tcBorders>
          </w:tcPr>
          <w:p>
            <w:pPr>
              <w:spacing w:after="0"/>
              <w:rPr>
                <w:sz w:val="21"/>
                <w:szCs w:val="21"/>
                <w:color w:val="auto"/>
              </w:rPr>
            </w:pPr>
          </w:p>
        </w:tc>
        <w:tc>
          <w:tcPr>
            <w:tcW w:w="44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performance at end of performance period)</w:t>
            </w:r>
          </w:p>
        </w:tc>
        <w:tc>
          <w:tcPr>
            <w:tcW w:w="12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9,084,862</w:t>
            </w:r>
          </w:p>
        </w:tc>
        <w:tc>
          <w:tcPr>
            <w:tcW w:w="1080" w:type="dxa"/>
            <w:vAlign w:val="bottom"/>
            <w:tcBorders>
              <w:bottom w:val="single" w:sz="8" w:color="0C3D25"/>
            </w:tcBorders>
          </w:tcPr>
          <w:p>
            <w:pPr>
              <w:jc w:val="right"/>
              <w:ind w:right="20"/>
              <w:spacing w:after="0"/>
              <w:rPr>
                <w:sz w:val="20"/>
                <w:szCs w:val="20"/>
                <w:color w:val="auto"/>
              </w:rPr>
            </w:pPr>
            <w:r>
              <w:rPr>
                <w:rFonts w:ascii="Arial" w:cs="Arial" w:eastAsia="Arial" w:hAnsi="Arial"/>
                <w:sz w:val="20"/>
                <w:szCs w:val="20"/>
                <w:color w:val="auto"/>
              </w:rPr>
              <w:t>261,162</w:t>
            </w:r>
          </w:p>
        </w:tc>
        <w:tc>
          <w:tcPr>
            <w:tcW w:w="10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2,607,225</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1,767,347</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1,767,347</w:t>
            </w:r>
          </w:p>
        </w:tc>
      </w:tr>
      <w:tr>
        <w:trPr>
          <w:trHeight w:val="259"/>
        </w:trPr>
        <w:tc>
          <w:tcPr>
            <w:tcW w:w="46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Prorated vesting of RSUs</w:t>
            </w:r>
          </w:p>
        </w:tc>
        <w:tc>
          <w:tcPr>
            <w:tcW w:w="120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0C3D25"/>
            </w:tcBorders>
          </w:tcPr>
          <w:p>
            <w:pPr>
              <w:jc w:val="right"/>
              <w:ind w:right="20"/>
              <w:spacing w:after="0"/>
              <w:rPr>
                <w:sz w:val="20"/>
                <w:szCs w:val="20"/>
                <w:color w:val="auto"/>
              </w:rPr>
            </w:pPr>
            <w:r>
              <w:rPr>
                <w:rFonts w:ascii="Arial" w:cs="Arial" w:eastAsia="Arial" w:hAnsi="Arial"/>
                <w:sz w:val="20"/>
                <w:szCs w:val="20"/>
                <w:color w:val="auto"/>
              </w:rPr>
              <w:t>213,754</w:t>
            </w:r>
          </w:p>
        </w:tc>
        <w:tc>
          <w:tcPr>
            <w:tcW w:w="108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206,074</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217,998</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640" w:type="dxa"/>
            <w:vAlign w:val="bottom"/>
            <w:tcBorders>
              <w:bottom w:val="single" w:sz="8" w:color="0C3D25"/>
            </w:tcBorders>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16,918,792</w:t>
            </w:r>
          </w:p>
        </w:tc>
        <w:tc>
          <w:tcPr>
            <w:tcW w:w="1080" w:type="dxa"/>
            <w:vAlign w:val="bottom"/>
            <w:tcBorders>
              <w:bottom w:val="single" w:sz="8" w:color="0C3D25"/>
            </w:tcBorders>
          </w:tcPr>
          <w:p>
            <w:pPr>
              <w:jc w:val="right"/>
              <w:ind w:right="20"/>
              <w:spacing w:after="0"/>
              <w:rPr>
                <w:sz w:val="20"/>
                <w:szCs w:val="20"/>
                <w:color w:val="auto"/>
              </w:rPr>
            </w:pPr>
            <w:r>
              <w:rPr>
                <w:rFonts w:ascii="Arial" w:cs="Arial" w:eastAsia="Arial" w:hAnsi="Arial"/>
                <w:sz w:val="20"/>
                <w:szCs w:val="20"/>
                <w:b w:val="1"/>
                <w:bCs w:val="1"/>
                <w:color w:val="auto"/>
              </w:rPr>
              <w:t>3,308,846</w:t>
            </w:r>
          </w:p>
        </w:tc>
        <w:tc>
          <w:tcPr>
            <w:tcW w:w="108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7,347,229</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4,844,825</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4,613,177</w:t>
            </w:r>
          </w:p>
        </w:tc>
      </w:tr>
    </w:tbl>
    <w:p>
      <w:pPr>
        <w:spacing w:after="0" w:line="21" w:lineRule="exact"/>
        <w:rPr>
          <w:sz w:val="20"/>
          <w:szCs w:val="20"/>
          <w:color w:val="auto"/>
        </w:rPr>
      </w:pPr>
    </w:p>
    <w:p>
      <w:pPr>
        <w:ind w:left="62" w:right="200"/>
        <w:spacing w:after="0" w:line="251" w:lineRule="auto"/>
        <w:rPr>
          <w:sz w:val="20"/>
          <w:szCs w:val="20"/>
          <w:color w:val="auto"/>
        </w:rPr>
      </w:pPr>
      <w:r>
        <w:rPr>
          <w:rFonts w:ascii="Arial" w:cs="Arial" w:eastAsia="Arial" w:hAnsi="Arial"/>
          <w:sz w:val="20"/>
          <w:szCs w:val="20"/>
          <w:b w:val="1"/>
          <w:bCs w:val="1"/>
          <w:i w:val="1"/>
          <w:iCs w:val="1"/>
          <w:color w:val="auto"/>
        </w:rPr>
        <w:t>In Event of Termination Without Cause by the Company or For Good Reason by the Employee Six Months Following a Change in Control (Double Trigger)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638619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502.85pt,0.55pt" o:allowincell="f" strokecolor="#0C3D25" strokeweight="0.499pt"/>
            </w:pict>
          </mc:Fallback>
        </mc:AlternateContent>
      </w:r>
    </w:p>
    <w:p>
      <w:pPr>
        <w:spacing w:after="0" w:line="20" w:lineRule="exact"/>
        <w:rPr>
          <w:sz w:val="20"/>
          <w:szCs w:val="20"/>
          <w:color w:val="auto"/>
        </w:rPr>
      </w:pPr>
    </w:p>
    <w:p>
      <w:pPr>
        <w:ind w:left="262" w:right="5580" w:hanging="202"/>
        <w:spacing w:after="0" w:line="263" w:lineRule="auto"/>
        <w:tabs>
          <w:tab w:leader="none" w:pos="262" w:val="left"/>
        </w:tabs>
        <w:numPr>
          <w:ilvl w:val="0"/>
          <w:numId w:val="39"/>
        </w:numPr>
        <w:rPr>
          <w:rFonts w:ascii="Arial" w:cs="Arial" w:eastAsia="Arial" w:hAnsi="Arial"/>
          <w:sz w:val="19"/>
          <w:szCs w:val="19"/>
          <w:color w:val="0C3D25"/>
        </w:rPr>
      </w:pPr>
      <w:r>
        <w:rPr>
          <w:rFonts w:ascii="Arial" w:cs="Arial" w:eastAsia="Arial" w:hAnsi="Arial"/>
          <w:sz w:val="19"/>
          <w:szCs w:val="19"/>
          <w:color w:val="auto"/>
        </w:rPr>
        <w:t>Two times base salary plus target annual cash bonus (one-half payable in lump sum; one-half payable in bi-weekly installments over a two-year</w:t>
      </w:r>
    </w:p>
    <w:tbl>
      <w:tblPr>
        <w:tblLayout w:type="fixed"/>
        <w:tblInd w:w="2" w:type="dxa"/>
        <w:tblCellMar>
          <w:top w:w="0" w:type="dxa"/>
          <w:left w:w="0" w:type="dxa"/>
          <w:bottom w:w="0" w:type="dxa"/>
          <w:right w:w="0" w:type="dxa"/>
        </w:tblCellMar>
      </w:tblPr>
      <w:tr>
        <w:trPr>
          <w:trHeight w:val="238"/>
        </w:trPr>
        <w:tc>
          <w:tcPr>
            <w:tcW w:w="460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period)</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7,800,000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2,800,000</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4,500,000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2,825,550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2,811,900</w:t>
            </w:r>
          </w:p>
        </w:tc>
      </w:tr>
      <w:tr>
        <w:trPr>
          <w:trHeight w:val="251"/>
        </w:trPr>
        <w:tc>
          <w:tcPr>
            <w:tcW w:w="4600" w:type="dxa"/>
            <w:vAlign w:val="bottom"/>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Continued coverage under health and welfare</w:t>
            </w: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460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benefit plans for two years</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33,930</w:t>
            </w:r>
          </w:p>
        </w:tc>
      </w:tr>
      <w:tr>
        <w:trPr>
          <w:trHeight w:val="259"/>
        </w:trPr>
        <w:tc>
          <w:tcPr>
            <w:tcW w:w="460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Accelerated vesting of stock options</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1,830,343</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71,571</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518,420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347,154</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375,479</w:t>
            </w:r>
          </w:p>
        </w:tc>
      </w:tr>
      <w:tr>
        <w:trPr>
          <w:trHeight w:val="259"/>
        </w:trPr>
        <w:tc>
          <w:tcPr>
            <w:tcW w:w="460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Prorated accelerated payment of PSUs</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9,084,862</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261,162</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2,607,225</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1,767,347</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1,767,347</w:t>
            </w:r>
          </w:p>
        </w:tc>
      </w:tr>
      <w:tr>
        <w:trPr>
          <w:trHeight w:val="259"/>
        </w:trPr>
        <w:tc>
          <w:tcPr>
            <w:tcW w:w="460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Accelerated payment of PSUs replacement grant</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9,336,064</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250,323</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2,541,898</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1,722,526</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1,722,526</w:t>
            </w:r>
          </w:p>
        </w:tc>
      </w:tr>
      <w:tr>
        <w:trPr>
          <w:trHeight w:val="259"/>
        </w:trPr>
        <w:tc>
          <w:tcPr>
            <w:tcW w:w="460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Accelerated vesting of RSUs</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905,645</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1,007,370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2,005,952</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4600" w:type="dxa"/>
            <w:vAlign w:val="bottom"/>
            <w:tcBorders>
              <w:bottom w:val="single" w:sz="8" w:color="0C3D25"/>
            </w:tcBorders>
          </w:tcPr>
          <w:p>
            <w:pPr>
              <w:ind w:left="60"/>
              <w:spacing w:after="0" w:line="268"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Prorated annual cash bonus</w:t>
            </w:r>
            <w:r>
              <w:rPr>
                <w:rFonts w:ascii="Arial" w:cs="Arial" w:eastAsia="Arial" w:hAnsi="Arial"/>
                <w:sz w:val="25"/>
                <w:szCs w:val="25"/>
                <w:color w:val="000000"/>
                <w:vertAlign w:val="superscript"/>
              </w:rPr>
              <w:t>(2)</w:t>
            </w:r>
          </w:p>
        </w:tc>
        <w:tc>
          <w:tcPr>
            <w:tcW w:w="12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4,800,000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700,000</w:t>
            </w:r>
          </w:p>
        </w:tc>
        <w:tc>
          <w:tcPr>
            <w:tcW w:w="11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2,500,000</w:t>
            </w:r>
          </w:p>
        </w:tc>
        <w:tc>
          <w:tcPr>
            <w:tcW w:w="102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688,275</w:t>
            </w:r>
          </w:p>
        </w:tc>
        <w:tc>
          <w:tcPr>
            <w:tcW w:w="104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684,950</w:t>
            </w:r>
          </w:p>
        </w:tc>
      </w:tr>
      <w:tr>
        <w:trPr>
          <w:trHeight w:val="243"/>
        </w:trPr>
        <w:tc>
          <w:tcPr>
            <w:tcW w:w="460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32,885,199</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5,022,631</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13,708,843</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9,390,734</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7,396,132</w:t>
            </w:r>
          </w:p>
        </w:tc>
      </w:tr>
      <w:tr>
        <w:trPr>
          <w:trHeight w:val="32"/>
        </w:trPr>
        <w:tc>
          <w:tcPr>
            <w:tcW w:w="4600" w:type="dxa"/>
            <w:vAlign w:val="bottom"/>
            <w:tcBorders>
              <w:bottom w:val="single" w:sz="8" w:color="0C3D25"/>
            </w:tcBorders>
          </w:tcPr>
          <w:p>
            <w:pPr>
              <w:spacing w:after="0"/>
              <w:rPr>
                <w:sz w:val="2"/>
                <w:szCs w:val="2"/>
                <w:color w:val="auto"/>
              </w:rPr>
            </w:pPr>
          </w:p>
        </w:tc>
        <w:tc>
          <w:tcPr>
            <w:tcW w:w="1240" w:type="dxa"/>
            <w:vAlign w:val="bottom"/>
            <w:tcBorders>
              <w:bottom w:val="single" w:sz="8" w:color="0C3D25"/>
            </w:tcBorders>
          </w:tcPr>
          <w:p>
            <w:pPr>
              <w:spacing w:after="0"/>
              <w:rPr>
                <w:sz w:val="2"/>
                <w:szCs w:val="2"/>
                <w:color w:val="auto"/>
              </w:rPr>
            </w:pPr>
          </w:p>
        </w:tc>
        <w:tc>
          <w:tcPr>
            <w:tcW w:w="10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020" w:type="dxa"/>
            <w:vAlign w:val="bottom"/>
            <w:tcBorders>
              <w:bottom w:val="single" w:sz="8" w:color="0C3D25"/>
            </w:tcBorders>
          </w:tcPr>
          <w:p>
            <w:pPr>
              <w:spacing w:after="0"/>
              <w:rPr>
                <w:sz w:val="2"/>
                <w:szCs w:val="2"/>
                <w:color w:val="auto"/>
              </w:rPr>
            </w:pPr>
          </w:p>
        </w:tc>
        <w:tc>
          <w:tcPr>
            <w:tcW w:w="104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jc w:val="both"/>
        <w:ind w:left="402" w:hanging="402"/>
        <w:spacing w:after="0" w:line="249" w:lineRule="auto"/>
        <w:tabs>
          <w:tab w:leader="none" w:pos="4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Messrs. Fish and Morris have met the age and service conditions for a qualifying retirement. RSUs, PSUs and stock options generally continue to vest following a qualifying retirement as if the employee had remained employed until the end of the performance period.</w:t>
      </w:r>
    </w:p>
    <w:p>
      <w:pPr>
        <w:spacing w:after="0" w:line="122" w:lineRule="exact"/>
        <w:rPr>
          <w:rFonts w:ascii="Arial" w:cs="Arial" w:eastAsia="Arial" w:hAnsi="Arial"/>
          <w:sz w:val="20"/>
          <w:szCs w:val="20"/>
          <w:color w:val="auto"/>
        </w:rPr>
      </w:pPr>
    </w:p>
    <w:p>
      <w:pPr>
        <w:jc w:val="both"/>
        <w:ind w:left="402" w:hanging="402"/>
        <w:spacing w:after="0" w:line="249" w:lineRule="auto"/>
        <w:tabs>
          <w:tab w:leader="none" w:pos="4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Pursuant to the Severance Protection Plan, Mr. Reed, Ms. Hemmer and Mr. Carrasco receive a prorated target annual cash bonus under this scenario. Mr. Fish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6" w:name="page67"/>
    <w:bookmarkEnd w:id="66"/>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Chief Executive Officer Pay Ratio</w:t>
      </w:r>
    </w:p>
    <w:p>
      <w:pPr>
        <w:spacing w:after="0" w:line="81" w:lineRule="exact"/>
        <w:rPr>
          <w:sz w:val="20"/>
          <w:szCs w:val="20"/>
          <w:color w:val="auto"/>
        </w:rPr>
      </w:pPr>
    </w:p>
    <w:p>
      <w:pPr>
        <w:jc w:val="both"/>
        <w:ind w:left="2"/>
        <w:spacing w:after="0" w:line="263" w:lineRule="auto"/>
        <w:rPr>
          <w:sz w:val="20"/>
          <w:szCs w:val="20"/>
          <w:color w:val="auto"/>
        </w:rPr>
      </w:pPr>
      <w:r>
        <w:rPr>
          <w:rFonts w:ascii="Arial" w:cs="Arial" w:eastAsia="Arial" w:hAnsi="Arial"/>
          <w:sz w:val="18"/>
          <w:szCs w:val="18"/>
          <w:color w:val="auto"/>
        </w:rPr>
        <w:t>In 2025,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2024 and converted to U.S. dollars at appropriate exchange rates for non-U.S. employees. We did not apply any cost-of-living adjustments, nor did we use any form of statistical sampling. The Median Employee, a Fleet Shift Supervisor in the U.S., was identified from a list of Company employees as of December 1, 2024. Out of a total worldwide employee population of 61,817 on that date, the list included 58,862 employees and excluded the Chief Executive Officer and 2,954 non-U.S. employees. The number of employees excluded from the list of Company employees comprised 4.8% of our total employee population on such date, and the breakdown of the number of excluded employees and the respective jurisdiction of those employees is as follows: India — 1,509; Spain — 703; Portugal — 443; Ireland — 143; France — 75; Germany — 67; Belgium — 10; Netherlands — 3; and Luxembourg — 1. Of the Company employees that were included on the list of employees as of December 1, 2024, for purposes of identifying the Median Employee, approximately 92.1% of these total employees work in the U.S., 5.3% work in Canada, and 2.6% work in United Kingdom. Over 99% of these individuals are full-time employees. Any temporary or seasonal employees are included; any subcontracted workers are not employees and are excluded. For 2025, total annual compensation for the Median Employee was $100,067.27. The annual compensation of our Chief Executive Officer was $19,048,786, for a ratio of 1:190. These values were calculated in accordance with SEC Regulation S-K, Item 402(c)(2)(x) requirements for reporting total compensation in the Summary Compensation Table.</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Equity Compensation Plan Table</w:t>
      </w:r>
    </w:p>
    <w:p>
      <w:pPr>
        <w:spacing w:after="0" w:line="81" w:lineRule="exact"/>
        <w:rPr>
          <w:sz w:val="20"/>
          <w:szCs w:val="20"/>
          <w:color w:val="auto"/>
        </w:rPr>
      </w:pPr>
    </w:p>
    <w:p>
      <w:pPr>
        <w:jc w:val="both"/>
        <w:ind w:left="2"/>
        <w:spacing w:after="0" w:line="273" w:lineRule="auto"/>
        <w:rPr>
          <w:sz w:val="20"/>
          <w:szCs w:val="20"/>
          <w:color w:val="auto"/>
        </w:rPr>
      </w:pPr>
      <w:r>
        <w:rPr>
          <w:rFonts w:ascii="Arial" w:cs="Arial" w:eastAsia="Arial" w:hAnsi="Arial"/>
          <w:sz w:val="19"/>
          <w:szCs w:val="19"/>
          <w:color w:val="auto"/>
        </w:rPr>
        <w:t>The following table provides information as of December 31, 2025 about the number of shares to be issued upon vesting or exercise of equity awards and shares remaining available for issuance under our equity compensation plans.</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0C3D25"/>
              </w:rPr>
              <w:t>Number of</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C3D25"/>
              </w:rPr>
              <w:t>Number of</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Securities</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C3D25"/>
              </w:rPr>
              <w:t>Securities to be</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Remaining</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C3D25"/>
              </w:rPr>
              <w:t>Issued Upon</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C3D25"/>
              </w:rPr>
              <w:t>Weighted-Average</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Available for</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C3D25"/>
              </w:rPr>
              <w:t>Exercise</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C3D25"/>
              </w:rPr>
              <w:t>Exercise Price of</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Future Issuance</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C3D25"/>
              </w:rPr>
              <w:t>of Outstanding</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C3D25"/>
              </w:rPr>
              <w:t>Outstanding</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Under Equity</w:t>
            </w:r>
          </w:p>
        </w:tc>
      </w:tr>
      <w:tr>
        <w:trPr>
          <w:trHeight w:val="181"/>
        </w:trPr>
        <w:tc>
          <w:tcPr>
            <w:tcW w:w="5220" w:type="dxa"/>
            <w:vAlign w:val="bottom"/>
            <w:tcBorders>
              <w:bottom w:val="single" w:sz="8" w:color="0C3D25"/>
            </w:tcBorders>
          </w:tcPr>
          <w:p>
            <w:pPr>
              <w:ind w:left="60"/>
              <w:spacing w:after="0" w:line="181" w:lineRule="exact"/>
              <w:rPr>
                <w:sz w:val="20"/>
                <w:szCs w:val="20"/>
                <w:color w:val="auto"/>
              </w:rPr>
            </w:pPr>
            <w:r>
              <w:rPr>
                <w:rFonts w:ascii="Arial" w:cs="Arial" w:eastAsia="Arial" w:hAnsi="Arial"/>
                <w:sz w:val="16"/>
                <w:szCs w:val="16"/>
                <w:b w:val="1"/>
                <w:bCs w:val="1"/>
                <w:color w:val="0C3D25"/>
              </w:rPr>
              <w:t>Plan Category</w:t>
            </w:r>
          </w:p>
        </w:tc>
        <w:tc>
          <w:tcPr>
            <w:tcW w:w="1660" w:type="dxa"/>
            <w:vAlign w:val="bottom"/>
            <w:tcBorders>
              <w:bottom w:val="single" w:sz="8" w:color="0C3D25"/>
            </w:tcBorders>
          </w:tcPr>
          <w:p>
            <w:pPr>
              <w:jc w:val="right"/>
              <w:ind w:right="37"/>
              <w:spacing w:after="0" w:line="181" w:lineRule="exact"/>
              <w:rPr>
                <w:sz w:val="20"/>
                <w:szCs w:val="20"/>
                <w:color w:val="auto"/>
              </w:rPr>
            </w:pPr>
            <w:r>
              <w:rPr>
                <w:rFonts w:ascii="Arial" w:cs="Arial" w:eastAsia="Arial" w:hAnsi="Arial"/>
                <w:sz w:val="16"/>
                <w:szCs w:val="16"/>
                <w:b w:val="1"/>
                <w:bCs w:val="1"/>
                <w:color w:val="0C3D25"/>
              </w:rPr>
              <w:t>Options and Rights</w:t>
            </w:r>
          </w:p>
        </w:tc>
        <w:tc>
          <w:tcPr>
            <w:tcW w:w="1560" w:type="dxa"/>
            <w:vAlign w:val="bottom"/>
            <w:tcBorders>
              <w:bottom w:val="single" w:sz="8" w:color="0C3D25"/>
            </w:tcBorders>
          </w:tcPr>
          <w:p>
            <w:pPr>
              <w:jc w:val="right"/>
              <w:ind w:right="36"/>
              <w:spacing w:after="0" w:line="181" w:lineRule="exact"/>
              <w:rPr>
                <w:sz w:val="20"/>
                <w:szCs w:val="20"/>
                <w:color w:val="auto"/>
              </w:rPr>
            </w:pPr>
            <w:r>
              <w:rPr>
                <w:rFonts w:ascii="Arial" w:cs="Arial" w:eastAsia="Arial" w:hAnsi="Arial"/>
                <w:sz w:val="16"/>
                <w:szCs w:val="16"/>
                <w:b w:val="1"/>
                <w:bCs w:val="1"/>
                <w:color w:val="0C3D25"/>
                <w:w w:val="96"/>
              </w:rPr>
              <w:t>Options and Rights</w:t>
            </w:r>
          </w:p>
        </w:tc>
        <w:tc>
          <w:tcPr>
            <w:tcW w:w="1620" w:type="dxa"/>
            <w:vAlign w:val="bottom"/>
            <w:tcBorders>
              <w:bottom w:val="single" w:sz="8" w:color="0C3D25"/>
            </w:tcBorders>
          </w:tcPr>
          <w:p>
            <w:pPr>
              <w:jc w:val="right"/>
              <w:spacing w:after="0" w:line="181" w:lineRule="exact"/>
              <w:rPr>
                <w:sz w:val="20"/>
                <w:szCs w:val="20"/>
                <w:color w:val="auto"/>
              </w:rPr>
            </w:pPr>
            <w:r>
              <w:rPr>
                <w:rFonts w:ascii="Arial" w:cs="Arial" w:eastAsia="Arial" w:hAnsi="Arial"/>
                <w:sz w:val="16"/>
                <w:szCs w:val="16"/>
                <w:b w:val="1"/>
                <w:bCs w:val="1"/>
                <w:color w:val="0C3D25"/>
                <w:w w:val="97"/>
              </w:rPr>
              <w:t>Compensation Plans</w:t>
            </w:r>
          </w:p>
        </w:tc>
      </w:tr>
      <w:tr>
        <w:trPr>
          <w:trHeight w:val="324"/>
        </w:trPr>
        <w:tc>
          <w:tcPr>
            <w:tcW w:w="5220" w:type="dxa"/>
            <w:vAlign w:val="bottom"/>
          </w:tcPr>
          <w:p>
            <w:pPr>
              <w:ind w:left="60"/>
              <w:spacing w:after="0"/>
              <w:rPr>
                <w:sz w:val="20"/>
                <w:szCs w:val="20"/>
                <w:color w:val="auto"/>
              </w:rPr>
            </w:pPr>
            <w:r>
              <w:rPr>
                <w:rFonts w:ascii="Arial" w:cs="Arial" w:eastAsia="Arial" w:hAnsi="Arial"/>
                <w:sz w:val="20"/>
                <w:szCs w:val="20"/>
                <w:color w:val="auto"/>
                <w:w w:val="98"/>
              </w:rPr>
              <w:t>Equity compensation plans approved by security holders</w:t>
            </w:r>
            <w:r>
              <w:rPr>
                <w:rFonts w:ascii="Arial" w:cs="Arial" w:eastAsia="Arial" w:hAnsi="Arial"/>
                <w:sz w:val="25"/>
                <w:szCs w:val="25"/>
                <w:color w:val="auto"/>
                <w:w w:val="98"/>
                <w:vertAlign w:val="superscript"/>
              </w:rPr>
              <w:t>(1)</w:t>
            </w:r>
          </w:p>
        </w:tc>
        <w:tc>
          <w:tcPr>
            <w:tcW w:w="1660" w:type="dxa"/>
            <w:vAlign w:val="bottom"/>
          </w:tcPr>
          <w:p>
            <w:pPr>
              <w:jc w:val="right"/>
              <w:ind w:right="137"/>
              <w:spacing w:after="0"/>
              <w:rPr>
                <w:sz w:val="20"/>
                <w:szCs w:val="20"/>
                <w:color w:val="auto"/>
              </w:rPr>
            </w:pPr>
            <w:r>
              <w:rPr>
                <w:rFonts w:ascii="Arial" w:cs="Arial" w:eastAsia="Arial" w:hAnsi="Arial"/>
                <w:sz w:val="20"/>
                <w:szCs w:val="20"/>
                <w:color w:val="auto"/>
              </w:rPr>
              <w:t>3,287,876</w:t>
            </w:r>
            <w:r>
              <w:rPr>
                <w:rFonts w:ascii="Arial" w:cs="Arial" w:eastAsia="Arial" w:hAnsi="Arial"/>
                <w:sz w:val="25"/>
                <w:szCs w:val="25"/>
                <w:color w:val="auto"/>
                <w:vertAlign w:val="superscript"/>
              </w:rPr>
              <w:t>(2)</w:t>
            </w:r>
          </w:p>
        </w:tc>
        <w:tc>
          <w:tcPr>
            <w:tcW w:w="1560" w:type="dxa"/>
            <w:vAlign w:val="bottom"/>
          </w:tcPr>
          <w:p>
            <w:pPr>
              <w:jc w:val="right"/>
              <w:ind w:right="196"/>
              <w:spacing w:after="0"/>
              <w:rPr>
                <w:sz w:val="20"/>
                <w:szCs w:val="20"/>
                <w:color w:val="auto"/>
              </w:rPr>
            </w:pPr>
            <w:r>
              <w:rPr>
                <w:rFonts w:ascii="Arial" w:cs="Arial" w:eastAsia="Arial" w:hAnsi="Arial"/>
                <w:sz w:val="20"/>
                <w:szCs w:val="20"/>
                <w:color w:val="auto"/>
              </w:rPr>
              <w:t>$143.20</w:t>
            </w:r>
            <w:r>
              <w:rPr>
                <w:rFonts w:ascii="Arial" w:cs="Arial" w:eastAsia="Arial" w:hAnsi="Arial"/>
                <w:sz w:val="25"/>
                <w:szCs w:val="25"/>
                <w:color w:val="auto"/>
                <w:vertAlign w:val="superscript"/>
              </w:rPr>
              <w:t>(3)</w:t>
            </w:r>
          </w:p>
        </w:tc>
        <w:tc>
          <w:tcPr>
            <w:tcW w:w="1620" w:type="dxa"/>
            <w:vAlign w:val="bottom"/>
          </w:tcPr>
          <w:p>
            <w:pPr>
              <w:jc w:val="right"/>
              <w:ind w:right="78"/>
              <w:spacing w:after="0"/>
              <w:rPr>
                <w:sz w:val="20"/>
                <w:szCs w:val="20"/>
                <w:color w:val="auto"/>
              </w:rPr>
            </w:pPr>
            <w:r>
              <w:rPr>
                <w:rFonts w:ascii="Arial" w:cs="Arial" w:eastAsia="Arial" w:hAnsi="Arial"/>
                <w:sz w:val="20"/>
                <w:szCs w:val="20"/>
                <w:color w:val="auto"/>
              </w:rPr>
              <w:t>13,864,956</w:t>
            </w:r>
            <w:r>
              <w:rPr>
                <w:rFonts w:ascii="Arial" w:cs="Arial" w:eastAsia="Arial" w:hAnsi="Arial"/>
                <w:sz w:val="25"/>
                <w:szCs w:val="25"/>
                <w:color w:val="auto"/>
                <w:vertAlign w:val="superscript"/>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38619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499pt" to="502.85pt,-0.2499pt" o:allowincell="f" strokecolor="#0C3D25" strokeweight="0.7969pt"/>
            </w:pict>
          </mc:Fallback>
        </mc:AlternateContent>
      </w:r>
    </w:p>
    <w:p>
      <w:pPr>
        <w:ind w:left="402" w:hanging="402"/>
        <w:spacing w:after="0" w:line="238" w:lineRule="auto"/>
        <w:tabs>
          <w:tab w:leader="none" w:pos="402"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Includes our 2014 Stock Incentive Plan, 2023 Stock Incentive Plan and Employee Stock Purchase Plan (“ESPP”). No additional awards may be granted under our 2014 Stock Incentive Plan.</w:t>
      </w:r>
    </w:p>
    <w:p>
      <w:pPr>
        <w:spacing w:after="0" w:line="58" w:lineRule="exact"/>
        <w:rPr>
          <w:rFonts w:ascii="Arial" w:cs="Arial" w:eastAsia="Arial" w:hAnsi="Arial"/>
          <w:sz w:val="20"/>
          <w:szCs w:val="20"/>
          <w:color w:val="auto"/>
        </w:rPr>
      </w:pPr>
    </w:p>
    <w:p>
      <w:pPr>
        <w:jc w:val="both"/>
        <w:ind w:left="402" w:hanging="402"/>
        <w:spacing w:after="0" w:line="270"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options outstanding for 1,818,562 shares of Common Stock; 175,999 shares of Common Stock to be issued in connection with deferred compensation obligations; 420,090 shares underlying unvested RSUs and 873,225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873,225 shares.</w:t>
      </w:r>
    </w:p>
    <w:p>
      <w:pPr>
        <w:spacing w:after="0" w:line="33" w:lineRule="exact"/>
        <w:rPr>
          <w:rFonts w:ascii="Arial" w:cs="Arial" w:eastAsia="Arial" w:hAnsi="Arial"/>
          <w:sz w:val="18"/>
          <w:szCs w:val="18"/>
          <w:color w:val="auto"/>
        </w:rPr>
      </w:pPr>
    </w:p>
    <w:p>
      <w:pPr>
        <w:jc w:val="both"/>
        <w:ind w:left="402"/>
        <w:spacing w:after="0" w:line="252" w:lineRule="auto"/>
        <w:rPr>
          <w:rFonts w:ascii="Arial" w:cs="Arial" w:eastAsia="Arial" w:hAnsi="Arial"/>
          <w:sz w:val="18"/>
          <w:szCs w:val="18"/>
          <w:color w:val="auto"/>
        </w:rPr>
      </w:pPr>
      <w:r>
        <w:rPr>
          <w:rFonts w:ascii="Arial" w:cs="Arial" w:eastAsia="Arial" w:hAnsi="Arial"/>
          <w:sz w:val="19"/>
          <w:szCs w:val="19"/>
          <w:color w:val="auto"/>
        </w:rPr>
        <w:t>The total number of shares subject to outstanding awards in the table above includes 308,662 shares on account of PSUs, at target, with the performance period ended December 31, 2025. The determination of achievement of performance results on such PSUs was performed by the MD&amp;C Committee in January 2026, and the Company exceeded target performance criteria on the TSR PSUs and the Cash Flow PSUs, yielding an overall 115.99% payout. A total of 231,946 shares of Common Stock were issued on account of such PSUs in January 2026, net of units deferred, of which 189,790 shares of Common Stock were included in the first column of the table above.</w:t>
      </w:r>
    </w:p>
    <w:p>
      <w:pPr>
        <w:spacing w:after="0" w:line="48" w:lineRule="exact"/>
        <w:rPr>
          <w:rFonts w:ascii="Arial" w:cs="Arial" w:eastAsia="Arial" w:hAnsi="Arial"/>
          <w:sz w:val="18"/>
          <w:szCs w:val="18"/>
          <w:color w:val="auto"/>
        </w:rPr>
      </w:pPr>
    </w:p>
    <w:p>
      <w:pPr>
        <w:jc w:val="both"/>
        <w:ind w:left="402"/>
        <w:spacing w:after="0" w:line="237" w:lineRule="auto"/>
        <w:rPr>
          <w:rFonts w:ascii="Arial" w:cs="Arial" w:eastAsia="Arial" w:hAnsi="Arial"/>
          <w:sz w:val="18"/>
          <w:szCs w:val="18"/>
          <w:color w:val="auto"/>
        </w:rPr>
      </w:pPr>
      <w:r>
        <w:rPr>
          <w:rFonts w:ascii="Arial" w:cs="Arial" w:eastAsia="Arial" w:hAnsi="Arial"/>
          <w:sz w:val="20"/>
          <w:szCs w:val="20"/>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61" w:lineRule="exact"/>
        <w:rPr>
          <w:rFonts w:ascii="Arial" w:cs="Arial" w:eastAsia="Arial" w:hAnsi="Arial"/>
          <w:sz w:val="18"/>
          <w:szCs w:val="18"/>
          <w:color w:val="auto"/>
        </w:rPr>
      </w:pPr>
    </w:p>
    <w:p>
      <w:pPr>
        <w:ind w:left="402" w:hanging="402"/>
        <w:spacing w:after="0" w:line="238" w:lineRule="auto"/>
        <w:tabs>
          <w:tab w:leader="none" w:pos="402" w:val="left"/>
        </w:tabs>
        <w:numPr>
          <w:ilvl w:val="0"/>
          <w:numId w:val="41"/>
        </w:numPr>
        <w:rPr>
          <w:rFonts w:ascii="Arial" w:cs="Arial" w:eastAsia="Arial" w:hAnsi="Arial"/>
          <w:sz w:val="20"/>
          <w:szCs w:val="20"/>
          <w:color w:val="auto"/>
        </w:rPr>
      </w:pPr>
      <w:r>
        <w:rPr>
          <w:rFonts w:ascii="Arial" w:cs="Arial" w:eastAsia="Arial" w:hAnsi="Arial"/>
          <w:sz w:val="20"/>
          <w:szCs w:val="20"/>
          <w:color w:val="auto"/>
        </w:rPr>
        <w:t>Excludes PSUs and RSUs because those awards do not have exercise prices associated with them. Also excludes purchase rights under the ESPP for the reasons described in note (2) above.</w:t>
      </w:r>
    </w:p>
    <w:p>
      <w:pPr>
        <w:spacing w:after="0" w:line="58" w:lineRule="exact"/>
        <w:rPr>
          <w:rFonts w:ascii="Arial" w:cs="Arial" w:eastAsia="Arial" w:hAnsi="Arial"/>
          <w:sz w:val="20"/>
          <w:szCs w:val="20"/>
          <w:color w:val="auto"/>
        </w:rPr>
      </w:pPr>
    </w:p>
    <w:p>
      <w:pPr>
        <w:jc w:val="both"/>
        <w:ind w:left="402" w:hanging="402"/>
        <w:spacing w:after="0" w:line="256" w:lineRule="auto"/>
        <w:tabs>
          <w:tab w:leader="none" w:pos="40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shares remaining available include 949,504 shares under our ESPP and 12,915,452 shares under our 2023 Stock Incentive Plan, assuming payout of PSUs at maximum. Assuming payout of PSUs at target, the number of shares remaining available for issuance under our 2023 Stock Incentive Plan would be 13,788,677.</w:t>
      </w:r>
    </w:p>
    <w:p>
      <w:pPr>
        <w:spacing w:after="0" w:line="200" w:lineRule="exact"/>
        <w:rPr>
          <w:sz w:val="20"/>
          <w:szCs w:val="20"/>
          <w:color w:val="auto"/>
        </w:rPr>
      </w:pPr>
    </w:p>
    <w:p>
      <w:pPr>
        <w:spacing w:after="0" w:line="214"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5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67" w:name="page68"/>
    <w:bookmarkEnd w:id="67"/>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PAY VERSUS PERFORMANCE</w:t>
      </w:r>
    </w:p>
    <w:p>
      <w:pPr>
        <w:spacing w:after="0" w:line="141"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 xml:space="preserve">We are required to calculate and present the following compensation information in the tabular format prescribed by the SEC.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other executive compensation tables above should be read in conjunction with this section to gain a complete understanding of our executive compensation philosophy, programs and decisions.</w:t>
      </w:r>
    </w:p>
    <w:p>
      <w:pPr>
        <w:spacing w:after="0" w:line="123" w:lineRule="exact"/>
        <w:rPr>
          <w:sz w:val="20"/>
          <w:szCs w:val="20"/>
          <w:color w:val="auto"/>
        </w:rPr>
      </w:pPr>
    </w:p>
    <w:p>
      <w:pPr>
        <w:jc w:val="both"/>
        <w:ind w:left="2"/>
        <w:spacing w:after="0" w:line="281"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97"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2025. This measure is also discussed in our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Analysis </w:t>
      </w:r>
      <w:r>
        <w:rPr>
          <w:rFonts w:ascii="Arial" w:cs="Arial" w:eastAsia="Arial" w:hAnsi="Arial"/>
          <w:sz w:val="20"/>
          <w:szCs w:val="20"/>
          <w:color w:val="auto"/>
        </w:rPr>
        <w:t>and is generally defined as the Company’s income from operations, excluding depreciation, depletion and</w:t>
      </w:r>
      <w:r>
        <w:rPr>
          <w:rFonts w:ascii="Arial" w:cs="Arial" w:eastAsia="Arial" w:hAnsi="Arial"/>
          <w:sz w:val="20"/>
          <w:szCs w:val="20"/>
          <w:i w:val="1"/>
          <w:iCs w:val="1"/>
          <w:color w:val="auto"/>
        </w:rPr>
        <w:t xml:space="preserve"> </w:t>
      </w:r>
      <w:r>
        <w:rPr>
          <w:rFonts w:ascii="Arial" w:cs="Arial" w:eastAsia="Arial" w:hAnsi="Arial"/>
          <w:sz w:val="20"/>
          <w:szCs w:val="20"/>
          <w:color w:val="auto"/>
        </w:rPr>
        <w:t>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B for approved adjustments to the Operating EBITDA incentive performance measure results and a reconciliation of this non-GAAP measure to the most comparable GAAP measure.</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Pay Versus Performance Table</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gridSpan w:val="2"/>
          </w:tcPr>
          <w:p>
            <w:pPr>
              <w:jc w:val="right"/>
              <w:ind w:right="29"/>
              <w:spacing w:after="0"/>
              <w:rPr>
                <w:sz w:val="20"/>
                <w:szCs w:val="20"/>
                <w:color w:val="auto"/>
              </w:rPr>
            </w:pPr>
            <w:r>
              <w:rPr>
                <w:rFonts w:ascii="Arial" w:cs="Arial" w:eastAsia="Arial" w:hAnsi="Arial"/>
                <w:sz w:val="16"/>
                <w:szCs w:val="16"/>
                <w:b w:val="1"/>
                <w:bCs w:val="1"/>
                <w:color w:val="0C3D25"/>
              </w:rPr>
              <w:t>Value of Initial</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0"/>
        </w:trPr>
        <w:tc>
          <w:tcPr>
            <w:tcW w:w="1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gridSpan w:val="2"/>
          </w:tcPr>
          <w:p>
            <w:pPr>
              <w:ind w:left="220"/>
              <w:spacing w:after="0" w:line="160" w:lineRule="exact"/>
              <w:rPr>
                <w:sz w:val="20"/>
                <w:szCs w:val="20"/>
                <w:color w:val="auto"/>
              </w:rPr>
            </w:pPr>
            <w:r>
              <w:rPr>
                <w:rFonts w:ascii="Arial" w:cs="Arial" w:eastAsia="Arial" w:hAnsi="Arial"/>
                <w:sz w:val="16"/>
                <w:szCs w:val="16"/>
                <w:b w:val="1"/>
                <w:bCs w:val="1"/>
                <w:color w:val="0C3D25"/>
              </w:rPr>
              <w:t>Fixed $100</w:t>
            </w: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0"/>
        </w:trPr>
        <w:tc>
          <w:tcPr>
            <w:tcW w:w="1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gridSpan w:val="2"/>
          </w:tcPr>
          <w:p>
            <w:pPr>
              <w:ind w:left="220"/>
              <w:spacing w:after="0" w:line="150" w:lineRule="exact"/>
              <w:rPr>
                <w:sz w:val="20"/>
                <w:szCs w:val="20"/>
                <w:color w:val="auto"/>
              </w:rPr>
            </w:pPr>
            <w:r>
              <w:rPr>
                <w:rFonts w:ascii="Arial" w:cs="Arial" w:eastAsia="Arial" w:hAnsi="Arial"/>
                <w:sz w:val="16"/>
                <w:szCs w:val="16"/>
                <w:b w:val="1"/>
                <w:bCs w:val="1"/>
                <w:color w:val="0C3D25"/>
              </w:rPr>
              <w:t>Investment</w:t>
            </w: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5"/>
        </w:trPr>
        <w:tc>
          <w:tcPr>
            <w:tcW w:w="1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C3D25"/>
                <w:w w:val="90"/>
              </w:rPr>
              <w:t>Average SCT</w:t>
            </w: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0C3D25"/>
              </w:rPr>
              <w:t>Average</w:t>
            </w:r>
          </w:p>
        </w:tc>
        <w:tc>
          <w:tcPr>
            <w:tcW w:w="1240" w:type="dxa"/>
            <w:vAlign w:val="bottom"/>
            <w:tcBorders>
              <w:bottom w:val="single" w:sz="8" w:color="0C3D25"/>
            </w:tcBorders>
            <w:gridSpan w:val="2"/>
          </w:tcPr>
          <w:p>
            <w:pPr>
              <w:ind w:left="200"/>
              <w:spacing w:after="0" w:line="215" w:lineRule="exact"/>
              <w:rPr>
                <w:sz w:val="20"/>
                <w:szCs w:val="20"/>
                <w:color w:val="auto"/>
              </w:rPr>
            </w:pPr>
            <w:r>
              <w:rPr>
                <w:rFonts w:ascii="Arial" w:cs="Arial" w:eastAsia="Arial" w:hAnsi="Arial"/>
                <w:sz w:val="16"/>
                <w:szCs w:val="16"/>
                <w:b w:val="1"/>
                <w:bCs w:val="1"/>
                <w:color w:val="0C3D25"/>
              </w:rPr>
              <w:t>Based on:</w:t>
            </w:r>
            <w:r>
              <w:rPr>
                <w:rFonts w:ascii="Arial" w:cs="Arial" w:eastAsia="Arial" w:hAnsi="Arial"/>
                <w:sz w:val="19"/>
                <w:szCs w:val="19"/>
                <w:b w:val="1"/>
                <w:bCs w:val="1"/>
                <w:color w:val="0C3D25"/>
                <w:vertAlign w:val="superscript"/>
              </w:rPr>
              <w:t>(3)</w:t>
            </w: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60"/>
        </w:trPr>
        <w:tc>
          <w:tcPr>
            <w:tcW w:w="1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C3D25"/>
              </w:rPr>
              <w:t>Total for</w:t>
            </w:r>
          </w:p>
        </w:tc>
        <w:tc>
          <w:tcPr>
            <w:tcW w:w="1180" w:type="dxa"/>
            <w:vAlign w:val="bottom"/>
          </w:tcPr>
          <w:p>
            <w:pPr>
              <w:jc w:val="right"/>
              <w:ind w:right="34"/>
              <w:spacing w:after="0" w:line="160" w:lineRule="exact"/>
              <w:rPr>
                <w:sz w:val="20"/>
                <w:szCs w:val="20"/>
                <w:color w:val="auto"/>
              </w:rPr>
            </w:pPr>
            <w:r>
              <w:rPr>
                <w:rFonts w:ascii="Arial" w:cs="Arial" w:eastAsia="Arial" w:hAnsi="Arial"/>
                <w:sz w:val="16"/>
                <w:szCs w:val="16"/>
                <w:b w:val="1"/>
                <w:bCs w:val="1"/>
                <w:color w:val="0C3D25"/>
              </w:rPr>
              <w:t>Non-CEO</w:t>
            </w:r>
          </w:p>
        </w:tc>
        <w:tc>
          <w:tcPr>
            <w:tcW w:w="580" w:type="dxa"/>
            <w:vAlign w:val="bottom"/>
          </w:tcPr>
          <w:p>
            <w:pPr>
              <w:spacing w:after="0"/>
              <w:rPr>
                <w:sz w:val="13"/>
                <w:szCs w:val="13"/>
                <w:color w:val="auto"/>
              </w:rPr>
            </w:pPr>
          </w:p>
        </w:tc>
        <w:tc>
          <w:tcPr>
            <w:tcW w:w="66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C3D25"/>
              </w:rPr>
              <w:t>Peer</w:t>
            </w:r>
          </w:p>
        </w:tc>
        <w:tc>
          <w:tcPr>
            <w:tcW w:w="1180" w:type="dxa"/>
            <w:vAlign w:val="bottom"/>
          </w:tcPr>
          <w:p>
            <w:pPr>
              <w:spacing w:after="0"/>
              <w:rPr>
                <w:sz w:val="13"/>
                <w:szCs w:val="13"/>
                <w:color w:val="auto"/>
              </w:rPr>
            </w:pPr>
          </w:p>
        </w:tc>
        <w:tc>
          <w:tcPr>
            <w:tcW w:w="110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CSM:</w:t>
            </w:r>
          </w:p>
        </w:tc>
      </w:tr>
      <w:tr>
        <w:trPr>
          <w:trHeight w:val="150"/>
        </w:trPr>
        <w:tc>
          <w:tcPr>
            <w:tcW w:w="1240" w:type="dxa"/>
            <w:vAlign w:val="bottom"/>
          </w:tcPr>
          <w:p>
            <w:pPr>
              <w:spacing w:after="0"/>
              <w:rPr>
                <w:sz w:val="13"/>
                <w:szCs w:val="13"/>
                <w:color w:val="auto"/>
              </w:rPr>
            </w:pPr>
          </w:p>
        </w:tc>
        <w:tc>
          <w:tcPr>
            <w:tcW w:w="180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C3D25"/>
              </w:rPr>
              <w:t>SCT Total</w:t>
            </w:r>
          </w:p>
        </w:tc>
        <w:tc>
          <w:tcPr>
            <w:tcW w:w="1180" w:type="dxa"/>
            <w:vAlign w:val="bottom"/>
          </w:tcPr>
          <w:p>
            <w:pPr>
              <w:spacing w:after="0"/>
              <w:rPr>
                <w:sz w:val="13"/>
                <w:szCs w:val="13"/>
                <w:color w:val="auto"/>
              </w:rPr>
            </w:pPr>
          </w:p>
        </w:tc>
        <w:tc>
          <w:tcPr>
            <w:tcW w:w="114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C3D25"/>
              </w:rPr>
              <w:t>Non-CEO</w:t>
            </w:r>
          </w:p>
        </w:tc>
        <w:tc>
          <w:tcPr>
            <w:tcW w:w="1180" w:type="dxa"/>
            <w:vAlign w:val="bottom"/>
          </w:tcPr>
          <w:p>
            <w:pPr>
              <w:jc w:val="right"/>
              <w:ind w:right="34"/>
              <w:spacing w:after="0" w:line="150" w:lineRule="exact"/>
              <w:rPr>
                <w:sz w:val="20"/>
                <w:szCs w:val="20"/>
                <w:color w:val="auto"/>
              </w:rPr>
            </w:pPr>
            <w:r>
              <w:rPr>
                <w:rFonts w:ascii="Arial" w:cs="Arial" w:eastAsia="Arial" w:hAnsi="Arial"/>
                <w:sz w:val="16"/>
                <w:szCs w:val="16"/>
                <w:b w:val="1"/>
                <w:bCs w:val="1"/>
                <w:color w:val="0C3D25"/>
              </w:rPr>
              <w:t>NEOs</w:t>
            </w:r>
          </w:p>
        </w:tc>
        <w:tc>
          <w:tcPr>
            <w:tcW w:w="580" w:type="dxa"/>
            <w:vAlign w:val="bottom"/>
          </w:tcPr>
          <w:p>
            <w:pPr>
              <w:jc w:val="right"/>
              <w:ind w:right="52"/>
              <w:spacing w:after="0" w:line="150" w:lineRule="exact"/>
              <w:rPr>
                <w:sz w:val="20"/>
                <w:szCs w:val="20"/>
                <w:color w:val="auto"/>
              </w:rPr>
            </w:pPr>
            <w:r>
              <w:rPr>
                <w:rFonts w:ascii="Arial" w:cs="Arial" w:eastAsia="Arial" w:hAnsi="Arial"/>
                <w:sz w:val="16"/>
                <w:szCs w:val="16"/>
                <w:b w:val="1"/>
                <w:bCs w:val="1"/>
                <w:color w:val="0C3D25"/>
              </w:rPr>
              <w:t>WM</w:t>
            </w:r>
          </w:p>
        </w:tc>
        <w:tc>
          <w:tcPr>
            <w:tcW w:w="660" w:type="dxa"/>
            <w:vAlign w:val="bottom"/>
          </w:tcPr>
          <w:p>
            <w:pPr>
              <w:jc w:val="center"/>
              <w:spacing w:after="0" w:line="150" w:lineRule="exact"/>
              <w:rPr>
                <w:sz w:val="20"/>
                <w:szCs w:val="20"/>
                <w:color w:val="auto"/>
              </w:rPr>
            </w:pPr>
            <w:r>
              <w:rPr>
                <w:rFonts w:ascii="Arial" w:cs="Arial" w:eastAsia="Arial" w:hAnsi="Arial"/>
                <w:sz w:val="16"/>
                <w:szCs w:val="16"/>
                <w:b w:val="1"/>
                <w:bCs w:val="1"/>
                <w:color w:val="0C3D25"/>
                <w:w w:val="87"/>
              </w:rPr>
              <w:t>Group</w:t>
            </w:r>
          </w:p>
        </w:tc>
        <w:tc>
          <w:tcPr>
            <w:tcW w:w="1180" w:type="dxa"/>
            <w:vAlign w:val="bottom"/>
          </w:tcPr>
          <w:p>
            <w:pPr>
              <w:spacing w:after="0"/>
              <w:rPr>
                <w:sz w:val="13"/>
                <w:szCs w:val="13"/>
                <w:color w:val="auto"/>
              </w:rPr>
            </w:pPr>
          </w:p>
        </w:tc>
        <w:tc>
          <w:tcPr>
            <w:tcW w:w="1100" w:type="dxa"/>
            <w:vAlign w:val="bottom"/>
          </w:tcPr>
          <w:p>
            <w:pPr>
              <w:ind w:left="340"/>
              <w:spacing w:after="0" w:line="150" w:lineRule="exact"/>
              <w:rPr>
                <w:sz w:val="20"/>
                <w:szCs w:val="20"/>
                <w:color w:val="auto"/>
              </w:rPr>
            </w:pPr>
            <w:r>
              <w:rPr>
                <w:rFonts w:ascii="Arial" w:cs="Arial" w:eastAsia="Arial" w:hAnsi="Arial"/>
                <w:sz w:val="16"/>
                <w:szCs w:val="16"/>
                <w:b w:val="1"/>
                <w:bCs w:val="1"/>
                <w:color w:val="0C3D25"/>
                <w:w w:val="97"/>
              </w:rPr>
              <w:t>Operating</w:t>
            </w:r>
          </w:p>
        </w:tc>
      </w:tr>
      <w:tr>
        <w:trPr>
          <w:trHeight w:val="170"/>
        </w:trPr>
        <w:tc>
          <w:tcPr>
            <w:tcW w:w="1240" w:type="dxa"/>
            <w:vAlign w:val="bottom"/>
          </w:tcPr>
          <w:p>
            <w:pPr>
              <w:spacing w:after="0"/>
              <w:rPr>
                <w:sz w:val="14"/>
                <w:szCs w:val="14"/>
                <w:color w:val="auto"/>
              </w:rPr>
            </w:pPr>
          </w:p>
        </w:tc>
        <w:tc>
          <w:tcPr>
            <w:tcW w:w="1800" w:type="dxa"/>
            <w:vAlign w:val="bottom"/>
          </w:tcPr>
          <w:p>
            <w:pPr>
              <w:jc w:val="right"/>
              <w:ind w:right="28"/>
              <w:spacing w:after="0" w:line="170" w:lineRule="exact"/>
              <w:rPr>
                <w:sz w:val="20"/>
                <w:szCs w:val="20"/>
                <w:color w:val="auto"/>
              </w:rPr>
            </w:pPr>
            <w:r>
              <w:rPr>
                <w:rFonts w:ascii="Arial" w:cs="Arial" w:eastAsia="Arial" w:hAnsi="Arial"/>
                <w:sz w:val="16"/>
                <w:szCs w:val="16"/>
                <w:b w:val="1"/>
                <w:bCs w:val="1"/>
                <w:color w:val="0C3D25"/>
              </w:rPr>
              <w:t>to CEO</w:t>
            </w:r>
            <w:r>
              <w:rPr>
                <w:rFonts w:ascii="Arial" w:cs="Arial" w:eastAsia="Arial" w:hAnsi="Arial"/>
                <w:sz w:val="19"/>
                <w:szCs w:val="19"/>
                <w:b w:val="1"/>
                <w:bCs w:val="1"/>
                <w:color w:val="0C3D25"/>
                <w:vertAlign w:val="superscript"/>
              </w:rPr>
              <w:t>(1)</w:t>
            </w:r>
          </w:p>
        </w:tc>
        <w:tc>
          <w:tcPr>
            <w:tcW w:w="1180" w:type="dxa"/>
            <w:vAlign w:val="bottom"/>
          </w:tcPr>
          <w:p>
            <w:pPr>
              <w:jc w:val="right"/>
              <w:ind w:right="32"/>
              <w:spacing w:after="0" w:line="170" w:lineRule="exact"/>
              <w:rPr>
                <w:sz w:val="20"/>
                <w:szCs w:val="20"/>
                <w:color w:val="auto"/>
              </w:rPr>
            </w:pPr>
            <w:r>
              <w:rPr>
                <w:rFonts w:ascii="Arial" w:cs="Arial" w:eastAsia="Arial" w:hAnsi="Arial"/>
                <w:sz w:val="19"/>
                <w:szCs w:val="19"/>
                <w:b w:val="1"/>
                <w:bCs w:val="1"/>
                <w:color w:val="0C3D25"/>
                <w:vertAlign w:val="subscript"/>
              </w:rPr>
              <w:t>CEO CAP</w:t>
            </w:r>
            <w:r>
              <w:rPr>
                <w:rFonts w:ascii="Arial" w:cs="Arial" w:eastAsia="Arial" w:hAnsi="Arial"/>
                <w:sz w:val="8"/>
                <w:szCs w:val="8"/>
                <w:b w:val="1"/>
                <w:bCs w:val="1"/>
                <w:color w:val="0C3D25"/>
              </w:rPr>
              <w:t>(1)(2)</w:t>
            </w:r>
          </w:p>
        </w:tc>
        <w:tc>
          <w:tcPr>
            <w:tcW w:w="1140" w:type="dxa"/>
            <w:vAlign w:val="bottom"/>
          </w:tcPr>
          <w:p>
            <w:pPr>
              <w:jc w:val="right"/>
              <w:ind w:right="30"/>
              <w:spacing w:after="0" w:line="170" w:lineRule="exact"/>
              <w:rPr>
                <w:sz w:val="20"/>
                <w:szCs w:val="20"/>
                <w:color w:val="auto"/>
              </w:rPr>
            </w:pPr>
            <w:r>
              <w:rPr>
                <w:rFonts w:ascii="Arial" w:cs="Arial" w:eastAsia="Arial" w:hAnsi="Arial"/>
                <w:sz w:val="16"/>
                <w:szCs w:val="16"/>
                <w:b w:val="1"/>
                <w:bCs w:val="1"/>
                <w:color w:val="0C3D25"/>
              </w:rPr>
              <w:t>NEOs</w:t>
            </w:r>
            <w:r>
              <w:rPr>
                <w:rFonts w:ascii="Arial" w:cs="Arial" w:eastAsia="Arial" w:hAnsi="Arial"/>
                <w:sz w:val="19"/>
                <w:szCs w:val="19"/>
                <w:b w:val="1"/>
                <w:bCs w:val="1"/>
                <w:color w:val="0C3D25"/>
                <w:vertAlign w:val="superscript"/>
              </w:rPr>
              <w:t>(1)</w:t>
            </w:r>
          </w:p>
        </w:tc>
        <w:tc>
          <w:tcPr>
            <w:tcW w:w="1180" w:type="dxa"/>
            <w:vAlign w:val="bottom"/>
          </w:tcPr>
          <w:p>
            <w:pPr>
              <w:jc w:val="right"/>
              <w:ind w:right="34"/>
              <w:spacing w:after="0" w:line="170" w:lineRule="exact"/>
              <w:rPr>
                <w:sz w:val="20"/>
                <w:szCs w:val="20"/>
                <w:color w:val="auto"/>
              </w:rPr>
            </w:pPr>
            <w:r>
              <w:rPr>
                <w:rFonts w:ascii="Arial" w:cs="Arial" w:eastAsia="Arial" w:hAnsi="Arial"/>
                <w:sz w:val="19"/>
                <w:szCs w:val="19"/>
                <w:b w:val="1"/>
                <w:bCs w:val="1"/>
                <w:color w:val="0C3D25"/>
                <w:vertAlign w:val="subscript"/>
              </w:rPr>
              <w:t>CAP</w:t>
            </w:r>
            <w:r>
              <w:rPr>
                <w:rFonts w:ascii="Arial" w:cs="Arial" w:eastAsia="Arial" w:hAnsi="Arial"/>
                <w:sz w:val="8"/>
                <w:szCs w:val="8"/>
                <w:b w:val="1"/>
                <w:bCs w:val="1"/>
                <w:color w:val="0C3D25"/>
              </w:rPr>
              <w:t>(1)(2)</w:t>
            </w:r>
          </w:p>
        </w:tc>
        <w:tc>
          <w:tcPr>
            <w:tcW w:w="580" w:type="dxa"/>
            <w:vAlign w:val="bottom"/>
          </w:tcPr>
          <w:p>
            <w:pPr>
              <w:jc w:val="right"/>
              <w:ind w:right="52"/>
              <w:spacing w:after="0" w:line="170" w:lineRule="exact"/>
              <w:rPr>
                <w:sz w:val="20"/>
                <w:szCs w:val="20"/>
                <w:color w:val="auto"/>
              </w:rPr>
            </w:pPr>
            <w:r>
              <w:rPr>
                <w:rFonts w:ascii="Arial" w:cs="Arial" w:eastAsia="Arial" w:hAnsi="Arial"/>
                <w:sz w:val="16"/>
                <w:szCs w:val="16"/>
                <w:b w:val="1"/>
                <w:bCs w:val="1"/>
                <w:color w:val="0C3D25"/>
              </w:rPr>
              <w:t>TSR</w:t>
            </w:r>
          </w:p>
        </w:tc>
        <w:tc>
          <w:tcPr>
            <w:tcW w:w="660" w:type="dxa"/>
            <w:vAlign w:val="bottom"/>
          </w:tcPr>
          <w:p>
            <w:pPr>
              <w:jc w:val="right"/>
              <w:ind w:right="29"/>
              <w:spacing w:after="0" w:line="170" w:lineRule="exact"/>
              <w:rPr>
                <w:sz w:val="20"/>
                <w:szCs w:val="20"/>
                <w:color w:val="auto"/>
              </w:rPr>
            </w:pPr>
            <w:r>
              <w:rPr>
                <w:rFonts w:ascii="Arial" w:cs="Arial" w:eastAsia="Arial" w:hAnsi="Arial"/>
                <w:sz w:val="16"/>
                <w:szCs w:val="16"/>
                <w:b w:val="1"/>
                <w:bCs w:val="1"/>
                <w:color w:val="0C3D25"/>
              </w:rPr>
              <w:t>TSR</w:t>
            </w:r>
          </w:p>
        </w:tc>
        <w:tc>
          <w:tcPr>
            <w:tcW w:w="1180" w:type="dxa"/>
            <w:vAlign w:val="bottom"/>
          </w:tcPr>
          <w:p>
            <w:pPr>
              <w:jc w:val="center"/>
              <w:spacing w:after="0" w:line="170" w:lineRule="exact"/>
              <w:rPr>
                <w:sz w:val="20"/>
                <w:szCs w:val="20"/>
                <w:color w:val="auto"/>
              </w:rPr>
            </w:pPr>
            <w:r>
              <w:rPr>
                <w:rFonts w:ascii="Arial" w:cs="Arial" w:eastAsia="Arial" w:hAnsi="Arial"/>
                <w:sz w:val="16"/>
                <w:szCs w:val="16"/>
                <w:b w:val="1"/>
                <w:bCs w:val="1"/>
                <w:color w:val="0C3D25"/>
                <w:w w:val="92"/>
              </w:rPr>
              <w:t>Net Income</w:t>
            </w:r>
            <w:r>
              <w:rPr>
                <w:rFonts w:ascii="Arial" w:cs="Arial" w:eastAsia="Arial" w:hAnsi="Arial"/>
                <w:sz w:val="19"/>
                <w:szCs w:val="19"/>
                <w:b w:val="1"/>
                <w:bCs w:val="1"/>
                <w:color w:val="0C3D25"/>
                <w:w w:val="92"/>
                <w:vertAlign w:val="superscript"/>
              </w:rPr>
              <w:t>(4)</w:t>
            </w:r>
          </w:p>
        </w:tc>
        <w:tc>
          <w:tcPr>
            <w:tcW w:w="1100" w:type="dxa"/>
            <w:vAlign w:val="bottom"/>
          </w:tcPr>
          <w:p>
            <w:pPr>
              <w:jc w:val="right"/>
              <w:spacing w:after="0" w:line="170" w:lineRule="exact"/>
              <w:rPr>
                <w:sz w:val="20"/>
                <w:szCs w:val="20"/>
                <w:color w:val="auto"/>
              </w:rPr>
            </w:pPr>
            <w:r>
              <w:rPr>
                <w:rFonts w:ascii="Arial" w:cs="Arial" w:eastAsia="Arial" w:hAnsi="Arial"/>
                <w:sz w:val="16"/>
                <w:szCs w:val="16"/>
                <w:b w:val="1"/>
                <w:bCs w:val="1"/>
                <w:color w:val="0C3D25"/>
              </w:rPr>
              <w:t>EBITDA</w:t>
            </w:r>
          </w:p>
        </w:tc>
      </w:tr>
      <w:tr>
        <w:trPr>
          <w:trHeight w:val="184"/>
        </w:trPr>
        <w:tc>
          <w:tcPr>
            <w:tcW w:w="1240" w:type="dxa"/>
            <w:vAlign w:val="bottom"/>
          </w:tcPr>
          <w:p>
            <w:pPr>
              <w:ind w:left="60"/>
              <w:spacing w:after="0"/>
              <w:rPr>
                <w:sz w:val="20"/>
                <w:szCs w:val="20"/>
                <w:color w:val="auto"/>
              </w:rPr>
            </w:pPr>
            <w:r>
              <w:rPr>
                <w:rFonts w:ascii="Arial" w:cs="Arial" w:eastAsia="Arial" w:hAnsi="Arial"/>
                <w:sz w:val="16"/>
                <w:szCs w:val="16"/>
                <w:b w:val="1"/>
                <w:bCs w:val="1"/>
                <w:color w:val="0C3D25"/>
              </w:rPr>
              <w:t>Year</w:t>
            </w:r>
          </w:p>
        </w:tc>
        <w:tc>
          <w:tcPr>
            <w:tcW w:w="1800" w:type="dxa"/>
            <w:vAlign w:val="bottom"/>
          </w:tcPr>
          <w:p>
            <w:pPr>
              <w:jc w:val="right"/>
              <w:ind w:right="28"/>
              <w:spacing w:after="0"/>
              <w:rPr>
                <w:sz w:val="20"/>
                <w:szCs w:val="20"/>
                <w:color w:val="auto"/>
              </w:rPr>
            </w:pPr>
            <w:r>
              <w:rPr>
                <w:rFonts w:ascii="Arial" w:cs="Arial" w:eastAsia="Arial" w:hAnsi="Arial"/>
                <w:sz w:val="16"/>
                <w:szCs w:val="16"/>
                <w:b w:val="1"/>
                <w:bCs w:val="1"/>
                <w:color w:val="0C3D25"/>
              </w:rPr>
              <w:t>($)</w:t>
            </w:r>
          </w:p>
        </w:tc>
        <w:tc>
          <w:tcPr>
            <w:tcW w:w="1180" w:type="dxa"/>
            <w:vAlign w:val="bottom"/>
          </w:tcPr>
          <w:p>
            <w:pPr>
              <w:jc w:val="right"/>
              <w:ind w:right="32"/>
              <w:spacing w:after="0"/>
              <w:rPr>
                <w:sz w:val="20"/>
                <w:szCs w:val="20"/>
                <w:color w:val="auto"/>
              </w:rPr>
            </w:pPr>
            <w:r>
              <w:rPr>
                <w:rFonts w:ascii="Arial" w:cs="Arial" w:eastAsia="Arial" w:hAnsi="Arial"/>
                <w:sz w:val="16"/>
                <w:szCs w:val="16"/>
                <w:b w:val="1"/>
                <w:bCs w:val="1"/>
                <w:color w:val="0C3D25"/>
              </w:rPr>
              <w:t>($)</w:t>
            </w:r>
          </w:p>
        </w:tc>
        <w:tc>
          <w:tcPr>
            <w:tcW w:w="1140" w:type="dxa"/>
            <w:vAlign w:val="bottom"/>
          </w:tcPr>
          <w:p>
            <w:pPr>
              <w:jc w:val="right"/>
              <w:ind w:right="30"/>
              <w:spacing w:after="0"/>
              <w:rPr>
                <w:sz w:val="20"/>
                <w:szCs w:val="20"/>
                <w:color w:val="auto"/>
              </w:rPr>
            </w:pPr>
            <w:r>
              <w:rPr>
                <w:rFonts w:ascii="Arial" w:cs="Arial" w:eastAsia="Arial" w:hAnsi="Arial"/>
                <w:sz w:val="16"/>
                <w:szCs w:val="16"/>
                <w:b w:val="1"/>
                <w:bCs w:val="1"/>
                <w:color w:val="0C3D25"/>
              </w:rPr>
              <w:t>($)</w:t>
            </w: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0C3D25"/>
              </w:rPr>
              <w:t>($)</w:t>
            </w:r>
          </w:p>
        </w:tc>
        <w:tc>
          <w:tcPr>
            <w:tcW w:w="580" w:type="dxa"/>
            <w:vAlign w:val="bottom"/>
          </w:tcPr>
          <w:p>
            <w:pPr>
              <w:jc w:val="right"/>
              <w:ind w:right="52"/>
              <w:spacing w:after="0"/>
              <w:rPr>
                <w:sz w:val="20"/>
                <w:szCs w:val="20"/>
                <w:color w:val="auto"/>
              </w:rPr>
            </w:pPr>
            <w:r>
              <w:rPr>
                <w:rFonts w:ascii="Arial" w:cs="Arial" w:eastAsia="Arial" w:hAnsi="Arial"/>
                <w:sz w:val="16"/>
                <w:szCs w:val="16"/>
                <w:b w:val="1"/>
                <w:bCs w:val="1"/>
                <w:color w:val="0C3D25"/>
              </w:rPr>
              <w:t>($)</w:t>
            </w:r>
          </w:p>
        </w:tc>
        <w:tc>
          <w:tcPr>
            <w:tcW w:w="660" w:type="dxa"/>
            <w:vAlign w:val="bottom"/>
          </w:tcPr>
          <w:p>
            <w:pPr>
              <w:jc w:val="right"/>
              <w:ind w:right="29"/>
              <w:spacing w:after="0"/>
              <w:rPr>
                <w:sz w:val="20"/>
                <w:szCs w:val="20"/>
                <w:color w:val="auto"/>
              </w:rPr>
            </w:pPr>
            <w:r>
              <w:rPr>
                <w:rFonts w:ascii="Arial" w:cs="Arial" w:eastAsia="Arial" w:hAnsi="Arial"/>
                <w:sz w:val="16"/>
                <w:szCs w:val="16"/>
                <w:b w:val="1"/>
                <w:bCs w:val="1"/>
                <w:color w:val="0C3D25"/>
              </w:rPr>
              <w: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C3D25"/>
                <w:w w:val="93"/>
              </w:rPr>
              <w:t>($ in billions)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C3D25"/>
              </w:rPr>
              <w:t>($ in billions)</w:t>
            </w:r>
          </w:p>
        </w:tc>
      </w:tr>
      <w:tr>
        <w:trPr>
          <w:trHeight w:val="22"/>
        </w:trPr>
        <w:tc>
          <w:tcPr>
            <w:tcW w:w="1240" w:type="dxa"/>
            <w:vAlign w:val="bottom"/>
            <w:tcBorders>
              <w:bottom w:val="single" w:sz="8" w:color="0C3D25"/>
            </w:tcBorders>
          </w:tcPr>
          <w:p>
            <w:pPr>
              <w:spacing w:after="0" w:line="20" w:lineRule="exact"/>
              <w:rPr>
                <w:sz w:val="1"/>
                <w:szCs w:val="1"/>
                <w:color w:val="auto"/>
              </w:rPr>
            </w:pPr>
          </w:p>
        </w:tc>
        <w:tc>
          <w:tcPr>
            <w:tcW w:w="1800" w:type="dxa"/>
            <w:vAlign w:val="bottom"/>
            <w:tcBorders>
              <w:bottom w:val="single" w:sz="8" w:color="0C3D25"/>
            </w:tcBorders>
          </w:tcPr>
          <w:p>
            <w:pPr>
              <w:spacing w:after="0" w:line="20" w:lineRule="exact"/>
              <w:rPr>
                <w:sz w:val="1"/>
                <w:szCs w:val="1"/>
                <w:color w:val="auto"/>
              </w:rPr>
            </w:pPr>
          </w:p>
        </w:tc>
        <w:tc>
          <w:tcPr>
            <w:tcW w:w="1180" w:type="dxa"/>
            <w:vAlign w:val="bottom"/>
            <w:tcBorders>
              <w:bottom w:val="single" w:sz="8" w:color="0C3D25"/>
            </w:tcBorders>
          </w:tcPr>
          <w:p>
            <w:pPr>
              <w:spacing w:after="0" w:line="20" w:lineRule="exact"/>
              <w:rPr>
                <w:sz w:val="1"/>
                <w:szCs w:val="1"/>
                <w:color w:val="auto"/>
              </w:rPr>
            </w:pPr>
          </w:p>
        </w:tc>
        <w:tc>
          <w:tcPr>
            <w:tcW w:w="1140" w:type="dxa"/>
            <w:vAlign w:val="bottom"/>
            <w:tcBorders>
              <w:bottom w:val="single" w:sz="8" w:color="0C3D25"/>
            </w:tcBorders>
          </w:tcPr>
          <w:p>
            <w:pPr>
              <w:spacing w:after="0" w:line="20" w:lineRule="exact"/>
              <w:rPr>
                <w:sz w:val="1"/>
                <w:szCs w:val="1"/>
                <w:color w:val="auto"/>
              </w:rPr>
            </w:pPr>
          </w:p>
        </w:tc>
        <w:tc>
          <w:tcPr>
            <w:tcW w:w="1180" w:type="dxa"/>
            <w:vAlign w:val="bottom"/>
            <w:tcBorders>
              <w:bottom w:val="single" w:sz="8" w:color="0C3D25"/>
            </w:tcBorders>
          </w:tcPr>
          <w:p>
            <w:pPr>
              <w:spacing w:after="0" w:line="20" w:lineRule="exact"/>
              <w:rPr>
                <w:sz w:val="1"/>
                <w:szCs w:val="1"/>
                <w:color w:val="auto"/>
              </w:rPr>
            </w:pPr>
          </w:p>
        </w:tc>
        <w:tc>
          <w:tcPr>
            <w:tcW w:w="580" w:type="dxa"/>
            <w:vAlign w:val="bottom"/>
            <w:tcBorders>
              <w:bottom w:val="single" w:sz="8" w:color="0C3D25"/>
            </w:tcBorders>
          </w:tcPr>
          <w:p>
            <w:pPr>
              <w:spacing w:after="0" w:line="20" w:lineRule="exact"/>
              <w:rPr>
                <w:sz w:val="1"/>
                <w:szCs w:val="1"/>
                <w:color w:val="auto"/>
              </w:rPr>
            </w:pPr>
          </w:p>
        </w:tc>
        <w:tc>
          <w:tcPr>
            <w:tcW w:w="660" w:type="dxa"/>
            <w:vAlign w:val="bottom"/>
            <w:tcBorders>
              <w:bottom w:val="single" w:sz="8" w:color="0C3D25"/>
            </w:tcBorders>
          </w:tcPr>
          <w:p>
            <w:pPr>
              <w:spacing w:after="0" w:line="20" w:lineRule="exact"/>
              <w:rPr>
                <w:sz w:val="1"/>
                <w:szCs w:val="1"/>
                <w:color w:val="auto"/>
              </w:rPr>
            </w:pPr>
          </w:p>
        </w:tc>
        <w:tc>
          <w:tcPr>
            <w:tcW w:w="1180" w:type="dxa"/>
            <w:vAlign w:val="bottom"/>
            <w:tcBorders>
              <w:bottom w:val="single" w:sz="8" w:color="0C3D25"/>
            </w:tcBorders>
          </w:tcPr>
          <w:p>
            <w:pPr>
              <w:spacing w:after="0" w:line="20" w:lineRule="exact"/>
              <w:rPr>
                <w:sz w:val="1"/>
                <w:szCs w:val="1"/>
                <w:color w:val="auto"/>
              </w:rPr>
            </w:pPr>
          </w:p>
        </w:tc>
        <w:tc>
          <w:tcPr>
            <w:tcW w:w="1100" w:type="dxa"/>
            <w:vAlign w:val="bottom"/>
            <w:tcBorders>
              <w:bottom w:val="single" w:sz="8" w:color="0C3D25"/>
            </w:tcBorders>
          </w:tcPr>
          <w:p>
            <w:pPr>
              <w:spacing w:after="0" w:line="20" w:lineRule="exact"/>
              <w:rPr>
                <w:sz w:val="1"/>
                <w:szCs w:val="1"/>
                <w:color w:val="auto"/>
              </w:rPr>
            </w:pPr>
          </w:p>
        </w:tc>
      </w:tr>
      <w:tr>
        <w:trPr>
          <w:trHeight w:val="247"/>
        </w:trPr>
        <w:tc>
          <w:tcPr>
            <w:tcW w:w="12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2025</w:t>
            </w:r>
          </w:p>
        </w:tc>
        <w:tc>
          <w:tcPr>
            <w:tcW w:w="180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19,048,786</w:t>
            </w:r>
          </w:p>
        </w:tc>
        <w:tc>
          <w:tcPr>
            <w:tcW w:w="1180" w:type="dxa"/>
            <w:vAlign w:val="bottom"/>
            <w:tcBorders>
              <w:bottom w:val="single" w:sz="8" w:color="0C3D25"/>
            </w:tcBorders>
          </w:tcPr>
          <w:p>
            <w:pPr>
              <w:jc w:val="right"/>
              <w:ind w:right="32"/>
              <w:spacing w:after="0"/>
              <w:rPr>
                <w:sz w:val="20"/>
                <w:szCs w:val="20"/>
                <w:color w:val="auto"/>
              </w:rPr>
            </w:pPr>
            <w:r>
              <w:rPr>
                <w:rFonts w:ascii="Arial" w:cs="Arial" w:eastAsia="Arial" w:hAnsi="Arial"/>
                <w:sz w:val="20"/>
                <w:szCs w:val="20"/>
                <w:color w:val="auto"/>
              </w:rPr>
              <w:t>27,485,198</w:t>
            </w:r>
          </w:p>
        </w:tc>
        <w:tc>
          <w:tcPr>
            <w:tcW w:w="114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2"/>
              </w:rPr>
              <w:t>4,897,001</w:t>
            </w:r>
          </w:p>
        </w:tc>
        <w:tc>
          <w:tcPr>
            <w:tcW w:w="1180" w:type="dxa"/>
            <w:vAlign w:val="bottom"/>
            <w:tcBorders>
              <w:bottom w:val="single" w:sz="8" w:color="0C3D25"/>
            </w:tcBorders>
          </w:tcPr>
          <w:p>
            <w:pPr>
              <w:jc w:val="right"/>
              <w:ind w:right="34"/>
              <w:spacing w:after="0"/>
              <w:rPr>
                <w:sz w:val="20"/>
                <w:szCs w:val="20"/>
                <w:color w:val="auto"/>
              </w:rPr>
            </w:pPr>
            <w:r>
              <w:rPr>
                <w:rFonts w:ascii="Arial" w:cs="Arial" w:eastAsia="Arial" w:hAnsi="Arial"/>
                <w:sz w:val="20"/>
                <w:szCs w:val="20"/>
                <w:color w:val="auto"/>
              </w:rPr>
              <w:t>6,742,958</w:t>
            </w:r>
          </w:p>
        </w:tc>
        <w:tc>
          <w:tcPr>
            <w:tcW w:w="580" w:type="dxa"/>
            <w:vAlign w:val="bottom"/>
            <w:tcBorders>
              <w:bottom w:val="single" w:sz="8" w:color="0C3D25"/>
            </w:tcBorders>
          </w:tcPr>
          <w:p>
            <w:pPr>
              <w:jc w:val="right"/>
              <w:ind w:right="52"/>
              <w:spacing w:after="0"/>
              <w:rPr>
                <w:sz w:val="20"/>
                <w:szCs w:val="20"/>
                <w:color w:val="auto"/>
              </w:rPr>
            </w:pPr>
            <w:r>
              <w:rPr>
                <w:rFonts w:ascii="Arial" w:cs="Arial" w:eastAsia="Arial" w:hAnsi="Arial"/>
                <w:sz w:val="20"/>
                <w:szCs w:val="20"/>
                <w:color w:val="auto"/>
              </w:rPr>
              <w:t>202</w:t>
            </w:r>
          </w:p>
        </w:tc>
        <w:tc>
          <w:tcPr>
            <w:tcW w:w="66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5"/>
              </w:rPr>
              <w:t>196</w:t>
            </w:r>
          </w:p>
        </w:tc>
        <w:tc>
          <w:tcPr>
            <w:tcW w:w="118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1"/>
              </w:rPr>
              <w:t>2.708</w:t>
            </w:r>
          </w:p>
        </w:tc>
        <w:tc>
          <w:tcPr>
            <w:tcW w:w="1100" w:type="dxa"/>
            <w:vAlign w:val="bottom"/>
            <w:tcBorders>
              <w:bottom w:val="single" w:sz="8" w:color="0C3D25"/>
            </w:tcBorders>
          </w:tcPr>
          <w:p>
            <w:pPr>
              <w:ind w:left="340"/>
              <w:spacing w:after="0"/>
              <w:rPr>
                <w:sz w:val="20"/>
                <w:szCs w:val="20"/>
                <w:color w:val="auto"/>
              </w:rPr>
            </w:pPr>
            <w:r>
              <w:rPr>
                <w:rFonts w:ascii="Arial" w:cs="Arial" w:eastAsia="Arial" w:hAnsi="Arial"/>
                <w:sz w:val="20"/>
                <w:szCs w:val="20"/>
                <w:color w:val="auto"/>
              </w:rPr>
              <w:t>7.438</w:t>
            </w:r>
          </w:p>
        </w:tc>
      </w:tr>
      <w:tr>
        <w:trPr>
          <w:trHeight w:val="239"/>
        </w:trPr>
        <w:tc>
          <w:tcPr>
            <w:tcW w:w="12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2024</w:t>
            </w:r>
          </w:p>
        </w:tc>
        <w:tc>
          <w:tcPr>
            <w:tcW w:w="180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17,097,120</w:t>
            </w:r>
          </w:p>
        </w:tc>
        <w:tc>
          <w:tcPr>
            <w:tcW w:w="1180" w:type="dxa"/>
            <w:vAlign w:val="bottom"/>
            <w:tcBorders>
              <w:bottom w:val="single" w:sz="8" w:color="0C3D25"/>
            </w:tcBorders>
          </w:tcPr>
          <w:p>
            <w:pPr>
              <w:jc w:val="right"/>
              <w:ind w:right="32"/>
              <w:spacing w:after="0"/>
              <w:rPr>
                <w:sz w:val="20"/>
                <w:szCs w:val="20"/>
                <w:color w:val="auto"/>
              </w:rPr>
            </w:pPr>
            <w:r>
              <w:rPr>
                <w:rFonts w:ascii="Arial" w:cs="Arial" w:eastAsia="Arial" w:hAnsi="Arial"/>
                <w:sz w:val="20"/>
                <w:szCs w:val="20"/>
                <w:color w:val="auto"/>
              </w:rPr>
              <w:t>24,501,038</w:t>
            </w:r>
          </w:p>
        </w:tc>
        <w:tc>
          <w:tcPr>
            <w:tcW w:w="114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2"/>
              </w:rPr>
              <w:t>4,851,561</w:t>
            </w:r>
          </w:p>
        </w:tc>
        <w:tc>
          <w:tcPr>
            <w:tcW w:w="1180" w:type="dxa"/>
            <w:vAlign w:val="bottom"/>
            <w:tcBorders>
              <w:bottom w:val="single" w:sz="8" w:color="0C3D25"/>
            </w:tcBorders>
          </w:tcPr>
          <w:p>
            <w:pPr>
              <w:jc w:val="right"/>
              <w:ind w:right="34"/>
              <w:spacing w:after="0"/>
              <w:rPr>
                <w:sz w:val="20"/>
                <w:szCs w:val="20"/>
                <w:color w:val="auto"/>
              </w:rPr>
            </w:pPr>
            <w:r>
              <w:rPr>
                <w:rFonts w:ascii="Arial" w:cs="Arial" w:eastAsia="Arial" w:hAnsi="Arial"/>
                <w:sz w:val="20"/>
                <w:szCs w:val="20"/>
                <w:color w:val="auto"/>
              </w:rPr>
              <w:t>6,672,509</w:t>
            </w:r>
          </w:p>
        </w:tc>
        <w:tc>
          <w:tcPr>
            <w:tcW w:w="580" w:type="dxa"/>
            <w:vAlign w:val="bottom"/>
            <w:tcBorders>
              <w:bottom w:val="single" w:sz="8" w:color="0C3D25"/>
            </w:tcBorders>
          </w:tcPr>
          <w:p>
            <w:pPr>
              <w:jc w:val="right"/>
              <w:ind w:right="52"/>
              <w:spacing w:after="0"/>
              <w:rPr>
                <w:sz w:val="20"/>
                <w:szCs w:val="20"/>
                <w:color w:val="auto"/>
              </w:rPr>
            </w:pPr>
            <w:r>
              <w:rPr>
                <w:rFonts w:ascii="Arial" w:cs="Arial" w:eastAsia="Arial" w:hAnsi="Arial"/>
                <w:sz w:val="20"/>
                <w:szCs w:val="20"/>
                <w:color w:val="auto"/>
              </w:rPr>
              <w:t>182</w:t>
            </w:r>
          </w:p>
        </w:tc>
        <w:tc>
          <w:tcPr>
            <w:tcW w:w="66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5"/>
              </w:rPr>
              <w:t>186</w:t>
            </w:r>
          </w:p>
        </w:tc>
        <w:tc>
          <w:tcPr>
            <w:tcW w:w="118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1"/>
              </w:rPr>
              <w:t>2.746</w:t>
            </w:r>
          </w:p>
        </w:tc>
        <w:tc>
          <w:tcPr>
            <w:tcW w:w="1100" w:type="dxa"/>
            <w:vAlign w:val="bottom"/>
            <w:tcBorders>
              <w:bottom w:val="single" w:sz="8" w:color="0C3D25"/>
            </w:tcBorders>
          </w:tcPr>
          <w:p>
            <w:pPr>
              <w:ind w:left="340"/>
              <w:spacing w:after="0"/>
              <w:rPr>
                <w:sz w:val="20"/>
                <w:szCs w:val="20"/>
                <w:color w:val="auto"/>
              </w:rPr>
            </w:pPr>
            <w:r>
              <w:rPr>
                <w:rFonts w:ascii="Arial" w:cs="Arial" w:eastAsia="Arial" w:hAnsi="Arial"/>
                <w:sz w:val="20"/>
                <w:szCs w:val="20"/>
                <w:color w:val="auto"/>
              </w:rPr>
              <w:t>6.472</w:t>
            </w:r>
          </w:p>
        </w:tc>
      </w:tr>
      <w:tr>
        <w:trPr>
          <w:trHeight w:val="239"/>
        </w:trPr>
        <w:tc>
          <w:tcPr>
            <w:tcW w:w="12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2023</w:t>
            </w:r>
          </w:p>
        </w:tc>
        <w:tc>
          <w:tcPr>
            <w:tcW w:w="180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14,628,854</w:t>
            </w:r>
          </w:p>
        </w:tc>
        <w:tc>
          <w:tcPr>
            <w:tcW w:w="1180" w:type="dxa"/>
            <w:vAlign w:val="bottom"/>
            <w:tcBorders>
              <w:bottom w:val="single" w:sz="8" w:color="0C3D25"/>
            </w:tcBorders>
          </w:tcPr>
          <w:p>
            <w:pPr>
              <w:jc w:val="right"/>
              <w:ind w:right="32"/>
              <w:spacing w:after="0"/>
              <w:rPr>
                <w:sz w:val="20"/>
                <w:szCs w:val="20"/>
                <w:color w:val="auto"/>
              </w:rPr>
            </w:pPr>
            <w:r>
              <w:rPr>
                <w:rFonts w:ascii="Arial" w:cs="Arial" w:eastAsia="Arial" w:hAnsi="Arial"/>
                <w:sz w:val="20"/>
                <w:szCs w:val="20"/>
                <w:color w:val="auto"/>
              </w:rPr>
              <w:t>26,638,740</w:t>
            </w:r>
          </w:p>
        </w:tc>
        <w:tc>
          <w:tcPr>
            <w:tcW w:w="114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2"/>
              </w:rPr>
              <w:t>3,971,546</w:t>
            </w:r>
          </w:p>
        </w:tc>
        <w:tc>
          <w:tcPr>
            <w:tcW w:w="1180" w:type="dxa"/>
            <w:vAlign w:val="bottom"/>
            <w:tcBorders>
              <w:bottom w:val="single" w:sz="8" w:color="0C3D25"/>
            </w:tcBorders>
          </w:tcPr>
          <w:p>
            <w:pPr>
              <w:jc w:val="right"/>
              <w:ind w:right="34"/>
              <w:spacing w:after="0"/>
              <w:rPr>
                <w:sz w:val="20"/>
                <w:szCs w:val="20"/>
                <w:color w:val="auto"/>
              </w:rPr>
            </w:pPr>
            <w:r>
              <w:rPr>
                <w:rFonts w:ascii="Arial" w:cs="Arial" w:eastAsia="Arial" w:hAnsi="Arial"/>
                <w:sz w:val="20"/>
                <w:szCs w:val="20"/>
                <w:color w:val="auto"/>
              </w:rPr>
              <w:t>6,550,505</w:t>
            </w:r>
          </w:p>
        </w:tc>
        <w:tc>
          <w:tcPr>
            <w:tcW w:w="580" w:type="dxa"/>
            <w:vAlign w:val="bottom"/>
            <w:tcBorders>
              <w:bottom w:val="single" w:sz="8" w:color="0C3D25"/>
            </w:tcBorders>
          </w:tcPr>
          <w:p>
            <w:pPr>
              <w:jc w:val="right"/>
              <w:ind w:right="52"/>
              <w:spacing w:after="0"/>
              <w:rPr>
                <w:sz w:val="20"/>
                <w:szCs w:val="20"/>
                <w:color w:val="auto"/>
              </w:rPr>
            </w:pPr>
            <w:r>
              <w:rPr>
                <w:rFonts w:ascii="Arial" w:cs="Arial" w:eastAsia="Arial" w:hAnsi="Arial"/>
                <w:sz w:val="20"/>
                <w:szCs w:val="20"/>
                <w:color w:val="auto"/>
              </w:rPr>
              <w:t>160</w:t>
            </w:r>
          </w:p>
        </w:tc>
        <w:tc>
          <w:tcPr>
            <w:tcW w:w="66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5"/>
              </w:rPr>
              <w:t>156</w:t>
            </w:r>
          </w:p>
        </w:tc>
        <w:tc>
          <w:tcPr>
            <w:tcW w:w="118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1"/>
              </w:rPr>
              <w:t>2.304</w:t>
            </w:r>
          </w:p>
        </w:tc>
        <w:tc>
          <w:tcPr>
            <w:tcW w:w="1100" w:type="dxa"/>
            <w:vAlign w:val="bottom"/>
            <w:tcBorders>
              <w:bottom w:val="single" w:sz="8" w:color="0C3D25"/>
            </w:tcBorders>
          </w:tcPr>
          <w:p>
            <w:pPr>
              <w:ind w:left="340"/>
              <w:spacing w:after="0"/>
              <w:rPr>
                <w:sz w:val="20"/>
                <w:szCs w:val="20"/>
                <w:color w:val="auto"/>
              </w:rPr>
            </w:pPr>
            <w:r>
              <w:rPr>
                <w:rFonts w:ascii="Arial" w:cs="Arial" w:eastAsia="Arial" w:hAnsi="Arial"/>
                <w:sz w:val="20"/>
                <w:szCs w:val="20"/>
                <w:color w:val="auto"/>
              </w:rPr>
              <w:t>5.892</w:t>
            </w:r>
          </w:p>
        </w:tc>
      </w:tr>
      <w:tr>
        <w:trPr>
          <w:trHeight w:val="239"/>
        </w:trPr>
        <w:tc>
          <w:tcPr>
            <w:tcW w:w="124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2022</w:t>
            </w:r>
          </w:p>
        </w:tc>
        <w:tc>
          <w:tcPr>
            <w:tcW w:w="1800" w:type="dxa"/>
            <w:vAlign w:val="bottom"/>
            <w:tcBorders>
              <w:bottom w:val="single" w:sz="8" w:color="0C3D25"/>
            </w:tcBorders>
          </w:tcPr>
          <w:p>
            <w:pPr>
              <w:jc w:val="right"/>
              <w:ind w:right="28"/>
              <w:spacing w:after="0"/>
              <w:rPr>
                <w:sz w:val="20"/>
                <w:szCs w:val="20"/>
                <w:color w:val="auto"/>
              </w:rPr>
            </w:pPr>
            <w:r>
              <w:rPr>
                <w:rFonts w:ascii="Arial" w:cs="Arial" w:eastAsia="Arial" w:hAnsi="Arial"/>
                <w:sz w:val="20"/>
                <w:szCs w:val="20"/>
                <w:color w:val="auto"/>
              </w:rPr>
              <w:t>14,820,684</w:t>
            </w:r>
          </w:p>
        </w:tc>
        <w:tc>
          <w:tcPr>
            <w:tcW w:w="1180" w:type="dxa"/>
            <w:vAlign w:val="bottom"/>
            <w:tcBorders>
              <w:bottom w:val="single" w:sz="8" w:color="0C3D25"/>
            </w:tcBorders>
          </w:tcPr>
          <w:p>
            <w:pPr>
              <w:jc w:val="right"/>
              <w:ind w:right="32"/>
              <w:spacing w:after="0"/>
              <w:rPr>
                <w:sz w:val="20"/>
                <w:szCs w:val="20"/>
                <w:color w:val="auto"/>
              </w:rPr>
            </w:pPr>
            <w:r>
              <w:rPr>
                <w:rFonts w:ascii="Arial" w:cs="Arial" w:eastAsia="Arial" w:hAnsi="Arial"/>
                <w:sz w:val="20"/>
                <w:szCs w:val="20"/>
                <w:color w:val="auto"/>
              </w:rPr>
              <w:t>13,037,001</w:t>
            </w:r>
          </w:p>
        </w:tc>
        <w:tc>
          <w:tcPr>
            <w:tcW w:w="114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2"/>
              </w:rPr>
              <w:t>5,202,091</w:t>
            </w:r>
          </w:p>
        </w:tc>
        <w:tc>
          <w:tcPr>
            <w:tcW w:w="1180" w:type="dxa"/>
            <w:vAlign w:val="bottom"/>
            <w:tcBorders>
              <w:bottom w:val="single" w:sz="8" w:color="0C3D25"/>
            </w:tcBorders>
          </w:tcPr>
          <w:p>
            <w:pPr>
              <w:jc w:val="right"/>
              <w:ind w:right="34"/>
              <w:spacing w:after="0"/>
              <w:rPr>
                <w:sz w:val="20"/>
                <w:szCs w:val="20"/>
                <w:color w:val="auto"/>
              </w:rPr>
            </w:pPr>
            <w:r>
              <w:rPr>
                <w:rFonts w:ascii="Arial" w:cs="Arial" w:eastAsia="Arial" w:hAnsi="Arial"/>
                <w:sz w:val="20"/>
                <w:szCs w:val="20"/>
                <w:color w:val="auto"/>
              </w:rPr>
              <w:t>4,823,249</w:t>
            </w:r>
          </w:p>
        </w:tc>
        <w:tc>
          <w:tcPr>
            <w:tcW w:w="580" w:type="dxa"/>
            <w:vAlign w:val="bottom"/>
            <w:tcBorders>
              <w:bottom w:val="single" w:sz="8" w:color="0C3D25"/>
            </w:tcBorders>
          </w:tcPr>
          <w:p>
            <w:pPr>
              <w:jc w:val="right"/>
              <w:ind w:right="52"/>
              <w:spacing w:after="0"/>
              <w:rPr>
                <w:sz w:val="20"/>
                <w:szCs w:val="20"/>
                <w:color w:val="auto"/>
              </w:rPr>
            </w:pPr>
            <w:r>
              <w:rPr>
                <w:rFonts w:ascii="Arial" w:cs="Arial" w:eastAsia="Arial" w:hAnsi="Arial"/>
                <w:sz w:val="20"/>
                <w:szCs w:val="20"/>
                <w:color w:val="auto"/>
              </w:rPr>
              <w:t>137</w:t>
            </w:r>
          </w:p>
        </w:tc>
        <w:tc>
          <w:tcPr>
            <w:tcW w:w="66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5"/>
              </w:rPr>
              <w:t>132</w:t>
            </w:r>
          </w:p>
        </w:tc>
        <w:tc>
          <w:tcPr>
            <w:tcW w:w="1180" w:type="dxa"/>
            <w:vAlign w:val="bottom"/>
            <w:tcBorders>
              <w:bottom w:val="single" w:sz="8" w:color="0C3D25"/>
            </w:tcBorders>
          </w:tcPr>
          <w:p>
            <w:pPr>
              <w:jc w:val="center"/>
              <w:spacing w:after="0"/>
              <w:rPr>
                <w:sz w:val="20"/>
                <w:szCs w:val="20"/>
                <w:color w:val="auto"/>
              </w:rPr>
            </w:pPr>
            <w:r>
              <w:rPr>
                <w:rFonts w:ascii="Arial" w:cs="Arial" w:eastAsia="Arial" w:hAnsi="Arial"/>
                <w:sz w:val="20"/>
                <w:szCs w:val="20"/>
                <w:color w:val="auto"/>
                <w:w w:val="91"/>
              </w:rPr>
              <w:t>2.238</w:t>
            </w:r>
          </w:p>
        </w:tc>
        <w:tc>
          <w:tcPr>
            <w:tcW w:w="1100" w:type="dxa"/>
            <w:vAlign w:val="bottom"/>
            <w:tcBorders>
              <w:bottom w:val="single" w:sz="8" w:color="0C3D25"/>
            </w:tcBorders>
          </w:tcPr>
          <w:p>
            <w:pPr>
              <w:ind w:left="340"/>
              <w:spacing w:after="0"/>
              <w:rPr>
                <w:sz w:val="20"/>
                <w:szCs w:val="20"/>
                <w:color w:val="auto"/>
              </w:rPr>
            </w:pPr>
            <w:r>
              <w:rPr>
                <w:rFonts w:ascii="Arial" w:cs="Arial" w:eastAsia="Arial" w:hAnsi="Arial"/>
                <w:sz w:val="20"/>
                <w:szCs w:val="20"/>
                <w:color w:val="auto"/>
              </w:rPr>
              <w:t>5.475</w:t>
            </w:r>
          </w:p>
        </w:tc>
      </w:tr>
      <w:tr>
        <w:trPr>
          <w:trHeight w:val="236"/>
        </w:trPr>
        <w:tc>
          <w:tcPr>
            <w:tcW w:w="1240" w:type="dxa"/>
            <w:vAlign w:val="bottom"/>
          </w:tcPr>
          <w:p>
            <w:pPr>
              <w:ind w:left="60"/>
              <w:spacing w:after="0"/>
              <w:rPr>
                <w:sz w:val="20"/>
                <w:szCs w:val="20"/>
                <w:color w:val="auto"/>
              </w:rPr>
            </w:pPr>
            <w:r>
              <w:rPr>
                <w:rFonts w:ascii="Arial" w:cs="Arial" w:eastAsia="Arial" w:hAnsi="Arial"/>
                <w:sz w:val="20"/>
                <w:szCs w:val="20"/>
                <w:color w:val="auto"/>
              </w:rPr>
              <w:t>2021</w:t>
            </w:r>
          </w:p>
        </w:tc>
        <w:tc>
          <w:tcPr>
            <w:tcW w:w="1800" w:type="dxa"/>
            <w:vAlign w:val="bottom"/>
          </w:tcPr>
          <w:p>
            <w:pPr>
              <w:jc w:val="right"/>
              <w:ind w:right="28"/>
              <w:spacing w:after="0"/>
              <w:rPr>
                <w:sz w:val="20"/>
                <w:szCs w:val="20"/>
                <w:color w:val="auto"/>
              </w:rPr>
            </w:pPr>
            <w:r>
              <w:rPr>
                <w:rFonts w:ascii="Arial" w:cs="Arial" w:eastAsia="Arial" w:hAnsi="Arial"/>
                <w:sz w:val="20"/>
                <w:szCs w:val="20"/>
                <w:color w:val="auto"/>
              </w:rPr>
              <w:t>13,057,363</w:t>
            </w:r>
          </w:p>
        </w:tc>
        <w:tc>
          <w:tcPr>
            <w:tcW w:w="1180" w:type="dxa"/>
            <w:vAlign w:val="bottom"/>
          </w:tcPr>
          <w:p>
            <w:pPr>
              <w:jc w:val="right"/>
              <w:ind w:right="32"/>
              <w:spacing w:after="0"/>
              <w:rPr>
                <w:sz w:val="20"/>
                <w:szCs w:val="20"/>
                <w:color w:val="auto"/>
              </w:rPr>
            </w:pPr>
            <w:r>
              <w:rPr>
                <w:rFonts w:ascii="Arial" w:cs="Arial" w:eastAsia="Arial" w:hAnsi="Arial"/>
                <w:sz w:val="20"/>
                <w:szCs w:val="20"/>
                <w:color w:val="auto"/>
              </w:rPr>
              <w:t>44,273,994</w:t>
            </w: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3,637,383</w:t>
            </w:r>
          </w:p>
        </w:tc>
        <w:tc>
          <w:tcPr>
            <w:tcW w:w="1180" w:type="dxa"/>
            <w:vAlign w:val="bottom"/>
          </w:tcPr>
          <w:p>
            <w:pPr>
              <w:jc w:val="right"/>
              <w:ind w:right="34"/>
              <w:spacing w:after="0"/>
              <w:rPr>
                <w:sz w:val="20"/>
                <w:szCs w:val="20"/>
                <w:color w:val="auto"/>
              </w:rPr>
            </w:pPr>
            <w:r>
              <w:rPr>
                <w:rFonts w:ascii="Arial" w:cs="Arial" w:eastAsia="Arial" w:hAnsi="Arial"/>
                <w:sz w:val="20"/>
                <w:szCs w:val="20"/>
                <w:color w:val="auto"/>
              </w:rPr>
              <w:t>10,803,402</w:t>
            </w:r>
          </w:p>
        </w:tc>
        <w:tc>
          <w:tcPr>
            <w:tcW w:w="580" w:type="dxa"/>
            <w:vAlign w:val="bottom"/>
          </w:tcPr>
          <w:p>
            <w:pPr>
              <w:jc w:val="right"/>
              <w:ind w:right="52"/>
              <w:spacing w:after="0"/>
              <w:rPr>
                <w:sz w:val="20"/>
                <w:szCs w:val="20"/>
                <w:color w:val="auto"/>
              </w:rPr>
            </w:pPr>
            <w:r>
              <w:rPr>
                <w:rFonts w:ascii="Arial" w:cs="Arial" w:eastAsia="Arial" w:hAnsi="Arial"/>
                <w:sz w:val="20"/>
                <w:szCs w:val="20"/>
                <w:color w:val="auto"/>
              </w:rPr>
              <w:t>144</w:t>
            </w:r>
          </w:p>
        </w:tc>
        <w:tc>
          <w:tcPr>
            <w:tcW w:w="660" w:type="dxa"/>
            <w:vAlign w:val="bottom"/>
          </w:tcPr>
          <w:p>
            <w:pPr>
              <w:jc w:val="center"/>
              <w:spacing w:after="0"/>
              <w:rPr>
                <w:sz w:val="20"/>
                <w:szCs w:val="20"/>
                <w:color w:val="auto"/>
              </w:rPr>
            </w:pPr>
            <w:r>
              <w:rPr>
                <w:rFonts w:ascii="Arial" w:cs="Arial" w:eastAsia="Arial" w:hAnsi="Arial"/>
                <w:sz w:val="20"/>
                <w:szCs w:val="20"/>
                <w:color w:val="auto"/>
                <w:w w:val="95"/>
              </w:rPr>
              <w:t>140</w:t>
            </w:r>
          </w:p>
        </w:tc>
        <w:tc>
          <w:tcPr>
            <w:tcW w:w="1180" w:type="dxa"/>
            <w:vAlign w:val="bottom"/>
          </w:tcPr>
          <w:p>
            <w:pPr>
              <w:jc w:val="center"/>
              <w:spacing w:after="0"/>
              <w:rPr>
                <w:sz w:val="20"/>
                <w:szCs w:val="20"/>
                <w:color w:val="auto"/>
              </w:rPr>
            </w:pPr>
            <w:r>
              <w:rPr>
                <w:rFonts w:ascii="Arial" w:cs="Arial" w:eastAsia="Arial" w:hAnsi="Arial"/>
                <w:sz w:val="20"/>
                <w:szCs w:val="20"/>
                <w:color w:val="auto"/>
                <w:w w:val="91"/>
              </w:rPr>
              <w:t>1.816</w:t>
            </w:r>
          </w:p>
        </w:tc>
        <w:tc>
          <w:tcPr>
            <w:tcW w:w="1100" w:type="dxa"/>
            <w:vAlign w:val="bottom"/>
          </w:tcPr>
          <w:p>
            <w:pPr>
              <w:ind w:left="340"/>
              <w:spacing w:after="0"/>
              <w:rPr>
                <w:sz w:val="20"/>
                <w:szCs w:val="20"/>
                <w:color w:val="auto"/>
              </w:rPr>
            </w:pPr>
            <w:r>
              <w:rPr>
                <w:rFonts w:ascii="Arial" w:cs="Arial" w:eastAsia="Arial" w:hAnsi="Arial"/>
                <w:sz w:val="20"/>
                <w:szCs w:val="20"/>
                <w:color w:val="auto"/>
              </w:rPr>
              <w:t>4.961</w:t>
            </w:r>
          </w:p>
        </w:tc>
      </w:tr>
      <w:tr>
        <w:trPr>
          <w:trHeight w:val="32"/>
        </w:trPr>
        <w:tc>
          <w:tcPr>
            <w:tcW w:w="1240" w:type="dxa"/>
            <w:vAlign w:val="bottom"/>
            <w:tcBorders>
              <w:bottom w:val="single" w:sz="8" w:color="0C3D25"/>
            </w:tcBorders>
          </w:tcPr>
          <w:p>
            <w:pPr>
              <w:spacing w:after="0"/>
              <w:rPr>
                <w:sz w:val="2"/>
                <w:szCs w:val="2"/>
                <w:color w:val="auto"/>
              </w:rPr>
            </w:pPr>
          </w:p>
        </w:tc>
        <w:tc>
          <w:tcPr>
            <w:tcW w:w="180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580" w:type="dxa"/>
            <w:vAlign w:val="bottom"/>
            <w:tcBorders>
              <w:bottom w:val="single" w:sz="8" w:color="0C3D25"/>
            </w:tcBorders>
          </w:tcPr>
          <w:p>
            <w:pPr>
              <w:spacing w:after="0"/>
              <w:rPr>
                <w:sz w:val="2"/>
                <w:szCs w:val="2"/>
                <w:color w:val="auto"/>
              </w:rPr>
            </w:pPr>
          </w:p>
        </w:tc>
        <w:tc>
          <w:tcPr>
            <w:tcW w:w="66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100" w:type="dxa"/>
            <w:vAlign w:val="bottom"/>
            <w:tcBorders>
              <w:bottom w:val="single" w:sz="8" w:color="0C3D25"/>
            </w:tcBorders>
          </w:tcPr>
          <w:p>
            <w:pPr>
              <w:spacing w:after="0"/>
              <w:rPr>
                <w:sz w:val="2"/>
                <w:szCs w:val="2"/>
                <w:color w:val="auto"/>
              </w:rPr>
            </w:pPr>
          </w:p>
        </w:tc>
      </w:tr>
    </w:tbl>
    <w:p>
      <w:pPr>
        <w:spacing w:after="0" w:line="78" w:lineRule="exact"/>
        <w:rPr>
          <w:sz w:val="20"/>
          <w:szCs w:val="20"/>
          <w:color w:val="auto"/>
        </w:rPr>
      </w:pPr>
    </w:p>
    <w:p>
      <w:pPr>
        <w:ind w:left="402" w:hanging="402"/>
        <w:spacing w:after="0"/>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all periods shown in the table above, the Company’s CEO was Mr. James C. Fish, Jr. The Non-CEO NEOs include:</w:t>
      </w:r>
    </w:p>
    <w:p>
      <w:pPr>
        <w:spacing w:after="0" w:line="152" w:lineRule="exact"/>
        <w:rPr>
          <w:rFonts w:ascii="Arial" w:cs="Arial" w:eastAsia="Arial" w:hAnsi="Arial"/>
          <w:sz w:val="18"/>
          <w:szCs w:val="18"/>
          <w:color w:val="auto"/>
        </w:rPr>
      </w:pPr>
    </w:p>
    <w:p>
      <w:pPr>
        <w:jc w:val="both"/>
        <w:ind w:left="602" w:hanging="203"/>
        <w:spacing w:after="0" w:line="249" w:lineRule="auto"/>
        <w:tabs>
          <w:tab w:leader="none" w:pos="602" w:val="left"/>
        </w:tabs>
        <w:numPr>
          <w:ilvl w:val="1"/>
          <w:numId w:val="42"/>
        </w:numPr>
        <w:rPr>
          <w:rFonts w:ascii="Arial" w:cs="Arial" w:eastAsia="Arial" w:hAnsi="Arial"/>
          <w:sz w:val="20"/>
          <w:szCs w:val="20"/>
          <w:color w:val="0C3D25"/>
        </w:rPr>
      </w:pPr>
      <w:r>
        <w:rPr>
          <w:rFonts w:ascii="Arial" w:cs="Arial" w:eastAsia="Arial" w:hAnsi="Arial"/>
          <w:sz w:val="20"/>
          <w:szCs w:val="20"/>
          <w:color w:val="auto"/>
        </w:rPr>
        <w:t>2025: Mr. David L. Reed, Ms. Devina A. Rankin, Mr. John C. Morris, Jr., Ms. Tara J. Hemmer and Mr. Rafael E. Carrasco. Mr. Reed succeeded Ms. Rankin as Executive Vice President and Chief Financial Officer on November 1, 2025.</w:t>
      </w:r>
    </w:p>
    <w:p>
      <w:pPr>
        <w:spacing w:after="0" w:line="122" w:lineRule="exact"/>
        <w:rPr>
          <w:rFonts w:ascii="Arial" w:cs="Arial" w:eastAsia="Arial" w:hAnsi="Arial"/>
          <w:sz w:val="20"/>
          <w:szCs w:val="20"/>
          <w:color w:val="0C3D25"/>
        </w:rPr>
      </w:pPr>
    </w:p>
    <w:p>
      <w:pPr>
        <w:ind w:left="602" w:hanging="203"/>
        <w:spacing w:after="0"/>
        <w:tabs>
          <w:tab w:leader="none" w:pos="602" w:val="left"/>
        </w:tabs>
        <w:numPr>
          <w:ilvl w:val="1"/>
          <w:numId w:val="42"/>
        </w:numPr>
        <w:rPr>
          <w:rFonts w:ascii="Arial" w:cs="Arial" w:eastAsia="Arial" w:hAnsi="Arial"/>
          <w:sz w:val="20"/>
          <w:szCs w:val="20"/>
          <w:color w:val="0C3D25"/>
        </w:rPr>
      </w:pPr>
      <w:r>
        <w:rPr>
          <w:rFonts w:ascii="Arial" w:cs="Arial" w:eastAsia="Arial" w:hAnsi="Arial"/>
          <w:sz w:val="20"/>
          <w:szCs w:val="20"/>
          <w:color w:val="auto"/>
        </w:rPr>
        <w:t>2024 and 2023: Ms. Rankin, Mr. Morris, Ms. Hemmer and Mr. Carrasco.</w:t>
      </w:r>
    </w:p>
    <w:p>
      <w:pPr>
        <w:spacing w:after="0" w:line="129" w:lineRule="exact"/>
        <w:rPr>
          <w:rFonts w:ascii="Arial" w:cs="Arial" w:eastAsia="Arial" w:hAnsi="Arial"/>
          <w:sz w:val="20"/>
          <w:szCs w:val="20"/>
          <w:color w:val="0C3D25"/>
        </w:rPr>
      </w:pPr>
    </w:p>
    <w:p>
      <w:pPr>
        <w:ind w:left="602" w:hanging="203"/>
        <w:spacing w:after="0" w:line="249" w:lineRule="auto"/>
        <w:tabs>
          <w:tab w:leader="none" w:pos="602" w:val="left"/>
        </w:tabs>
        <w:numPr>
          <w:ilvl w:val="1"/>
          <w:numId w:val="42"/>
        </w:numPr>
        <w:rPr>
          <w:rFonts w:ascii="Arial" w:cs="Arial" w:eastAsia="Arial" w:hAnsi="Arial"/>
          <w:sz w:val="20"/>
          <w:szCs w:val="20"/>
          <w:color w:val="0C3D25"/>
        </w:rPr>
      </w:pPr>
      <w:r>
        <w:rPr>
          <w:rFonts w:ascii="Arial" w:cs="Arial" w:eastAsia="Arial" w:hAnsi="Arial"/>
          <w:sz w:val="20"/>
          <w:szCs w:val="20"/>
          <w:color w:val="auto"/>
        </w:rPr>
        <w:t>2022: Ms. Rankin, Mr. Morris, Ms. Hemmer and Mr. Steven R. Batchelor, retired Senior Vice President — Operations.</w:t>
      </w:r>
    </w:p>
    <w:p>
      <w:pPr>
        <w:spacing w:after="0" w:line="121" w:lineRule="exact"/>
        <w:rPr>
          <w:rFonts w:ascii="Arial" w:cs="Arial" w:eastAsia="Arial" w:hAnsi="Arial"/>
          <w:sz w:val="20"/>
          <w:szCs w:val="20"/>
          <w:color w:val="0C3D25"/>
        </w:rPr>
      </w:pPr>
    </w:p>
    <w:p>
      <w:pPr>
        <w:ind w:left="602" w:hanging="203"/>
        <w:spacing w:after="0" w:line="249" w:lineRule="auto"/>
        <w:tabs>
          <w:tab w:leader="none" w:pos="602" w:val="left"/>
        </w:tabs>
        <w:numPr>
          <w:ilvl w:val="1"/>
          <w:numId w:val="42"/>
        </w:numPr>
        <w:rPr>
          <w:rFonts w:ascii="Arial" w:cs="Arial" w:eastAsia="Arial" w:hAnsi="Arial"/>
          <w:sz w:val="20"/>
          <w:szCs w:val="20"/>
          <w:color w:val="0C3D25"/>
        </w:rPr>
      </w:pPr>
      <w:r>
        <w:rPr>
          <w:rFonts w:ascii="Arial" w:cs="Arial" w:eastAsia="Arial" w:hAnsi="Arial"/>
          <w:sz w:val="20"/>
          <w:szCs w:val="20"/>
          <w:color w:val="auto"/>
        </w:rPr>
        <w:t>2021: Ms. Rankin, Mr. Morris, Ms. Hemmer and Mr. Charles C. Boettcher, Executive Vice President and Chief Legal Officer.</w:t>
      </w:r>
    </w:p>
    <w:p>
      <w:pPr>
        <w:spacing w:after="0" w:line="121" w:lineRule="exact"/>
        <w:rPr>
          <w:rFonts w:ascii="Arial" w:cs="Arial" w:eastAsia="Arial" w:hAnsi="Arial"/>
          <w:sz w:val="20"/>
          <w:szCs w:val="20"/>
          <w:color w:val="0C3D25"/>
        </w:rPr>
      </w:pPr>
    </w:p>
    <w:p>
      <w:pPr>
        <w:ind w:left="402" w:hanging="402"/>
        <w:spacing w:after="0" w:line="249" w:lineRule="auto"/>
        <w:tabs>
          <w:tab w:leader="none" w:pos="402" w:val="left"/>
        </w:tabs>
        <w:numPr>
          <w:ilvl w:val="0"/>
          <w:numId w:val="42"/>
        </w:numPr>
        <w:rPr>
          <w:rFonts w:ascii="Arial" w:cs="Arial" w:eastAsia="Arial" w:hAnsi="Arial"/>
          <w:sz w:val="20"/>
          <w:szCs w:val="20"/>
          <w:color w:val="auto"/>
        </w:rPr>
      </w:pPr>
      <w:r>
        <w:rPr>
          <w:rFonts w:ascii="Arial" w:cs="Arial" w:eastAsia="Arial" w:hAnsi="Arial"/>
          <w:sz w:val="20"/>
          <w:szCs w:val="20"/>
          <w:color w:val="auto"/>
        </w:rPr>
        <w:t>To calculate 2025 CAP, we made specified adjustments to Total Compensation as reported in the SCT, as set forth below:</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6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61"/>
        </w:trPr>
        <w:tc>
          <w:tcPr>
            <w:tcW w:w="7280" w:type="dxa"/>
            <w:vAlign w:val="bottom"/>
          </w:tcPr>
          <w:p>
            <w:pPr>
              <w:spacing w:after="0"/>
              <w:rPr>
                <w:sz w:val="22"/>
                <w:szCs w:val="22"/>
                <w:color w:val="auto"/>
              </w:rPr>
            </w:pPr>
          </w:p>
        </w:tc>
        <w:tc>
          <w:tcPr>
            <w:tcW w:w="2780" w:type="dxa"/>
            <w:vAlign w:val="bottom"/>
            <w:gridSpan w:val="2"/>
          </w:tcPr>
          <w:p>
            <w:pPr>
              <w:jc w:val="right"/>
              <w:spacing w:after="0"/>
              <w:rPr>
                <w:sz w:val="20"/>
                <w:szCs w:val="20"/>
                <w:color w:val="auto"/>
              </w:rPr>
            </w:pPr>
            <w:r>
              <w:rPr>
                <w:rFonts w:ascii="Arial" w:cs="Arial" w:eastAsia="Arial" w:hAnsi="Arial"/>
                <w:sz w:val="22"/>
                <w:szCs w:val="22"/>
                <w:b w:val="1"/>
                <w:bCs w:val="1"/>
                <w:color w:val="auto"/>
                <w:w w:val="88"/>
              </w:rPr>
              <w:t>EXECUTIVE COMPENSATION</w:t>
            </w:r>
          </w:p>
        </w:tc>
      </w:tr>
      <w:tr>
        <w:trPr>
          <w:trHeight w:val="461"/>
        </w:trPr>
        <w:tc>
          <w:tcPr>
            <w:tcW w:w="7280" w:type="dxa"/>
            <w:vAlign w:val="bottom"/>
          </w:tcPr>
          <w:p>
            <w:pPr>
              <w:spacing w:after="0"/>
              <w:rPr>
                <w:sz w:val="20"/>
                <w:szCs w:val="20"/>
                <w:color w:val="auto"/>
              </w:rPr>
            </w:pPr>
            <w:r>
              <w:rPr>
                <w:rFonts w:ascii="Arial" w:cs="Arial" w:eastAsia="Arial" w:hAnsi="Arial"/>
                <w:sz w:val="24"/>
                <w:szCs w:val="24"/>
                <w:b w:val="1"/>
                <w:bCs w:val="1"/>
                <w:color w:val="0C3D25"/>
                <w:w w:val="96"/>
              </w:rPr>
              <w:t>Adjustments to CEO’s SCT Total Compensation to Calculate CAP:</w:t>
            </w: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9"/>
        </w:trPr>
        <w:tc>
          <w:tcPr>
            <w:tcW w:w="7280" w:type="dxa"/>
            <w:vAlign w:val="bottom"/>
          </w:tcPr>
          <w:p>
            <w:pPr>
              <w:spacing w:after="0"/>
              <w:rPr>
                <w:sz w:val="24"/>
                <w:szCs w:val="24"/>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C3D25"/>
              </w:rPr>
              <w:t>2025</w:t>
            </w:r>
          </w:p>
        </w:tc>
      </w:tr>
      <w:tr>
        <w:trPr>
          <w:trHeight w:val="22"/>
        </w:trPr>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Borders>
              <w:bottom w:val="single" w:sz="8" w:color="0C3D25"/>
            </w:tcBorders>
          </w:tcPr>
          <w:p>
            <w:pPr>
              <w:spacing w:after="0" w:line="20" w:lineRule="exact"/>
              <w:rPr>
                <w:sz w:val="1"/>
                <w:szCs w:val="1"/>
                <w:color w:val="auto"/>
              </w:rPr>
            </w:pPr>
          </w:p>
        </w:tc>
      </w:tr>
      <w:tr>
        <w:trPr>
          <w:trHeight w:val="247"/>
        </w:trPr>
        <w:tc>
          <w:tcPr>
            <w:tcW w:w="728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b w:val="1"/>
                <w:bCs w:val="1"/>
                <w:color w:val="auto"/>
              </w:rPr>
              <w:t>19,048,786</w:t>
            </w:r>
          </w:p>
        </w:tc>
      </w:tr>
      <w:tr>
        <w:trPr>
          <w:trHeight w:val="239"/>
        </w:trPr>
        <w:tc>
          <w:tcPr>
            <w:tcW w:w="728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600" w:type="dxa"/>
            <w:vAlign w:val="bottom"/>
            <w:tcBorders>
              <w:bottom w:val="single" w:sz="8" w:color="0C3D25"/>
            </w:tcBorders>
          </w:tcPr>
          <w:p>
            <w:pPr>
              <w:spacing w:after="0"/>
              <w:rPr>
                <w:sz w:val="20"/>
                <w:szCs w:val="20"/>
                <w:color w:val="auto"/>
              </w:rPr>
            </w:pPr>
          </w:p>
        </w:tc>
        <w:tc>
          <w:tcPr>
            <w:tcW w:w="1180" w:type="dxa"/>
            <w:vAlign w:val="bottom"/>
            <w:tcBorders>
              <w:bottom w:val="single" w:sz="8" w:color="0C3D25"/>
            </w:tcBorders>
          </w:tcPr>
          <w:p>
            <w:pPr>
              <w:spacing w:after="0"/>
              <w:rPr>
                <w:sz w:val="20"/>
                <w:szCs w:val="20"/>
                <w:color w:val="auto"/>
              </w:rPr>
            </w:pPr>
          </w:p>
        </w:tc>
      </w:tr>
      <w:tr>
        <w:trPr>
          <w:trHeight w:val="236"/>
        </w:trPr>
        <w:tc>
          <w:tcPr>
            <w:tcW w:w="7280" w:type="dxa"/>
            <w:vAlign w:val="bottom"/>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Grant date fair values of equity awards reported in the</w:t>
            </w:r>
          </w:p>
        </w:tc>
        <w:tc>
          <w:tcPr>
            <w:tcW w:w="16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728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b w:val="1"/>
                <w:bCs w:val="1"/>
                <w:color w:val="auto"/>
              </w:rPr>
              <w:t>14,806,499</w:t>
            </w:r>
          </w:p>
        </w:tc>
      </w:tr>
      <w:tr>
        <w:trPr>
          <w:trHeight w:val="239"/>
        </w:trPr>
        <w:tc>
          <w:tcPr>
            <w:tcW w:w="728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600" w:type="dxa"/>
            <w:vAlign w:val="bottom"/>
            <w:tcBorders>
              <w:bottom w:val="single" w:sz="8" w:color="0C3D25"/>
            </w:tcBorders>
          </w:tcPr>
          <w:p>
            <w:pPr>
              <w:spacing w:after="0"/>
              <w:rPr>
                <w:sz w:val="20"/>
                <w:szCs w:val="20"/>
                <w:color w:val="auto"/>
              </w:rPr>
            </w:pPr>
          </w:p>
        </w:tc>
        <w:tc>
          <w:tcPr>
            <w:tcW w:w="1180" w:type="dxa"/>
            <w:vAlign w:val="bottom"/>
            <w:tcBorders>
              <w:bottom w:val="single" w:sz="8" w:color="0C3D25"/>
            </w:tcBorders>
          </w:tcPr>
          <w:p>
            <w:pPr>
              <w:spacing w:after="0"/>
              <w:rPr>
                <w:sz w:val="20"/>
                <w:szCs w:val="20"/>
                <w:color w:val="auto"/>
              </w:rPr>
            </w:pPr>
          </w:p>
        </w:tc>
      </w:tr>
      <w:tr>
        <w:trPr>
          <w:trHeight w:val="243"/>
        </w:trPr>
        <w:tc>
          <w:tcPr>
            <w:tcW w:w="7280" w:type="dxa"/>
            <w:vAlign w:val="bottom"/>
            <w:tcBorders>
              <w:bottom w:val="single" w:sz="8" w:color="0C3D25"/>
            </w:tcBorders>
          </w:tcPr>
          <w:p>
            <w:pPr>
              <w:ind w:left="60"/>
              <w:spacing w:after="0" w:line="242"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11,505,068</w:t>
            </w:r>
          </w:p>
        </w:tc>
      </w:tr>
      <w:tr>
        <w:trPr>
          <w:trHeight w:val="239"/>
        </w:trPr>
        <w:tc>
          <w:tcPr>
            <w:tcW w:w="728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1,938,394</w:t>
            </w:r>
          </w:p>
        </w:tc>
      </w:tr>
      <w:tr>
        <w:trPr>
          <w:trHeight w:val="239"/>
        </w:trPr>
        <w:tc>
          <w:tcPr>
            <w:tcW w:w="728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5,569,737</w:t>
            </w:r>
          </w:p>
        </w:tc>
      </w:tr>
      <w:tr>
        <w:trPr>
          <w:trHeight w:val="239"/>
        </w:trPr>
        <w:tc>
          <w:tcPr>
            <w:tcW w:w="728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291,180</w:t>
            </w:r>
          </w:p>
        </w:tc>
      </w:tr>
      <w:tr>
        <w:trPr>
          <w:trHeight w:val="239"/>
        </w:trPr>
        <w:tc>
          <w:tcPr>
            <w:tcW w:w="728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2,107,369</w:t>
            </w:r>
          </w:p>
        </w:tc>
      </w:tr>
      <w:tr>
        <w:trPr>
          <w:trHeight w:val="239"/>
        </w:trPr>
        <w:tc>
          <w:tcPr>
            <w:tcW w:w="728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1,289,567</w:t>
            </w:r>
          </w:p>
        </w:tc>
      </w:tr>
      <w:tr>
        <w:trPr>
          <w:trHeight w:val="236"/>
        </w:trPr>
        <w:tc>
          <w:tcPr>
            <w:tcW w:w="728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Dividend equivalents paid upon stock awards vesting during the year</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color w:val="auto"/>
              </w:rPr>
              <w:t>541,596</w:t>
            </w:r>
          </w:p>
        </w:tc>
      </w:tr>
      <w:tr>
        <w:trPr>
          <w:trHeight w:val="239"/>
        </w:trPr>
        <w:tc>
          <w:tcPr>
            <w:tcW w:w="728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2780" w:type="dxa"/>
            <w:vAlign w:val="bottom"/>
            <w:tcBorders>
              <w:bottom w:val="single" w:sz="8" w:color="0C3D25"/>
            </w:tcBorders>
            <w:gridSpan w:val="2"/>
          </w:tcPr>
          <w:p>
            <w:pPr>
              <w:jc w:val="right"/>
              <w:ind w:right="60"/>
              <w:spacing w:after="0"/>
              <w:rPr>
                <w:sz w:val="20"/>
                <w:szCs w:val="20"/>
                <w:color w:val="auto"/>
              </w:rPr>
            </w:pPr>
            <w:r>
              <w:rPr>
                <w:rFonts w:ascii="Arial" w:cs="Arial" w:eastAsia="Arial" w:hAnsi="Arial"/>
                <w:sz w:val="20"/>
                <w:szCs w:val="20"/>
                <w:b w:val="1"/>
                <w:bCs w:val="1"/>
                <w:color w:val="auto"/>
              </w:rPr>
              <w:t>23,242,911</w:t>
            </w:r>
          </w:p>
        </w:tc>
      </w:tr>
      <w:tr>
        <w:trPr>
          <w:trHeight w:val="236"/>
        </w:trPr>
        <w:tc>
          <w:tcPr>
            <w:tcW w:w="728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27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27,485,198</w:t>
            </w:r>
          </w:p>
        </w:tc>
      </w:tr>
      <w:tr>
        <w:trPr>
          <w:trHeight w:val="32"/>
        </w:trPr>
        <w:tc>
          <w:tcPr>
            <w:tcW w:w="7280" w:type="dxa"/>
            <w:vAlign w:val="bottom"/>
            <w:tcBorders>
              <w:bottom w:val="single" w:sz="8" w:color="0C3D25"/>
            </w:tcBorders>
          </w:tcPr>
          <w:p>
            <w:pPr>
              <w:spacing w:after="0"/>
              <w:rPr>
                <w:sz w:val="2"/>
                <w:szCs w:val="2"/>
                <w:color w:val="auto"/>
              </w:rPr>
            </w:pPr>
          </w:p>
        </w:tc>
        <w:tc>
          <w:tcPr>
            <w:tcW w:w="160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r>
    </w:tbl>
    <w:p>
      <w:pPr>
        <w:spacing w:after="0" w:line="11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r>
    </w:p>
    <w:p>
      <w:pPr>
        <w:spacing w:after="0"/>
        <w:rPr>
          <w:sz w:val="20"/>
          <w:szCs w:val="20"/>
          <w:color w:val="auto"/>
        </w:rPr>
      </w:pPr>
      <w:r>
        <w:rPr>
          <w:rFonts w:ascii="Arial" w:cs="Arial" w:eastAsia="Arial" w:hAnsi="Arial"/>
          <w:sz w:val="22"/>
          <w:szCs w:val="22"/>
          <w:b w:val="1"/>
          <w:bCs w:val="1"/>
          <w:color w:val="0C3D25"/>
        </w:rPr>
        <w:t>Adjustments to Non-CEO NEOs Average SCT Total Compensation to Calculate Average CAP: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C3D25"/>
              </w:rPr>
              <w:t>2025</w:t>
            </w:r>
          </w:p>
        </w:tc>
      </w:tr>
      <w:tr>
        <w:trPr>
          <w:trHeight w:val="22"/>
        </w:trPr>
        <w:tc>
          <w:tcPr>
            <w:tcW w:w="9000" w:type="dxa"/>
            <w:vAlign w:val="bottom"/>
          </w:tcPr>
          <w:p>
            <w:pPr>
              <w:spacing w:after="0" w:line="20" w:lineRule="exact"/>
              <w:rPr>
                <w:sz w:val="1"/>
                <w:szCs w:val="1"/>
                <w:color w:val="auto"/>
              </w:rPr>
            </w:pPr>
          </w:p>
        </w:tc>
        <w:tc>
          <w:tcPr>
            <w:tcW w:w="1060" w:type="dxa"/>
            <w:vAlign w:val="bottom"/>
            <w:tcBorders>
              <w:bottom w:val="single" w:sz="8" w:color="0C3D25"/>
            </w:tcBorders>
          </w:tcPr>
          <w:p>
            <w:pPr>
              <w:spacing w:after="0" w:line="20" w:lineRule="exact"/>
              <w:rPr>
                <w:sz w:val="1"/>
                <w:szCs w:val="1"/>
                <w:color w:val="auto"/>
              </w:rPr>
            </w:pPr>
          </w:p>
        </w:tc>
      </w:tr>
      <w:tr>
        <w:trPr>
          <w:trHeight w:val="247"/>
        </w:trPr>
        <w:tc>
          <w:tcPr>
            <w:tcW w:w="900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4,897,001</w:t>
            </w:r>
          </w:p>
        </w:tc>
      </w:tr>
      <w:tr>
        <w:trPr>
          <w:trHeight w:val="239"/>
        </w:trPr>
        <w:tc>
          <w:tcPr>
            <w:tcW w:w="900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060" w:type="dxa"/>
            <w:vAlign w:val="bottom"/>
            <w:tcBorders>
              <w:bottom w:val="single" w:sz="8" w:color="0C3D25"/>
            </w:tcBorders>
          </w:tcPr>
          <w:p>
            <w:pPr>
              <w:spacing w:after="0"/>
              <w:rPr>
                <w:sz w:val="20"/>
                <w:szCs w:val="20"/>
                <w:color w:val="auto"/>
              </w:rPr>
            </w:pPr>
          </w:p>
        </w:tc>
      </w:tr>
      <w:tr>
        <w:trPr>
          <w:trHeight w:val="236"/>
        </w:trPr>
        <w:tc>
          <w:tcPr>
            <w:tcW w:w="9000" w:type="dxa"/>
            <w:vAlign w:val="bottom"/>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Grant date fair values of equity awards reported in the</w:t>
            </w:r>
          </w:p>
        </w:tc>
        <w:tc>
          <w:tcPr>
            <w:tcW w:w="1060" w:type="dxa"/>
            <w:vAlign w:val="bottom"/>
          </w:tcPr>
          <w:p>
            <w:pPr>
              <w:spacing w:after="0"/>
              <w:rPr>
                <w:sz w:val="20"/>
                <w:szCs w:val="20"/>
                <w:color w:val="auto"/>
              </w:rPr>
            </w:pPr>
          </w:p>
        </w:tc>
      </w:tr>
      <w:tr>
        <w:trPr>
          <w:trHeight w:val="243"/>
        </w:trPr>
        <w:tc>
          <w:tcPr>
            <w:tcW w:w="900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3,291,935</w:t>
            </w:r>
          </w:p>
        </w:tc>
      </w:tr>
      <w:tr>
        <w:trPr>
          <w:trHeight w:val="239"/>
        </w:trPr>
        <w:tc>
          <w:tcPr>
            <w:tcW w:w="900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060" w:type="dxa"/>
            <w:vAlign w:val="bottom"/>
            <w:tcBorders>
              <w:bottom w:val="single" w:sz="8" w:color="0C3D25"/>
            </w:tcBorders>
          </w:tcPr>
          <w:p>
            <w:pPr>
              <w:spacing w:after="0"/>
              <w:rPr>
                <w:sz w:val="20"/>
                <w:szCs w:val="20"/>
                <w:color w:val="auto"/>
              </w:rPr>
            </w:pPr>
          </w:p>
        </w:tc>
      </w:tr>
      <w:tr>
        <w:trPr>
          <w:trHeight w:val="243"/>
        </w:trPr>
        <w:tc>
          <w:tcPr>
            <w:tcW w:w="9000" w:type="dxa"/>
            <w:vAlign w:val="bottom"/>
            <w:tcBorders>
              <w:bottom w:val="single" w:sz="8" w:color="0C3D25"/>
            </w:tcBorders>
          </w:tcPr>
          <w:p>
            <w:pPr>
              <w:ind w:left="60"/>
              <w:spacing w:after="0" w:line="242"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2,729,515</w:t>
            </w:r>
          </w:p>
        </w:tc>
      </w:tr>
      <w:tr>
        <w:trPr>
          <w:trHeight w:val="239"/>
        </w:trPr>
        <w:tc>
          <w:tcPr>
            <w:tcW w:w="900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323,049</w:t>
            </w:r>
          </w:p>
        </w:tc>
      </w:tr>
      <w:tr>
        <w:trPr>
          <w:trHeight w:val="239"/>
        </w:trPr>
        <w:tc>
          <w:tcPr>
            <w:tcW w:w="900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1,094,083</w:t>
            </w:r>
          </w:p>
        </w:tc>
      </w:tr>
      <w:tr>
        <w:trPr>
          <w:trHeight w:val="239"/>
        </w:trPr>
        <w:tc>
          <w:tcPr>
            <w:tcW w:w="900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55,677</w:t>
            </w:r>
          </w:p>
        </w:tc>
      </w:tr>
      <w:tr>
        <w:trPr>
          <w:trHeight w:val="239"/>
        </w:trPr>
        <w:tc>
          <w:tcPr>
            <w:tcW w:w="900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544,624</w:t>
            </w:r>
          </w:p>
        </w:tc>
      </w:tr>
      <w:tr>
        <w:trPr>
          <w:trHeight w:val="239"/>
        </w:trPr>
        <w:tc>
          <w:tcPr>
            <w:tcW w:w="9000" w:type="dxa"/>
            <w:vAlign w:val="bottom"/>
            <w:tcBorders>
              <w:bottom w:val="single" w:sz="8" w:color="0C3D25"/>
            </w:tcBorders>
          </w:tcPr>
          <w:p>
            <w:pPr>
              <w:ind w:left="60"/>
              <w:spacing w:after="0" w:line="239" w:lineRule="exact"/>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247,170</w:t>
            </w:r>
          </w:p>
        </w:tc>
      </w:tr>
      <w:tr>
        <w:trPr>
          <w:trHeight w:val="236"/>
        </w:trPr>
        <w:tc>
          <w:tcPr>
            <w:tcW w:w="900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0C3D25"/>
              </w:rPr>
              <w:t xml:space="preserve">• </w:t>
            </w:r>
            <w:r>
              <w:rPr>
                <w:rFonts w:ascii="Arial" w:cs="Arial" w:eastAsia="Arial" w:hAnsi="Arial"/>
                <w:sz w:val="20"/>
                <w:szCs w:val="20"/>
                <w:color w:val="000000"/>
              </w:rPr>
              <w:t>Dividend equivalents paid upon stock awards vesting during the year</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color w:val="auto"/>
              </w:rPr>
              <w:t>143,774</w:t>
            </w:r>
          </w:p>
        </w:tc>
      </w:tr>
      <w:tr>
        <w:trPr>
          <w:trHeight w:val="239"/>
        </w:trPr>
        <w:tc>
          <w:tcPr>
            <w:tcW w:w="9000" w:type="dxa"/>
            <w:vAlign w:val="bottom"/>
            <w:tcBorders>
              <w:bottom w:val="single" w:sz="8" w:color="0C3D25"/>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1060" w:type="dxa"/>
            <w:vAlign w:val="bottom"/>
            <w:tcBorders>
              <w:bottom w:val="single" w:sz="8" w:color="0C3D25"/>
            </w:tcBorders>
          </w:tcPr>
          <w:p>
            <w:pPr>
              <w:jc w:val="right"/>
              <w:spacing w:after="0"/>
              <w:rPr>
                <w:sz w:val="20"/>
                <w:szCs w:val="20"/>
                <w:color w:val="auto"/>
              </w:rPr>
            </w:pPr>
            <w:r>
              <w:rPr>
                <w:rFonts w:ascii="Arial" w:cs="Arial" w:eastAsia="Arial" w:hAnsi="Arial"/>
                <w:sz w:val="20"/>
                <w:szCs w:val="20"/>
                <w:b w:val="1"/>
                <w:bCs w:val="1"/>
                <w:color w:val="auto"/>
              </w:rPr>
              <w:t>5,137,892</w:t>
            </w:r>
          </w:p>
        </w:tc>
      </w:tr>
      <w:tr>
        <w:trPr>
          <w:trHeight w:val="236"/>
        </w:trPr>
        <w:tc>
          <w:tcPr>
            <w:tcW w:w="900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6,742,958</w:t>
            </w:r>
          </w:p>
        </w:tc>
      </w:tr>
      <w:tr>
        <w:trPr>
          <w:trHeight w:val="32"/>
        </w:trPr>
        <w:tc>
          <w:tcPr>
            <w:tcW w:w="9000" w:type="dxa"/>
            <w:vAlign w:val="bottom"/>
            <w:tcBorders>
              <w:bottom w:val="single" w:sz="8" w:color="0C3D25"/>
            </w:tcBorders>
          </w:tcPr>
          <w:p>
            <w:pPr>
              <w:spacing w:after="0"/>
              <w:rPr>
                <w:sz w:val="2"/>
                <w:szCs w:val="2"/>
                <w:color w:val="auto"/>
              </w:rPr>
            </w:pPr>
          </w:p>
        </w:tc>
        <w:tc>
          <w:tcPr>
            <w:tcW w:w="1060" w:type="dxa"/>
            <w:vAlign w:val="bottom"/>
            <w:tcBorders>
              <w:bottom w:val="single" w:sz="8" w:color="0C3D25"/>
            </w:tcBorders>
          </w:tcPr>
          <w:p>
            <w:pPr>
              <w:spacing w:after="0"/>
              <w:rPr>
                <w:sz w:val="2"/>
                <w:szCs w:val="2"/>
                <w:color w:val="auto"/>
              </w:rPr>
            </w:pPr>
          </w:p>
        </w:tc>
      </w:tr>
    </w:tbl>
    <w:p>
      <w:pPr>
        <w:spacing w:after="0" w:line="42" w:lineRule="exact"/>
        <w:rPr>
          <w:sz w:val="20"/>
          <w:szCs w:val="20"/>
          <w:color w:val="auto"/>
        </w:rPr>
      </w:pPr>
    </w:p>
    <w:p>
      <w:pPr>
        <w:jc w:val="both"/>
        <w:ind w:left="800" w:hanging="403"/>
        <w:spacing w:after="0" w:line="269" w:lineRule="auto"/>
        <w:tabs>
          <w:tab w:leader="none" w:pos="7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2025 CAP:</w:t>
      </w:r>
    </w:p>
    <w:p>
      <w:pPr>
        <w:spacing w:after="0" w:line="10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660" w:type="dxa"/>
            <w:vAlign w:val="bottom"/>
          </w:tcPr>
          <w:p>
            <w:pPr>
              <w:ind w:left="60"/>
              <w:spacing w:after="0"/>
              <w:rPr>
                <w:sz w:val="20"/>
                <w:szCs w:val="20"/>
                <w:color w:val="auto"/>
              </w:rPr>
            </w:pPr>
            <w:r>
              <w:rPr>
                <w:rFonts w:ascii="Arial" w:cs="Arial" w:eastAsia="Arial" w:hAnsi="Arial"/>
                <w:sz w:val="16"/>
                <w:szCs w:val="16"/>
                <w:b w:val="1"/>
                <w:bCs w:val="1"/>
                <w:color w:val="0C3D25"/>
              </w:rPr>
              <w:t>Projected Payout of Unvested Cash Flow PSUs at Year-End</w:t>
            </w:r>
          </w:p>
        </w:tc>
        <w:tc>
          <w:tcPr>
            <w:tcW w:w="1340" w:type="dxa"/>
            <w:vAlign w:val="bottom"/>
          </w:tcPr>
          <w:p>
            <w:pPr>
              <w:ind w:left="780"/>
              <w:spacing w:after="0"/>
              <w:rPr>
                <w:sz w:val="20"/>
                <w:szCs w:val="20"/>
                <w:color w:val="auto"/>
              </w:rPr>
            </w:pPr>
            <w:r>
              <w:rPr>
                <w:rFonts w:ascii="Arial" w:cs="Arial" w:eastAsia="Arial" w:hAnsi="Arial"/>
                <w:sz w:val="16"/>
                <w:szCs w:val="16"/>
                <w:b w:val="1"/>
                <w:bCs w:val="1"/>
                <w:color w:val="0C3D25"/>
              </w:rPr>
              <w:t>2025</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C3D25"/>
              </w:rPr>
              <w:t>2024</w:t>
            </w:r>
          </w:p>
        </w:tc>
        <w:tc>
          <w:tcPr>
            <w:tcW w:w="80" w:type="dxa"/>
            <w:vAlign w:val="bottom"/>
          </w:tcPr>
          <w:p>
            <w:pPr>
              <w:spacing w:after="0"/>
              <w:rPr>
                <w:sz w:val="16"/>
                <w:szCs w:val="16"/>
                <w:color w:val="auto"/>
              </w:rPr>
            </w:pPr>
          </w:p>
        </w:tc>
      </w:tr>
      <w:tr>
        <w:trPr>
          <w:trHeight w:val="42"/>
        </w:trPr>
        <w:tc>
          <w:tcPr>
            <w:tcW w:w="6660" w:type="dxa"/>
            <w:vAlign w:val="bottom"/>
            <w:tcBorders>
              <w:bottom w:val="single" w:sz="8" w:color="0C3D25"/>
            </w:tcBorders>
          </w:tcPr>
          <w:p>
            <w:pPr>
              <w:spacing w:after="0"/>
              <w:rPr>
                <w:sz w:val="3"/>
                <w:szCs w:val="3"/>
                <w:color w:val="auto"/>
              </w:rPr>
            </w:pPr>
          </w:p>
        </w:tc>
        <w:tc>
          <w:tcPr>
            <w:tcW w:w="1340" w:type="dxa"/>
            <w:vAlign w:val="bottom"/>
            <w:tcBorders>
              <w:bottom w:val="single" w:sz="8" w:color="0C3D25"/>
            </w:tcBorders>
          </w:tcPr>
          <w:p>
            <w:pPr>
              <w:spacing w:after="0"/>
              <w:rPr>
                <w:sz w:val="3"/>
                <w:szCs w:val="3"/>
                <w:color w:val="auto"/>
              </w:rPr>
            </w:pPr>
          </w:p>
        </w:tc>
        <w:tc>
          <w:tcPr>
            <w:tcW w:w="460" w:type="dxa"/>
            <w:vAlign w:val="bottom"/>
            <w:tcBorders>
              <w:bottom w:val="single" w:sz="8" w:color="0C3D25"/>
            </w:tcBorders>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12/31/2025</w:t>
            </w:r>
          </w:p>
        </w:tc>
        <w:tc>
          <w:tcPr>
            <w:tcW w:w="13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75%</w:t>
            </w:r>
          </w:p>
        </w:tc>
      </w:tr>
      <w:tr>
        <w:trPr>
          <w:trHeight w:val="27"/>
        </w:trPr>
        <w:tc>
          <w:tcPr>
            <w:tcW w:w="666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c>
          <w:tcPr>
            <w:tcW w:w="460" w:type="dxa"/>
            <w:vAlign w:val="bottom"/>
            <w:tcBorders>
              <w:bottom w:val="single" w:sz="8" w:color="0C3D25"/>
            </w:tcBorders>
          </w:tcPr>
          <w:p>
            <w:pPr>
              <w:spacing w:after="0"/>
              <w:rPr>
                <w:sz w:val="2"/>
                <w:szCs w:val="2"/>
                <w:color w:val="auto"/>
              </w:rPr>
            </w:pPr>
          </w:p>
        </w:tc>
        <w:tc>
          <w:tcPr>
            <w:tcW w:w="80" w:type="dxa"/>
            <w:vAlign w:val="bottom"/>
          </w:tcPr>
          <w:p>
            <w:pPr>
              <w:spacing w:after="0"/>
              <w:rPr>
                <w:sz w:val="2"/>
                <w:szCs w:val="2"/>
                <w:color w:val="auto"/>
              </w:rPr>
            </w:pPr>
          </w:p>
        </w:tc>
      </w:tr>
      <w:tr>
        <w:trPr>
          <w:trHeight w:val="25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12/31/2026</w:t>
            </w:r>
          </w:p>
        </w:tc>
        <w:tc>
          <w:tcPr>
            <w:tcW w:w="1340" w:type="dxa"/>
            <w:vAlign w:val="bottom"/>
          </w:tcPr>
          <w:p>
            <w:pPr>
              <w:ind w:left="800"/>
              <w:spacing w:after="0"/>
              <w:rPr>
                <w:sz w:val="20"/>
                <w:szCs w:val="20"/>
                <w:color w:val="auto"/>
              </w:rPr>
            </w:pPr>
            <w:r>
              <w:rPr>
                <w:rFonts w:ascii="Arial" w:cs="Arial" w:eastAsia="Arial" w:hAnsi="Arial"/>
                <w:sz w:val="20"/>
                <w:szCs w:val="20"/>
                <w:color w:val="auto"/>
              </w:rPr>
              <w:t>200%</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100%</w:t>
            </w:r>
          </w:p>
        </w:tc>
      </w:tr>
      <w:tr>
        <w:trPr>
          <w:trHeight w:val="27"/>
        </w:trPr>
        <w:tc>
          <w:tcPr>
            <w:tcW w:w="666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c>
          <w:tcPr>
            <w:tcW w:w="460" w:type="dxa"/>
            <w:vAlign w:val="bottom"/>
            <w:tcBorders>
              <w:bottom w:val="single" w:sz="8" w:color="0C3D25"/>
            </w:tcBorders>
          </w:tcPr>
          <w:p>
            <w:pPr>
              <w:spacing w:after="0"/>
              <w:rPr>
                <w:sz w:val="2"/>
                <w:szCs w:val="2"/>
                <w:color w:val="auto"/>
              </w:rPr>
            </w:pPr>
          </w:p>
        </w:tc>
        <w:tc>
          <w:tcPr>
            <w:tcW w:w="80" w:type="dxa"/>
            <w:vAlign w:val="bottom"/>
          </w:tcPr>
          <w:p>
            <w:pPr>
              <w:spacing w:after="0"/>
              <w:rPr>
                <w:sz w:val="2"/>
                <w:szCs w:val="2"/>
                <w:color w:val="auto"/>
              </w:rPr>
            </w:pPr>
          </w:p>
        </w:tc>
      </w:tr>
      <w:tr>
        <w:trPr>
          <w:trHeight w:val="25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12/31/2027</w:t>
            </w:r>
          </w:p>
        </w:tc>
        <w:tc>
          <w:tcPr>
            <w:tcW w:w="1340" w:type="dxa"/>
            <w:vAlign w:val="bottom"/>
          </w:tcPr>
          <w:p>
            <w:pPr>
              <w:ind w:left="800"/>
              <w:spacing w:after="0"/>
              <w:rPr>
                <w:sz w:val="20"/>
                <w:szCs w:val="20"/>
                <w:color w:val="auto"/>
              </w:rPr>
            </w:pPr>
            <w:r>
              <w:rPr>
                <w:rFonts w:ascii="Arial" w:cs="Arial" w:eastAsia="Arial" w:hAnsi="Arial"/>
                <w:sz w:val="20"/>
                <w:szCs w:val="20"/>
                <w:color w:val="auto"/>
              </w:rPr>
              <w:t>100%</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
        </w:trPr>
        <w:tc>
          <w:tcPr>
            <w:tcW w:w="6660" w:type="dxa"/>
            <w:vAlign w:val="bottom"/>
            <w:tcBorders>
              <w:bottom w:val="single" w:sz="8" w:color="0C3D25"/>
            </w:tcBorders>
          </w:tcPr>
          <w:p>
            <w:pPr>
              <w:spacing w:after="0"/>
              <w:rPr>
                <w:sz w:val="2"/>
                <w:szCs w:val="2"/>
                <w:color w:val="auto"/>
              </w:rPr>
            </w:pPr>
          </w:p>
        </w:tc>
        <w:tc>
          <w:tcPr>
            <w:tcW w:w="1340" w:type="dxa"/>
            <w:vAlign w:val="bottom"/>
            <w:tcBorders>
              <w:bottom w:val="single" w:sz="8" w:color="0C3D25"/>
            </w:tcBorders>
          </w:tcPr>
          <w:p>
            <w:pPr>
              <w:spacing w:after="0"/>
              <w:rPr>
                <w:sz w:val="2"/>
                <w:szCs w:val="2"/>
                <w:color w:val="auto"/>
              </w:rPr>
            </w:pPr>
          </w:p>
        </w:tc>
        <w:tc>
          <w:tcPr>
            <w:tcW w:w="460" w:type="dxa"/>
            <w:vAlign w:val="bottom"/>
            <w:tcBorders>
              <w:bottom w:val="single" w:sz="8" w:color="0C3D25"/>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40" w:lineRule="exact"/>
        <w:rPr>
          <w:sz w:val="20"/>
          <w:szCs w:val="20"/>
          <w:color w:val="auto"/>
        </w:rPr>
      </w:pPr>
    </w:p>
    <w:p>
      <w:pPr>
        <w:jc w:val="both"/>
        <w:ind w:left="800"/>
        <w:spacing w:after="0" w:line="239" w:lineRule="auto"/>
        <w:rPr>
          <w:sz w:val="20"/>
          <w:szCs w:val="20"/>
          <w:color w:val="auto"/>
        </w:rPr>
      </w:pPr>
      <w:r>
        <w:rPr>
          <w:rFonts w:ascii="Arial" w:cs="Arial" w:eastAsia="Arial" w:hAnsi="Arial"/>
          <w:sz w:val="20"/>
          <w:szCs w:val="20"/>
          <w:color w:val="auto"/>
        </w:rPr>
        <w:t>Stock awards also includes (i) RSUs that vested for each of the NEOs in 2025; (ii) unvested RSUs that were granted to Ms. Hemmer, Mr. Morris and Mr. Reed in 2025; and (iii) unvested RSUs that were granted to Mr. Reed in 2023 and 2024. The fair value of an RSU is equal to the average of the high and low market price of our Common Stock on the given date.</w:t>
      </w:r>
    </w:p>
    <w:p>
      <w:pPr>
        <w:spacing w:after="0" w:line="200" w:lineRule="exact"/>
        <w:rPr>
          <w:sz w:val="20"/>
          <w:szCs w:val="20"/>
          <w:color w:val="auto"/>
        </w:rPr>
      </w:pPr>
    </w:p>
    <w:p>
      <w:pPr>
        <w:spacing w:after="0" w:line="23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6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69" w:name="page70"/>
    <w:bookmarkEnd w:id="69"/>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EXECUTIVE COMPENSATION</w:t>
      </w:r>
    </w:p>
    <w:p>
      <w:pPr>
        <w:spacing w:after="0" w:line="209" w:lineRule="exact"/>
        <w:rPr>
          <w:sz w:val="20"/>
          <w:szCs w:val="20"/>
          <w:color w:val="auto"/>
        </w:rPr>
      </w:pPr>
    </w:p>
    <w:p>
      <w:pPr>
        <w:ind w:left="802" w:hanging="403"/>
        <w:spacing w:after="0"/>
        <w:tabs>
          <w:tab w:leader="none" w:pos="802" w:val="left"/>
        </w:tabs>
        <w:numPr>
          <w:ilvl w:val="1"/>
          <w:numId w:val="44"/>
        </w:numPr>
        <w:rPr>
          <w:rFonts w:ascii="Arial" w:cs="Arial" w:eastAsia="Arial" w:hAnsi="Arial"/>
          <w:sz w:val="20"/>
          <w:szCs w:val="20"/>
          <w:color w:val="auto"/>
        </w:rPr>
      </w:pPr>
      <w:r>
        <w:rPr>
          <w:rFonts w:ascii="Arial" w:cs="Arial" w:eastAsia="Arial" w:hAnsi="Arial"/>
          <w:sz w:val="20"/>
          <w:szCs w:val="20"/>
          <w:color w:val="auto"/>
        </w:rPr>
        <w:t>Option award fair values are calculated using a Black-Scholes option pricing model.</w:t>
      </w:r>
    </w:p>
    <w:p>
      <w:pPr>
        <w:spacing w:after="0" w:line="153" w:lineRule="exact"/>
        <w:rPr>
          <w:rFonts w:ascii="Arial" w:cs="Arial" w:eastAsia="Arial" w:hAnsi="Arial"/>
          <w:sz w:val="20"/>
          <w:szCs w:val="20"/>
          <w:color w:val="auto"/>
        </w:rPr>
      </w:pPr>
    </w:p>
    <w:p>
      <w:pPr>
        <w:jc w:val="both"/>
        <w:ind w:left="402" w:hanging="402"/>
        <w:spacing w:after="0" w:line="278" w:lineRule="auto"/>
        <w:tabs>
          <w:tab w:leader="none" w:pos="40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Total shareholder return (“TSR”) is based on a hypothetical $100 investment on December 31, 2020. The TSR amounts shown for 2021 represent the value of that $100 investment on December 31, 2021, and TSR is then calculated, on a cumulative basis, as of December 31, 2022, December 31, 2023, December 31, 2024 and December 31, 2025. The Peer Group TSR refers to the Dow Jones Waste &amp; Disposal Services Index.</w:t>
      </w:r>
    </w:p>
    <w:p>
      <w:pPr>
        <w:spacing w:after="0" w:line="118" w:lineRule="exact"/>
        <w:rPr>
          <w:rFonts w:ascii="Arial" w:cs="Arial" w:eastAsia="Arial" w:hAnsi="Arial"/>
          <w:sz w:val="19"/>
          <w:szCs w:val="19"/>
          <w:color w:val="auto"/>
        </w:rPr>
      </w:pPr>
    </w:p>
    <w:p>
      <w:pPr>
        <w:ind w:left="402" w:hanging="402"/>
        <w:spacing w:after="0"/>
        <w:tabs>
          <w:tab w:leader="none" w:pos="402" w:val="left"/>
        </w:tabs>
        <w:numPr>
          <w:ilvl w:val="0"/>
          <w:numId w:val="45"/>
        </w:numPr>
        <w:rPr>
          <w:rFonts w:ascii="Arial" w:cs="Arial" w:eastAsia="Arial" w:hAnsi="Arial"/>
          <w:sz w:val="20"/>
          <w:szCs w:val="20"/>
          <w:color w:val="auto"/>
        </w:rPr>
      </w:pPr>
      <w:r>
        <w:rPr>
          <w:rFonts w:ascii="Arial" w:cs="Arial" w:eastAsia="Arial" w:hAnsi="Arial"/>
          <w:sz w:val="20"/>
          <w:szCs w:val="20"/>
          <w:color w:val="auto"/>
        </w:rPr>
        <w:t>Net income refers to the financial statement line item “Net income attributable to Waste Management, Inc.”</w:t>
      </w:r>
    </w:p>
    <w:p>
      <w:pPr>
        <w:spacing w:after="0" w:line="255"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Tabular Disclosure of Most Important Measures to Determine 2025 CAP</w:t>
      </w:r>
    </w:p>
    <w:p>
      <w:pPr>
        <w:spacing w:after="0" w:line="141" w:lineRule="exact"/>
        <w:rPr>
          <w:sz w:val="20"/>
          <w:szCs w:val="20"/>
          <w:color w:val="auto"/>
        </w:rPr>
      </w:pPr>
    </w:p>
    <w:p>
      <w:pPr>
        <w:jc w:val="both"/>
        <w:ind w:left="2"/>
        <w:spacing w:after="0" w:line="260" w:lineRule="auto"/>
        <w:rPr>
          <w:sz w:val="20"/>
          <w:szCs w:val="20"/>
          <w:color w:val="auto"/>
        </w:rPr>
      </w:pPr>
      <w:r>
        <w:rPr>
          <w:rFonts w:ascii="Arial" w:cs="Arial" w:eastAsia="Arial" w:hAnsi="Arial"/>
          <w:sz w:val="20"/>
          <w:szCs w:val="20"/>
          <w:color w:val="auto"/>
        </w:rPr>
        <w:t xml:space="preserve">The five items listed below represent the most important measures used to determine CAP for 2025 for all of our NEOs, as each measure and its impact on executive compensation is further described in our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w:t>
      </w:r>
    </w:p>
    <w:p>
      <w:pPr>
        <w:spacing w:after="0" w:line="109"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Most Important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38619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02.85pt,1.65pt" o:allowincell="f" strokecolor="#0C3D25" strokeweight="0.499pt"/>
            </w:pict>
          </mc:Fallback>
        </mc:AlternateContent>
      </w:r>
    </w:p>
    <w:p>
      <w:pPr>
        <w:spacing w:after="0" w:line="51" w:lineRule="exact"/>
        <w:rPr>
          <w:sz w:val="20"/>
          <w:szCs w:val="20"/>
          <w:color w:val="auto"/>
        </w:rPr>
      </w:pPr>
    </w:p>
    <w:p>
      <w:pPr>
        <w:ind w:left="62"/>
        <w:spacing w:after="0"/>
        <w:rPr>
          <w:sz w:val="20"/>
          <w:szCs w:val="20"/>
          <w:color w:val="auto"/>
        </w:rPr>
      </w:pPr>
      <w:r>
        <w:rPr>
          <w:rFonts w:ascii="Arial" w:cs="Arial" w:eastAsia="Arial" w:hAnsi="Arial"/>
          <w:sz w:val="20"/>
          <w:szCs w:val="20"/>
          <w:color w:val="auto"/>
        </w:rPr>
        <w:t>TSR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C3D25"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Cash Flow Generation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C3D25"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Operating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C3D25"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Margin Performance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C3D25"/>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C3D25"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Internal Revenue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638619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C3D25"/>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502.85pt,1.95pt" o:allowincell="f" strokecolor="#0C3D25" strokeweight="0.7969pt"/>
            </w:pict>
          </mc:Fallback>
        </mc:AlternateConten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Narrative Disclosure to Pay Versus Performance Table</w:t>
      </w:r>
    </w:p>
    <w:p>
      <w:pPr>
        <w:spacing w:after="0" w:line="141" w:lineRule="exact"/>
        <w:rPr>
          <w:sz w:val="20"/>
          <w:szCs w:val="20"/>
          <w:color w:val="auto"/>
        </w:rPr>
      </w:pPr>
    </w:p>
    <w:p>
      <w:pPr>
        <w:jc w:val="both"/>
        <w:ind w:left="2"/>
        <w:spacing w:after="0" w:line="260" w:lineRule="auto"/>
        <w:rPr>
          <w:sz w:val="20"/>
          <w:szCs w:val="20"/>
          <w:color w:val="auto"/>
        </w:rPr>
      </w:pPr>
      <w:r>
        <w:rPr>
          <w:rFonts w:ascii="Arial" w:cs="Arial" w:eastAsia="Arial" w:hAnsi="Arial"/>
          <w:sz w:val="20"/>
          <w:szCs w:val="20"/>
          <w:color w:val="auto"/>
        </w:rPr>
        <w:t>The following charts reflect the relationship of CAP over the five-year period ended December 31, 2025 to trends in the Company’s TSR, net income and Operating EBITDA over the same period. In addition, the first chart below reflects that the Company’s TSR is highly-aligned with the Peer Group TSR.</w:t>
      </w:r>
    </w:p>
    <w:p>
      <w:pPr>
        <w:spacing w:after="0" w:line="134" w:lineRule="exact"/>
        <w:rPr>
          <w:sz w:val="20"/>
          <w:szCs w:val="20"/>
          <w:color w:val="auto"/>
        </w:rPr>
      </w:pPr>
    </w:p>
    <w:p>
      <w:pPr>
        <w:jc w:val="both"/>
        <w:ind w:left="2"/>
        <w:spacing w:after="0" w:line="283" w:lineRule="auto"/>
        <w:rPr>
          <w:sz w:val="20"/>
          <w:szCs w:val="20"/>
          <w:color w:val="auto"/>
        </w:rPr>
      </w:pPr>
      <w:r>
        <w:rPr>
          <w:rFonts w:ascii="Arial" w:cs="Arial" w:eastAsia="Arial" w:hAnsi="Arial"/>
          <w:sz w:val="18"/>
          <w:szCs w:val="18"/>
          <w:color w:val="auto"/>
        </w:rPr>
        <w:t>We believe variations in CAP due to use of ASC Topic 718 fair values for outstanding equity grants at specified points in time have resulted in CAP for the five-year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 the S&amp;P 500 having exceeded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since 2021. Due to the size of our CEO’s annual equity incentive award and the fact that approximately three-quarters of our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2025.</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6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6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95" w:type="dxa"/>
        <w:tblCellMar>
          <w:top w:w="0" w:type="dxa"/>
          <w:left w:w="0" w:type="dxa"/>
          <w:bottom w:w="0" w:type="dxa"/>
          <w:right w:w="0" w:type="dxa"/>
        </w:tblCellMar>
      </w:tblPr>
      <w:tr>
        <w:trPr>
          <w:trHeight w:val="1280"/>
        </w:trPr>
        <w:tc>
          <w:tcPr>
            <w:tcW w:w="218" w:type="dxa"/>
            <w:vAlign w:val="bottom"/>
            <w:textDirection w:val="btLr"/>
          </w:tcPr>
          <w:p>
            <w:pPr>
              <w:spacing w:after="0"/>
              <w:rPr>
                <w:sz w:val="20"/>
                <w:szCs w:val="20"/>
                <w:color w:val="auto"/>
              </w:rPr>
            </w:pPr>
            <w:r>
              <w:rPr>
                <w:rFonts w:ascii="Arial" w:cs="Arial" w:eastAsia="Arial" w:hAnsi="Arial"/>
                <w:sz w:val="19"/>
                <w:szCs w:val="19"/>
                <w:color w:val="auto"/>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9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-889635</wp:posOffset>
                </wp:positionH>
                <wp:positionV relativeFrom="paragraph">
                  <wp:posOffset>-163195</wp:posOffset>
                </wp:positionV>
                <wp:extent cx="638556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0499pt,-12.8499pt" to="432.75pt,-12.8499pt" o:allowincell="f" strokecolor="#0C3D25" strokeweight="0.998pt"/>
            </w:pict>
          </mc:Fallback>
        </mc:AlternateConten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7460" w:type="dxa"/>
            <w:vAlign w:val="bottom"/>
            <w:gridSpan w:val="27"/>
            <w:vMerge w:val="restart"/>
          </w:tcPr>
          <w:p>
            <w:pPr>
              <w:ind w:left="260"/>
              <w:spacing w:after="0"/>
              <w:rPr>
                <w:sz w:val="20"/>
                <w:szCs w:val="20"/>
                <w:color w:val="auto"/>
              </w:rPr>
            </w:pPr>
            <w:r>
              <w:rPr>
                <w:rFonts w:ascii="Arial" w:cs="Arial" w:eastAsia="Arial" w:hAnsi="Arial"/>
                <w:sz w:val="20"/>
                <w:szCs w:val="20"/>
                <w:b w:val="1"/>
                <w:bCs w:val="1"/>
                <w:color w:val="auto"/>
              </w:rPr>
              <w:t>Relationship of CAP to WM TSR and WM TSR to Peer Group TSR</w:t>
            </w:r>
          </w:p>
        </w:tc>
        <w:tc>
          <w:tcPr>
            <w:tcW w:w="240" w:type="dxa"/>
            <w:vAlign w:val="bottom"/>
            <w:textDirection w:val="btLr"/>
          </w:tcPr>
          <w:p>
            <w:pPr>
              <w:ind w:left="160"/>
              <w:spacing w:after="0"/>
              <w:rPr>
                <w:sz w:val="20"/>
                <w:szCs w:val="20"/>
                <w:color w:val="auto"/>
              </w:rPr>
            </w:pPr>
            <w:r>
              <w:rPr>
                <w:rFonts w:ascii="Arial" w:cs="Arial" w:eastAsia="Arial" w:hAnsi="Arial"/>
                <w:sz w:val="7"/>
                <w:szCs w:val="7"/>
                <w:color w:val="auto"/>
                <w:w w:val="74"/>
              </w:rPr>
              <w:t>12/31/20)</w:t>
            </w: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7460" w:type="dxa"/>
            <w:vAlign w:val="bottom"/>
            <w:gridSpan w:val="27"/>
            <w:vMerge w:val="continue"/>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6"/>
        </w:trPr>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50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6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3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120" w:type="dxa"/>
            <w:vAlign w:val="bottom"/>
            <w:tcBorders>
              <w:bottom w:val="single" w:sz="8" w:color="BFBFBF"/>
            </w:tcBorders>
          </w:tcPr>
          <w:p>
            <w:pPr>
              <w:spacing w:after="0"/>
              <w:rPr>
                <w:sz w:val="23"/>
                <w:szCs w:val="23"/>
                <w:color w:val="auto"/>
              </w:rPr>
            </w:pPr>
          </w:p>
        </w:tc>
        <w:tc>
          <w:tcPr>
            <w:tcW w:w="500" w:type="dxa"/>
            <w:vAlign w:val="bottom"/>
            <w:tcBorders>
              <w:bottom w:val="single" w:sz="8" w:color="BFBFBF"/>
            </w:tcBorders>
          </w:tcPr>
          <w:p>
            <w:pPr>
              <w:spacing w:after="0"/>
              <w:rPr>
                <w:sz w:val="23"/>
                <w:szCs w:val="23"/>
                <w:color w:val="auto"/>
              </w:rPr>
            </w:pPr>
          </w:p>
        </w:tc>
        <w:tc>
          <w:tcPr>
            <w:tcW w:w="46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38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26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$200</w:t>
            </w: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w w:val="94"/>
              </w:rPr>
              <w:t>on</w:t>
            </w: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60" w:type="dxa"/>
            <w:vAlign w:val="bottom"/>
          </w:tcPr>
          <w:p>
            <w:pPr>
              <w:spacing w:after="0"/>
              <w:rPr>
                <w:sz w:val="9"/>
                <w:szCs w:val="9"/>
                <w:color w:val="auto"/>
              </w:rPr>
            </w:pPr>
          </w:p>
        </w:tc>
        <w:tc>
          <w:tcPr>
            <w:tcW w:w="440" w:type="dxa"/>
            <w:vAlign w:val="bottom"/>
            <w:tcBorders>
              <w:right w:val="single" w:sz="8" w:color="E4B065"/>
            </w:tcBorders>
            <w:shd w:val="clear" w:color="auto" w:fill="E4B065"/>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BFBFBF"/>
            </w:tcBorders>
          </w:tcPr>
          <w:p>
            <w:pPr>
              <w:spacing w:after="0"/>
              <w:rPr>
                <w:sz w:val="11"/>
                <w:szCs w:val="11"/>
                <w:color w:val="auto"/>
              </w:rPr>
            </w:pPr>
          </w:p>
        </w:tc>
        <w:tc>
          <w:tcPr>
            <w:tcW w:w="440" w:type="dxa"/>
            <w:vAlign w:val="bottom"/>
            <w:tcBorders>
              <w:bottom w:val="single" w:sz="8" w:color="E4B065"/>
              <w:right w:val="single" w:sz="8" w:color="E4B065"/>
            </w:tcBorders>
            <w:shd w:val="clear" w:color="auto" w:fill="E4B065"/>
          </w:tcPr>
          <w:p>
            <w:pPr>
              <w:spacing w:after="0"/>
              <w:rPr>
                <w:sz w:val="11"/>
                <w:szCs w:val="11"/>
                <w:color w:val="auto"/>
              </w:rPr>
            </w:pPr>
          </w:p>
        </w:tc>
        <w:tc>
          <w:tcPr>
            <w:tcW w:w="3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tcBorders>
          </w:tcPr>
          <w:p>
            <w:pPr>
              <w:spacing w:after="0"/>
              <w:rPr>
                <w:sz w:val="11"/>
                <w:szCs w:val="11"/>
                <w:color w:val="auto"/>
              </w:rPr>
            </w:pPr>
          </w:p>
        </w:tc>
        <w:tc>
          <w:tcPr>
            <w:tcW w:w="500" w:type="dxa"/>
            <w:vAlign w:val="bottom"/>
            <w:tcBorders>
              <w:bottom w:val="single" w:sz="8" w:color="BFBFBF"/>
            </w:tcBorders>
          </w:tcPr>
          <w:p>
            <w:pPr>
              <w:spacing w:after="0"/>
              <w:rPr>
                <w:sz w:val="11"/>
                <w:szCs w:val="11"/>
                <w:color w:val="auto"/>
              </w:rPr>
            </w:pPr>
          </w:p>
        </w:tc>
        <w:tc>
          <w:tcPr>
            <w:tcW w:w="460" w:type="dxa"/>
            <w:vAlign w:val="bottom"/>
            <w:tcBorders>
              <w:bottom w:val="single" w:sz="8" w:color="BFBFBF"/>
            </w:tcBorders>
          </w:tcPr>
          <w:p>
            <w:pPr>
              <w:spacing w:after="0"/>
              <w:rPr>
                <w:sz w:val="11"/>
                <w:szCs w:val="11"/>
                <w:color w:val="auto"/>
              </w:rPr>
            </w:pPr>
          </w:p>
        </w:tc>
        <w:tc>
          <w:tcPr>
            <w:tcW w:w="220" w:type="dxa"/>
            <w:vAlign w:val="bottom"/>
            <w:tcBorders>
              <w:bottom w:val="single" w:sz="8" w:color="BFBFBF"/>
            </w:tcBorders>
          </w:tcPr>
          <w:p>
            <w:pPr>
              <w:spacing w:after="0"/>
              <w:rPr>
                <w:sz w:val="11"/>
                <w:szCs w:val="11"/>
                <w:color w:val="auto"/>
              </w:rPr>
            </w:pPr>
          </w:p>
        </w:tc>
        <w:tc>
          <w:tcPr>
            <w:tcW w:w="220" w:type="dxa"/>
            <w:vAlign w:val="bottom"/>
            <w:tcBorders>
              <w:bottom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38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52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52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2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600" w:type="dxa"/>
            <w:vAlign w:val="bottom"/>
            <w:gridSpan w:val="3"/>
          </w:tcPr>
          <w:p>
            <w:pPr>
              <w:spacing w:after="0"/>
              <w:rPr>
                <w:sz w:val="11"/>
                <w:szCs w:val="11"/>
                <w:color w:val="auto"/>
              </w:rPr>
            </w:pPr>
          </w:p>
        </w:tc>
        <w:tc>
          <w:tcPr>
            <w:tcW w:w="240" w:type="dxa"/>
            <w:vAlign w:val="bottom"/>
            <w:vMerge w:val="restart"/>
            <w:textDirection w:val="btLr"/>
          </w:tcPr>
          <w:p>
            <w:pPr>
              <w:ind w:left="148"/>
              <w:spacing w:after="0"/>
              <w:rPr>
                <w:sz w:val="20"/>
                <w:szCs w:val="20"/>
                <w:color w:val="auto"/>
              </w:rPr>
            </w:pPr>
            <w:r>
              <w:rPr>
                <w:rFonts w:ascii="Arial" w:cs="Arial" w:eastAsia="Arial" w:hAnsi="Arial"/>
                <w:sz w:val="8"/>
                <w:szCs w:val="8"/>
                <w:color w:val="auto"/>
                <w:w w:val="71"/>
              </w:rPr>
              <w:t>Investment</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440" w:type="dxa"/>
            <w:vAlign w:val="bottom"/>
            <w:tcBorders>
              <w:right w:val="single" w:sz="8" w:color="E4B065"/>
            </w:tcBorders>
            <w:shd w:val="clear" w:color="auto" w:fill="E4B065"/>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gridSpan w:val="11"/>
          </w:tcPr>
          <w:p>
            <w:pPr>
              <w:jc w:val="right"/>
              <w:ind w:right="100"/>
              <w:spacing w:after="0" w:line="123" w:lineRule="exact"/>
              <w:rPr>
                <w:sz w:val="20"/>
                <w:szCs w:val="20"/>
                <w:color w:val="auto"/>
              </w:rPr>
            </w:pPr>
            <w:r>
              <w:rPr>
                <w:rFonts w:ascii="Arial" w:cs="Arial" w:eastAsia="Arial" w:hAnsi="Arial"/>
                <w:sz w:val="14"/>
                <w:szCs w:val="14"/>
                <w:color w:val="auto"/>
              </w:rPr>
              <w:t>$160</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0" w:type="dxa"/>
            <w:vAlign w:val="bottom"/>
            <w:tcBorders>
              <w:bottom w:val="single" w:sz="8" w:color="BFBFBF"/>
            </w:tcBorders>
          </w:tcPr>
          <w:p>
            <w:pPr>
              <w:spacing w:after="0"/>
              <w:rPr>
                <w:sz w:val="12"/>
                <w:szCs w:val="12"/>
                <w:color w:val="auto"/>
              </w:rPr>
            </w:pPr>
          </w:p>
        </w:tc>
        <w:tc>
          <w:tcPr>
            <w:tcW w:w="440" w:type="dxa"/>
            <w:vAlign w:val="bottom"/>
            <w:tcBorders>
              <w:bottom w:val="single" w:sz="8" w:color="E4B065"/>
              <w:right w:val="single" w:sz="8" w:color="E4B065"/>
            </w:tcBorders>
            <w:shd w:val="clear" w:color="auto" w:fill="E4B065"/>
          </w:tcPr>
          <w:p>
            <w:pPr>
              <w:spacing w:after="0"/>
              <w:rPr>
                <w:sz w:val="12"/>
                <w:szCs w:val="12"/>
                <w:color w:val="auto"/>
              </w:rPr>
            </w:pPr>
          </w:p>
        </w:tc>
        <w:tc>
          <w:tcPr>
            <w:tcW w:w="320" w:type="dxa"/>
            <w:vAlign w:val="bottom"/>
            <w:tcBorders>
              <w:bottom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120" w:type="dxa"/>
            <w:vAlign w:val="bottom"/>
            <w:tcBorders>
              <w:bottom w:val="single" w:sz="8" w:color="BFBFBF"/>
            </w:tcBorders>
          </w:tcPr>
          <w:p>
            <w:pPr>
              <w:spacing w:after="0"/>
              <w:rPr>
                <w:sz w:val="12"/>
                <w:szCs w:val="12"/>
                <w:color w:val="auto"/>
              </w:rPr>
            </w:pPr>
          </w:p>
        </w:tc>
        <w:tc>
          <w:tcPr>
            <w:tcW w:w="500" w:type="dxa"/>
            <w:vAlign w:val="bottom"/>
            <w:tcBorders>
              <w:bottom w:val="single" w:sz="8" w:color="BFBFBF"/>
            </w:tcBorders>
          </w:tcPr>
          <w:p>
            <w:pPr>
              <w:spacing w:after="0"/>
              <w:rPr>
                <w:sz w:val="12"/>
                <w:szCs w:val="12"/>
                <w:color w:val="auto"/>
              </w:rPr>
            </w:pPr>
          </w:p>
        </w:tc>
        <w:tc>
          <w:tcPr>
            <w:tcW w:w="460" w:type="dxa"/>
            <w:vAlign w:val="bottom"/>
            <w:tcBorders>
              <w:bottom w:val="single" w:sz="8" w:color="BFBFBF"/>
            </w:tcBorders>
          </w:tcPr>
          <w:p>
            <w:pPr>
              <w:spacing w:after="0"/>
              <w:rPr>
                <w:sz w:val="12"/>
                <w:szCs w:val="12"/>
                <w:color w:val="auto"/>
              </w:rPr>
            </w:pPr>
          </w:p>
        </w:tc>
        <w:tc>
          <w:tcPr>
            <w:tcW w:w="220" w:type="dxa"/>
            <w:vAlign w:val="bottom"/>
            <w:tcBorders>
              <w:bottom w:val="single" w:sz="8" w:color="BFBFBF"/>
            </w:tcBorders>
          </w:tcPr>
          <w:p>
            <w:pPr>
              <w:spacing w:after="0"/>
              <w:rPr>
                <w:sz w:val="12"/>
                <w:szCs w:val="12"/>
                <w:color w:val="auto"/>
              </w:rPr>
            </w:pPr>
          </w:p>
        </w:tc>
        <w:tc>
          <w:tcPr>
            <w:tcW w:w="220" w:type="dxa"/>
            <w:vAlign w:val="bottom"/>
            <w:tcBorders>
              <w:bottom w:val="single" w:sz="8" w:color="BFBFBF"/>
            </w:tcBorders>
          </w:tcPr>
          <w:p>
            <w:pPr>
              <w:spacing w:after="0"/>
              <w:rPr>
                <w:sz w:val="12"/>
                <w:szCs w:val="12"/>
                <w:color w:val="auto"/>
              </w:rPr>
            </w:pPr>
          </w:p>
        </w:tc>
        <w:tc>
          <w:tcPr>
            <w:tcW w:w="14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52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440" w:type="dxa"/>
            <w:vAlign w:val="bottom"/>
            <w:tcBorders>
              <w:bottom w:val="single" w:sz="8" w:color="BFBFBF"/>
            </w:tcBorders>
          </w:tcPr>
          <w:p>
            <w:pPr>
              <w:spacing w:after="0"/>
              <w:rPr>
                <w:sz w:val="12"/>
                <w:szCs w:val="12"/>
                <w:color w:val="auto"/>
              </w:rPr>
            </w:pPr>
          </w:p>
        </w:tc>
        <w:tc>
          <w:tcPr>
            <w:tcW w:w="520" w:type="dxa"/>
            <w:vAlign w:val="bottom"/>
            <w:tcBorders>
              <w:bottom w:val="single" w:sz="8" w:color="BFBFBF"/>
            </w:tcBorders>
          </w:tcPr>
          <w:p>
            <w:pPr>
              <w:spacing w:after="0"/>
              <w:rPr>
                <w:sz w:val="12"/>
                <w:szCs w:val="12"/>
                <w:color w:val="auto"/>
              </w:rPr>
            </w:pPr>
          </w:p>
        </w:tc>
        <w:tc>
          <w:tcPr>
            <w:tcW w:w="1220" w:type="dxa"/>
            <w:vAlign w:val="bottom"/>
            <w:tcBorders>
              <w:bottom w:val="single" w:sz="8" w:color="BFBFBF"/>
            </w:tcBorders>
            <w:gridSpan w:val="7"/>
          </w:tcPr>
          <w:p>
            <w:pPr>
              <w:spacing w:after="0"/>
              <w:rPr>
                <w:sz w:val="12"/>
                <w:szCs w:val="12"/>
                <w:color w:val="auto"/>
              </w:rPr>
            </w:pPr>
          </w:p>
        </w:tc>
        <w:tc>
          <w:tcPr>
            <w:tcW w:w="620" w:type="dxa"/>
            <w:vAlign w:val="bottom"/>
            <w:gridSpan w:val="4"/>
          </w:tcPr>
          <w:p>
            <w:pPr>
              <w:jc w:val="right"/>
              <w:ind w:right="100"/>
              <w:spacing w:after="0" w:line="145" w:lineRule="exact"/>
              <w:rPr>
                <w:sz w:val="20"/>
                <w:szCs w:val="20"/>
                <w:color w:val="auto"/>
              </w:rPr>
            </w:pPr>
            <w:r>
              <w:rPr>
                <w:rFonts w:ascii="Arial" w:cs="Arial" w:eastAsia="Arial" w:hAnsi="Arial"/>
                <w:sz w:val="16"/>
                <w:szCs w:val="16"/>
                <w:color w:val="auto"/>
              </w:rPr>
              <w:t>$180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60" w:type="dxa"/>
            <w:vAlign w:val="bottom"/>
            <w:tcBorders>
              <w:bottom w:val="single" w:sz="8" w:color="BFBFBF"/>
            </w:tcBorders>
          </w:tcPr>
          <w:p>
            <w:pPr>
              <w:spacing w:after="0"/>
              <w:rPr>
                <w:sz w:val="23"/>
                <w:szCs w:val="23"/>
                <w:color w:val="auto"/>
              </w:rPr>
            </w:pPr>
          </w:p>
        </w:tc>
        <w:tc>
          <w:tcPr>
            <w:tcW w:w="440" w:type="dxa"/>
            <w:vAlign w:val="bottom"/>
            <w:tcBorders>
              <w:bottom w:val="single" w:sz="8" w:color="E4B065"/>
              <w:right w:val="single" w:sz="8" w:color="E4B065"/>
            </w:tcBorders>
            <w:shd w:val="clear" w:color="auto" w:fill="E4B065"/>
          </w:tcPr>
          <w:p>
            <w:pPr>
              <w:spacing w:after="0"/>
              <w:rPr>
                <w:sz w:val="23"/>
                <w:szCs w:val="23"/>
                <w:color w:val="auto"/>
              </w:rPr>
            </w:pPr>
          </w:p>
        </w:tc>
        <w:tc>
          <w:tcPr>
            <w:tcW w:w="3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120" w:type="dxa"/>
            <w:vAlign w:val="bottom"/>
            <w:tcBorders>
              <w:bottom w:val="single" w:sz="8" w:color="BFBFBF"/>
            </w:tcBorders>
          </w:tcPr>
          <w:p>
            <w:pPr>
              <w:spacing w:after="0"/>
              <w:rPr>
                <w:sz w:val="23"/>
                <w:szCs w:val="23"/>
                <w:color w:val="auto"/>
              </w:rPr>
            </w:pPr>
          </w:p>
        </w:tc>
        <w:tc>
          <w:tcPr>
            <w:tcW w:w="500" w:type="dxa"/>
            <w:vAlign w:val="bottom"/>
            <w:tcBorders>
              <w:bottom w:val="single" w:sz="8" w:color="BFBFBF"/>
            </w:tcBorders>
          </w:tcPr>
          <w:p>
            <w:pPr>
              <w:spacing w:after="0"/>
              <w:rPr>
                <w:sz w:val="23"/>
                <w:szCs w:val="23"/>
                <w:color w:val="auto"/>
              </w:rPr>
            </w:pPr>
          </w:p>
        </w:tc>
        <w:tc>
          <w:tcPr>
            <w:tcW w:w="46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38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26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640" w:type="dxa"/>
            <w:vAlign w:val="bottom"/>
            <w:gridSpan w:val="5"/>
          </w:tcPr>
          <w:p>
            <w:pPr>
              <w:spacing w:after="0"/>
              <w:rPr>
                <w:sz w:val="23"/>
                <w:szCs w:val="23"/>
                <w:color w:val="auto"/>
              </w:rPr>
            </w:pP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w w:val="99"/>
              </w:rPr>
              <w:t>$100</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440" w:type="dxa"/>
            <w:vAlign w:val="bottom"/>
            <w:tcBorders>
              <w:bottom w:val="single" w:sz="8" w:color="E4B065"/>
              <w:right w:val="single" w:sz="8" w:color="E4B065"/>
            </w:tcBorders>
            <w:shd w:val="clear" w:color="auto" w:fill="E4B065"/>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bottom w:val="single" w:sz="8" w:color="E4B065"/>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6"/>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BFBFBF"/>
            </w:tcBorders>
          </w:tcPr>
          <w:p>
            <w:pPr>
              <w:spacing w:after="0"/>
              <w:rPr>
                <w:sz w:val="7"/>
                <w:szCs w:val="7"/>
                <w:color w:val="auto"/>
              </w:rPr>
            </w:pPr>
          </w:p>
        </w:tc>
        <w:tc>
          <w:tcPr>
            <w:tcW w:w="440" w:type="dxa"/>
            <w:vAlign w:val="bottom"/>
            <w:tcBorders>
              <w:bottom w:val="single" w:sz="8" w:color="E4B065"/>
              <w:right w:val="single" w:sz="8" w:color="E4B065"/>
            </w:tcBorders>
            <w:shd w:val="clear" w:color="auto" w:fill="E4B065"/>
          </w:tcPr>
          <w:p>
            <w:pPr>
              <w:spacing w:after="0"/>
              <w:rPr>
                <w:sz w:val="7"/>
                <w:szCs w:val="7"/>
                <w:color w:val="auto"/>
              </w:rPr>
            </w:pPr>
          </w:p>
        </w:tc>
        <w:tc>
          <w:tcPr>
            <w:tcW w:w="320" w:type="dxa"/>
            <w:vAlign w:val="bottom"/>
            <w:tcBorders>
              <w:bottom w:val="single" w:sz="8" w:color="BFBFBF"/>
            </w:tcBorders>
          </w:tcPr>
          <w:p>
            <w:pPr>
              <w:spacing w:after="0"/>
              <w:rPr>
                <w:sz w:val="7"/>
                <w:szCs w:val="7"/>
                <w:color w:val="auto"/>
              </w:rPr>
            </w:pPr>
          </w:p>
        </w:tc>
        <w:tc>
          <w:tcPr>
            <w:tcW w:w="20" w:type="dxa"/>
            <w:vAlign w:val="bottom"/>
            <w:tcBorders>
              <w:bottom w:val="single" w:sz="8" w:color="BFBFBF"/>
            </w:tcBorders>
          </w:tcPr>
          <w:p>
            <w:pPr>
              <w:spacing w:after="0"/>
              <w:rPr>
                <w:sz w:val="7"/>
                <w:szCs w:val="7"/>
                <w:color w:val="auto"/>
              </w:rPr>
            </w:pPr>
          </w:p>
        </w:tc>
        <w:tc>
          <w:tcPr>
            <w:tcW w:w="120" w:type="dxa"/>
            <w:vAlign w:val="bottom"/>
            <w:tcBorders>
              <w:bottom w:val="single" w:sz="8" w:color="BFBFBF"/>
            </w:tcBorders>
          </w:tcPr>
          <w:p>
            <w:pPr>
              <w:spacing w:after="0"/>
              <w:rPr>
                <w:sz w:val="7"/>
                <w:szCs w:val="7"/>
                <w:color w:val="auto"/>
              </w:rPr>
            </w:pPr>
          </w:p>
        </w:tc>
        <w:tc>
          <w:tcPr>
            <w:tcW w:w="500" w:type="dxa"/>
            <w:vAlign w:val="bottom"/>
            <w:tcBorders>
              <w:bottom w:val="single" w:sz="8" w:color="BFBFBF"/>
            </w:tcBorders>
          </w:tcPr>
          <w:p>
            <w:pPr>
              <w:spacing w:after="0"/>
              <w:rPr>
                <w:sz w:val="7"/>
                <w:szCs w:val="7"/>
                <w:color w:val="auto"/>
              </w:rPr>
            </w:pPr>
          </w:p>
        </w:tc>
        <w:tc>
          <w:tcPr>
            <w:tcW w:w="460" w:type="dxa"/>
            <w:vAlign w:val="bottom"/>
            <w:tcBorders>
              <w:bottom w:val="single" w:sz="8" w:color="BFBFBF"/>
            </w:tcBorders>
          </w:tcPr>
          <w:p>
            <w:pPr>
              <w:spacing w:after="0"/>
              <w:rPr>
                <w:sz w:val="7"/>
                <w:szCs w:val="7"/>
                <w:color w:val="auto"/>
              </w:rPr>
            </w:pPr>
          </w:p>
        </w:tc>
        <w:tc>
          <w:tcPr>
            <w:tcW w:w="220" w:type="dxa"/>
            <w:vAlign w:val="bottom"/>
            <w:tcBorders>
              <w:bottom w:val="single" w:sz="8" w:color="BFBFBF"/>
            </w:tcBorders>
          </w:tcPr>
          <w:p>
            <w:pPr>
              <w:spacing w:after="0"/>
              <w:rPr>
                <w:sz w:val="7"/>
                <w:szCs w:val="7"/>
                <w:color w:val="auto"/>
              </w:rPr>
            </w:pPr>
          </w:p>
        </w:tc>
        <w:tc>
          <w:tcPr>
            <w:tcW w:w="220" w:type="dxa"/>
            <w:vAlign w:val="bottom"/>
            <w:tcBorders>
              <w:bottom w:val="single" w:sz="8" w:color="BFBFBF"/>
            </w:tcBorders>
          </w:tcPr>
          <w:p>
            <w:pPr>
              <w:spacing w:after="0"/>
              <w:rPr>
                <w:sz w:val="7"/>
                <w:szCs w:val="7"/>
                <w:color w:val="auto"/>
              </w:rPr>
            </w:pPr>
          </w:p>
        </w:tc>
        <w:tc>
          <w:tcPr>
            <w:tcW w:w="140" w:type="dxa"/>
            <w:vAlign w:val="bottom"/>
            <w:tcBorders>
              <w:bottom w:val="single" w:sz="8" w:color="BFBFBF"/>
            </w:tcBorders>
          </w:tcPr>
          <w:p>
            <w:pPr>
              <w:spacing w:after="0"/>
              <w:rPr>
                <w:sz w:val="7"/>
                <w:szCs w:val="7"/>
                <w:color w:val="auto"/>
              </w:rPr>
            </w:pPr>
          </w:p>
        </w:tc>
        <w:tc>
          <w:tcPr>
            <w:tcW w:w="380" w:type="dxa"/>
            <w:vAlign w:val="bottom"/>
            <w:tcBorders>
              <w:bottom w:val="single" w:sz="8" w:color="BFBFBF"/>
            </w:tcBorders>
          </w:tcPr>
          <w:p>
            <w:pPr>
              <w:spacing w:after="0"/>
              <w:rPr>
                <w:sz w:val="7"/>
                <w:szCs w:val="7"/>
                <w:color w:val="auto"/>
              </w:rPr>
            </w:pPr>
          </w:p>
        </w:tc>
        <w:tc>
          <w:tcPr>
            <w:tcW w:w="440" w:type="dxa"/>
            <w:vAlign w:val="bottom"/>
            <w:tcBorders>
              <w:bottom w:val="single" w:sz="8" w:color="E4B065"/>
            </w:tcBorders>
            <w:shd w:val="clear" w:color="auto" w:fill="E4B065"/>
          </w:tcPr>
          <w:p>
            <w:pPr>
              <w:spacing w:after="0"/>
              <w:rPr>
                <w:sz w:val="7"/>
                <w:szCs w:val="7"/>
                <w:color w:val="auto"/>
              </w:rPr>
            </w:pPr>
          </w:p>
        </w:tc>
        <w:tc>
          <w:tcPr>
            <w:tcW w:w="440" w:type="dxa"/>
            <w:vAlign w:val="bottom"/>
            <w:tcBorders>
              <w:bottom w:val="single" w:sz="8" w:color="BFBFBF"/>
            </w:tcBorders>
          </w:tcPr>
          <w:p>
            <w:pPr>
              <w:spacing w:after="0"/>
              <w:rPr>
                <w:sz w:val="7"/>
                <w:szCs w:val="7"/>
                <w:color w:val="auto"/>
              </w:rPr>
            </w:pPr>
          </w:p>
        </w:tc>
        <w:tc>
          <w:tcPr>
            <w:tcW w:w="520" w:type="dxa"/>
            <w:vAlign w:val="bottom"/>
            <w:tcBorders>
              <w:bottom w:val="single" w:sz="8" w:color="BFBFBF"/>
            </w:tcBorders>
          </w:tcPr>
          <w:p>
            <w:pPr>
              <w:spacing w:after="0"/>
              <w:rPr>
                <w:sz w:val="7"/>
                <w:szCs w:val="7"/>
                <w:color w:val="auto"/>
              </w:rPr>
            </w:pPr>
          </w:p>
        </w:tc>
        <w:tc>
          <w:tcPr>
            <w:tcW w:w="440" w:type="dxa"/>
            <w:vAlign w:val="bottom"/>
            <w:tcBorders>
              <w:bottom w:val="single" w:sz="8" w:color="BFBFBF"/>
            </w:tcBorders>
          </w:tcPr>
          <w:p>
            <w:pPr>
              <w:spacing w:after="0"/>
              <w:rPr>
                <w:sz w:val="7"/>
                <w:szCs w:val="7"/>
                <w:color w:val="auto"/>
              </w:rPr>
            </w:pPr>
          </w:p>
        </w:tc>
        <w:tc>
          <w:tcPr>
            <w:tcW w:w="440" w:type="dxa"/>
            <w:vAlign w:val="bottom"/>
            <w:tcBorders>
              <w:bottom w:val="single" w:sz="8" w:color="BFBFBF"/>
            </w:tcBorders>
          </w:tcPr>
          <w:p>
            <w:pPr>
              <w:spacing w:after="0"/>
              <w:rPr>
                <w:sz w:val="7"/>
                <w:szCs w:val="7"/>
                <w:color w:val="auto"/>
              </w:rPr>
            </w:pPr>
          </w:p>
        </w:tc>
        <w:tc>
          <w:tcPr>
            <w:tcW w:w="520" w:type="dxa"/>
            <w:vAlign w:val="bottom"/>
            <w:tcBorders>
              <w:bottom w:val="single" w:sz="8" w:color="BFBFBF"/>
            </w:tcBorders>
          </w:tcPr>
          <w:p>
            <w:pPr>
              <w:spacing w:after="0"/>
              <w:rPr>
                <w:sz w:val="7"/>
                <w:szCs w:val="7"/>
                <w:color w:val="auto"/>
              </w:rPr>
            </w:pPr>
          </w:p>
        </w:tc>
        <w:tc>
          <w:tcPr>
            <w:tcW w:w="440" w:type="dxa"/>
            <w:vAlign w:val="bottom"/>
            <w:tcBorders>
              <w:bottom w:val="single" w:sz="8" w:color="E4B065"/>
            </w:tcBorders>
            <w:shd w:val="clear" w:color="auto" w:fill="E4B065"/>
          </w:tcPr>
          <w:p>
            <w:pPr>
              <w:spacing w:after="0"/>
              <w:rPr>
                <w:sz w:val="7"/>
                <w:szCs w:val="7"/>
                <w:color w:val="auto"/>
              </w:rPr>
            </w:pPr>
          </w:p>
        </w:tc>
        <w:tc>
          <w:tcPr>
            <w:tcW w:w="4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20" w:type="dxa"/>
            <w:vAlign w:val="bottom"/>
            <w:tcBorders>
              <w:bottom w:val="single" w:sz="8" w:color="BFBFBF"/>
            </w:tcBorders>
          </w:tcPr>
          <w:p>
            <w:pPr>
              <w:spacing w:after="0"/>
              <w:rPr>
                <w:sz w:val="7"/>
                <w:szCs w:val="7"/>
                <w:color w:val="auto"/>
              </w:rPr>
            </w:pPr>
          </w:p>
        </w:tc>
        <w:tc>
          <w:tcPr>
            <w:tcW w:w="20" w:type="dxa"/>
            <w:vAlign w:val="bottom"/>
            <w:tcBorders>
              <w:bottom w:val="single" w:sz="8" w:color="BFBFBF"/>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60" w:type="dxa"/>
            <w:vAlign w:val="bottom"/>
            <w:tcBorders>
              <w:bottom w:val="single" w:sz="8" w:color="BFBFBF"/>
            </w:tcBorders>
          </w:tcPr>
          <w:p>
            <w:pPr>
              <w:spacing w:after="0"/>
              <w:rPr>
                <w:sz w:val="23"/>
                <w:szCs w:val="23"/>
                <w:color w:val="auto"/>
              </w:rPr>
            </w:pPr>
          </w:p>
        </w:tc>
        <w:tc>
          <w:tcPr>
            <w:tcW w:w="440" w:type="dxa"/>
            <w:vAlign w:val="bottom"/>
            <w:tcBorders>
              <w:bottom w:val="single" w:sz="8" w:color="E4B065"/>
              <w:right w:val="single" w:sz="8" w:color="E4B065"/>
            </w:tcBorders>
            <w:shd w:val="clear" w:color="auto" w:fill="E4B065"/>
          </w:tcPr>
          <w:p>
            <w:pPr>
              <w:spacing w:after="0"/>
              <w:rPr>
                <w:sz w:val="23"/>
                <w:szCs w:val="23"/>
                <w:color w:val="auto"/>
              </w:rPr>
            </w:pPr>
          </w:p>
        </w:tc>
        <w:tc>
          <w:tcPr>
            <w:tcW w:w="32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120" w:type="dxa"/>
            <w:vAlign w:val="bottom"/>
            <w:tcBorders>
              <w:bottom w:val="single" w:sz="8" w:color="BFBFBF"/>
            </w:tcBorders>
          </w:tcPr>
          <w:p>
            <w:pPr>
              <w:spacing w:after="0"/>
              <w:rPr>
                <w:sz w:val="23"/>
                <w:szCs w:val="23"/>
                <w:color w:val="auto"/>
              </w:rPr>
            </w:pPr>
          </w:p>
        </w:tc>
        <w:tc>
          <w:tcPr>
            <w:tcW w:w="500" w:type="dxa"/>
            <w:vAlign w:val="bottom"/>
            <w:tcBorders>
              <w:bottom w:val="single" w:sz="8" w:color="BFBFBF"/>
            </w:tcBorders>
          </w:tcPr>
          <w:p>
            <w:pPr>
              <w:spacing w:after="0"/>
              <w:rPr>
                <w:sz w:val="23"/>
                <w:szCs w:val="23"/>
                <w:color w:val="auto"/>
              </w:rPr>
            </w:pPr>
          </w:p>
        </w:tc>
        <w:tc>
          <w:tcPr>
            <w:tcW w:w="46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380" w:type="dxa"/>
            <w:vAlign w:val="bottom"/>
            <w:tcBorders>
              <w:bottom w:val="single" w:sz="8" w:color="BFBFBF"/>
            </w:tcBorders>
          </w:tcPr>
          <w:p>
            <w:pPr>
              <w:spacing w:after="0"/>
              <w:rPr>
                <w:sz w:val="23"/>
                <w:szCs w:val="23"/>
                <w:color w:val="auto"/>
              </w:rPr>
            </w:pPr>
          </w:p>
        </w:tc>
        <w:tc>
          <w:tcPr>
            <w:tcW w:w="440" w:type="dxa"/>
            <w:vAlign w:val="bottom"/>
            <w:tcBorders>
              <w:bottom w:val="single" w:sz="8" w:color="E4B065"/>
            </w:tcBorders>
            <w:shd w:val="clear" w:color="auto" w:fill="E4B065"/>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E4B065"/>
            </w:tcBorders>
            <w:shd w:val="clear" w:color="auto" w:fill="E4B065"/>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E4B065"/>
            </w:tcBorders>
            <w:vMerge w:val="restart"/>
            <w:shd w:val="clear" w:color="auto" w:fill="E4B065"/>
          </w:tcPr>
          <w:p>
            <w:pPr>
              <w:spacing w:after="0"/>
              <w:rPr>
                <w:sz w:val="23"/>
                <w:szCs w:val="23"/>
                <w:color w:val="auto"/>
              </w:rPr>
            </w:pPr>
          </w:p>
        </w:tc>
        <w:tc>
          <w:tcPr>
            <w:tcW w:w="440" w:type="dxa"/>
            <w:vAlign w:val="bottom"/>
            <w:tcBorders>
              <w:bottom w:val="single" w:sz="8" w:color="BFBFBF"/>
            </w:tcBorders>
          </w:tcPr>
          <w:p>
            <w:pPr>
              <w:spacing w:after="0"/>
              <w:rPr>
                <w:sz w:val="23"/>
                <w:szCs w:val="23"/>
                <w:color w:val="auto"/>
              </w:rPr>
            </w:pPr>
          </w:p>
        </w:tc>
        <w:tc>
          <w:tcPr>
            <w:tcW w:w="26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680" w:type="dxa"/>
            <w:vAlign w:val="bottom"/>
            <w:gridSpan w:val="7"/>
            <w:vMerge w:val="restart"/>
          </w:tcPr>
          <w:p>
            <w:pPr>
              <w:jc w:val="right"/>
              <w:ind w:right="100"/>
              <w:spacing w:after="0"/>
              <w:rPr>
                <w:sz w:val="20"/>
                <w:szCs w:val="20"/>
                <w:color w:val="auto"/>
              </w:rPr>
            </w:pPr>
            <w:r>
              <w:rPr>
                <w:rFonts w:ascii="Arial" w:cs="Arial" w:eastAsia="Arial" w:hAnsi="Arial"/>
                <w:sz w:val="17"/>
                <w:szCs w:val="17"/>
                <w:color w:val="auto"/>
              </w:rPr>
              <w:t>$140</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0" w:type="dxa"/>
            <w:vAlign w:val="bottom"/>
            <w:tcBorders>
              <w:right w:val="single" w:sz="8" w:color="E4B065"/>
            </w:tcBorders>
            <w:shd w:val="clear" w:color="auto" w:fill="E4B065"/>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shd w:val="clear" w:color="auto" w:fill="E4B065"/>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shd w:val="clear" w:color="auto" w:fill="E4B065"/>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vMerge w:val="continue"/>
            <w:shd w:val="clear" w:color="auto" w:fill="E4B065"/>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7"/>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tcBorders>
              <w:bottom w:val="single" w:sz="8" w:color="BFBFBF"/>
            </w:tcBorders>
          </w:tcPr>
          <w:p>
            <w:pPr>
              <w:spacing w:after="0"/>
              <w:rPr>
                <w:sz w:val="11"/>
                <w:szCs w:val="11"/>
                <w:color w:val="auto"/>
              </w:rPr>
            </w:pPr>
          </w:p>
        </w:tc>
        <w:tc>
          <w:tcPr>
            <w:tcW w:w="440" w:type="dxa"/>
            <w:vAlign w:val="bottom"/>
            <w:tcBorders>
              <w:bottom w:val="single" w:sz="8" w:color="E4B065"/>
              <w:right w:val="single" w:sz="8" w:color="E4B065"/>
            </w:tcBorders>
            <w:shd w:val="clear" w:color="auto" w:fill="E4B065"/>
          </w:tcPr>
          <w:p>
            <w:pPr>
              <w:spacing w:after="0"/>
              <w:rPr>
                <w:sz w:val="11"/>
                <w:szCs w:val="11"/>
                <w:color w:val="auto"/>
              </w:rPr>
            </w:pPr>
          </w:p>
        </w:tc>
        <w:tc>
          <w:tcPr>
            <w:tcW w:w="3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120" w:type="dxa"/>
            <w:vAlign w:val="bottom"/>
            <w:tcBorders>
              <w:bottom w:val="single" w:sz="8" w:color="BFBFBF"/>
            </w:tcBorders>
          </w:tcPr>
          <w:p>
            <w:pPr>
              <w:spacing w:after="0"/>
              <w:rPr>
                <w:sz w:val="11"/>
                <w:szCs w:val="11"/>
                <w:color w:val="auto"/>
              </w:rPr>
            </w:pPr>
          </w:p>
        </w:tc>
        <w:tc>
          <w:tcPr>
            <w:tcW w:w="500" w:type="dxa"/>
            <w:vAlign w:val="bottom"/>
            <w:tcBorders>
              <w:bottom w:val="single" w:sz="8" w:color="BFBFBF"/>
            </w:tcBorders>
          </w:tcPr>
          <w:p>
            <w:pPr>
              <w:spacing w:after="0"/>
              <w:rPr>
                <w:sz w:val="11"/>
                <w:szCs w:val="11"/>
                <w:color w:val="auto"/>
              </w:rPr>
            </w:pPr>
          </w:p>
        </w:tc>
        <w:tc>
          <w:tcPr>
            <w:tcW w:w="460" w:type="dxa"/>
            <w:vAlign w:val="bottom"/>
            <w:tcBorders>
              <w:bottom w:val="single" w:sz="8" w:color="BFBFBF"/>
            </w:tcBorders>
          </w:tcPr>
          <w:p>
            <w:pPr>
              <w:spacing w:after="0"/>
              <w:rPr>
                <w:sz w:val="11"/>
                <w:szCs w:val="11"/>
                <w:color w:val="auto"/>
              </w:rPr>
            </w:pPr>
          </w:p>
        </w:tc>
        <w:tc>
          <w:tcPr>
            <w:tcW w:w="220" w:type="dxa"/>
            <w:vAlign w:val="bottom"/>
            <w:tcBorders>
              <w:bottom w:val="single" w:sz="8" w:color="BFBFBF"/>
            </w:tcBorders>
          </w:tcPr>
          <w:p>
            <w:pPr>
              <w:spacing w:after="0"/>
              <w:rPr>
                <w:sz w:val="11"/>
                <w:szCs w:val="11"/>
                <w:color w:val="auto"/>
              </w:rPr>
            </w:pPr>
          </w:p>
        </w:tc>
        <w:tc>
          <w:tcPr>
            <w:tcW w:w="220" w:type="dxa"/>
            <w:vAlign w:val="bottom"/>
            <w:tcBorders>
              <w:bottom w:val="single" w:sz="8" w:color="BFBFBF"/>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380" w:type="dxa"/>
            <w:vAlign w:val="bottom"/>
            <w:tcBorders>
              <w:bottom w:val="single" w:sz="8" w:color="BFBFBF"/>
            </w:tcBorders>
          </w:tcPr>
          <w:p>
            <w:pPr>
              <w:spacing w:after="0"/>
              <w:rPr>
                <w:sz w:val="11"/>
                <w:szCs w:val="11"/>
                <w:color w:val="auto"/>
              </w:rPr>
            </w:pPr>
          </w:p>
        </w:tc>
        <w:tc>
          <w:tcPr>
            <w:tcW w:w="440" w:type="dxa"/>
            <w:vAlign w:val="bottom"/>
            <w:tcBorders>
              <w:bottom w:val="single" w:sz="8" w:color="E4B065"/>
            </w:tcBorders>
            <w:shd w:val="clear" w:color="auto" w:fill="E4B065"/>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520" w:type="dxa"/>
            <w:vAlign w:val="bottom"/>
            <w:tcBorders>
              <w:bottom w:val="single" w:sz="8" w:color="BFBFBF"/>
            </w:tcBorders>
          </w:tcPr>
          <w:p>
            <w:pPr>
              <w:spacing w:after="0"/>
              <w:rPr>
                <w:sz w:val="11"/>
                <w:szCs w:val="11"/>
                <w:color w:val="auto"/>
              </w:rPr>
            </w:pPr>
          </w:p>
        </w:tc>
        <w:tc>
          <w:tcPr>
            <w:tcW w:w="440" w:type="dxa"/>
            <w:vAlign w:val="bottom"/>
            <w:tcBorders>
              <w:bottom w:val="single" w:sz="8" w:color="E4B065"/>
            </w:tcBorders>
            <w:shd w:val="clear" w:color="auto" w:fill="E4B065"/>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520" w:type="dxa"/>
            <w:vAlign w:val="bottom"/>
            <w:tcBorders>
              <w:bottom w:val="single" w:sz="8" w:color="BFBFBF"/>
            </w:tcBorders>
          </w:tcPr>
          <w:p>
            <w:pPr>
              <w:spacing w:after="0"/>
              <w:rPr>
                <w:sz w:val="11"/>
                <w:szCs w:val="11"/>
                <w:color w:val="auto"/>
              </w:rPr>
            </w:pPr>
          </w:p>
        </w:tc>
        <w:tc>
          <w:tcPr>
            <w:tcW w:w="440" w:type="dxa"/>
            <w:vAlign w:val="bottom"/>
            <w:tcBorders>
              <w:bottom w:val="single" w:sz="8" w:color="E4B065"/>
            </w:tcBorders>
            <w:shd w:val="clear" w:color="auto" w:fill="E4B065"/>
          </w:tcPr>
          <w:p>
            <w:pPr>
              <w:spacing w:after="0"/>
              <w:rPr>
                <w:sz w:val="11"/>
                <w:szCs w:val="11"/>
                <w:color w:val="auto"/>
              </w:rPr>
            </w:pPr>
          </w:p>
        </w:tc>
        <w:tc>
          <w:tcPr>
            <w:tcW w:w="440" w:type="dxa"/>
            <w:vAlign w:val="bottom"/>
            <w:tcBorders>
              <w:bottom w:val="single" w:sz="8" w:color="BFBFBF"/>
            </w:tcBorders>
          </w:tcPr>
          <w:p>
            <w:pPr>
              <w:spacing w:after="0"/>
              <w:rPr>
                <w:sz w:val="11"/>
                <w:szCs w:val="11"/>
                <w:color w:val="auto"/>
              </w:rPr>
            </w:pPr>
          </w:p>
        </w:tc>
        <w:tc>
          <w:tcPr>
            <w:tcW w:w="2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w w:val="98"/>
              </w:rPr>
              <w:t>Fixed</w:t>
            </w: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440" w:type="dxa"/>
            <w:vAlign w:val="bottom"/>
            <w:tcBorders>
              <w:right w:val="single" w:sz="8" w:color="E4B065"/>
            </w:tcBorders>
            <w:shd w:val="clear" w:color="auto" w:fill="E4B065"/>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60" w:type="dxa"/>
            <w:vAlign w:val="bottom"/>
            <w:tcBorders>
              <w:bottom w:val="single" w:sz="8" w:color="BFBFBF"/>
            </w:tcBorders>
          </w:tcPr>
          <w:p>
            <w:pPr>
              <w:spacing w:after="0"/>
              <w:rPr>
                <w:sz w:val="14"/>
                <w:szCs w:val="14"/>
                <w:color w:val="auto"/>
              </w:rPr>
            </w:pPr>
          </w:p>
        </w:tc>
        <w:tc>
          <w:tcPr>
            <w:tcW w:w="440" w:type="dxa"/>
            <w:vAlign w:val="bottom"/>
            <w:tcBorders>
              <w:bottom w:val="single" w:sz="8" w:color="E4B065"/>
              <w:right w:val="single" w:sz="8" w:color="E4B065"/>
            </w:tcBorders>
            <w:shd w:val="clear" w:color="auto" w:fill="E4B065"/>
          </w:tcPr>
          <w:p>
            <w:pPr>
              <w:spacing w:after="0"/>
              <w:rPr>
                <w:sz w:val="14"/>
                <w:szCs w:val="14"/>
                <w:color w:val="auto"/>
              </w:rPr>
            </w:pPr>
          </w:p>
        </w:tc>
        <w:tc>
          <w:tcPr>
            <w:tcW w:w="320" w:type="dxa"/>
            <w:vAlign w:val="bottom"/>
            <w:tcBorders>
              <w:bottom w:val="single" w:sz="8" w:color="6B7E65"/>
            </w:tcBorders>
          </w:tcPr>
          <w:p>
            <w:pPr>
              <w:spacing w:after="0"/>
              <w:rPr>
                <w:sz w:val="14"/>
                <w:szCs w:val="14"/>
                <w:color w:val="auto"/>
              </w:rPr>
            </w:pPr>
          </w:p>
        </w:tc>
        <w:tc>
          <w:tcPr>
            <w:tcW w:w="20" w:type="dxa"/>
            <w:vAlign w:val="bottom"/>
            <w:tcBorders>
              <w:bottom w:val="single" w:sz="8" w:color="6B7E65"/>
            </w:tcBorders>
          </w:tcPr>
          <w:p>
            <w:pPr>
              <w:spacing w:after="0"/>
              <w:rPr>
                <w:sz w:val="14"/>
                <w:szCs w:val="14"/>
                <w:color w:val="auto"/>
              </w:rPr>
            </w:pPr>
          </w:p>
        </w:tc>
        <w:tc>
          <w:tcPr>
            <w:tcW w:w="120" w:type="dxa"/>
            <w:vAlign w:val="bottom"/>
            <w:tcBorders>
              <w:bottom w:val="single" w:sz="8" w:color="6B7E65"/>
            </w:tcBorders>
          </w:tcPr>
          <w:p>
            <w:pPr>
              <w:spacing w:after="0"/>
              <w:rPr>
                <w:sz w:val="14"/>
                <w:szCs w:val="14"/>
                <w:color w:val="auto"/>
              </w:rPr>
            </w:pPr>
          </w:p>
        </w:tc>
        <w:tc>
          <w:tcPr>
            <w:tcW w:w="500" w:type="dxa"/>
            <w:vAlign w:val="bottom"/>
            <w:tcBorders>
              <w:bottom w:val="single" w:sz="8" w:color="BFBFBF"/>
            </w:tcBorders>
          </w:tcPr>
          <w:p>
            <w:pPr>
              <w:spacing w:after="0"/>
              <w:rPr>
                <w:sz w:val="14"/>
                <w:szCs w:val="14"/>
                <w:color w:val="auto"/>
              </w:rPr>
            </w:pPr>
          </w:p>
        </w:tc>
        <w:tc>
          <w:tcPr>
            <w:tcW w:w="460" w:type="dxa"/>
            <w:vAlign w:val="bottom"/>
            <w:tcBorders>
              <w:bottom w:val="single" w:sz="8" w:color="E4B065"/>
            </w:tcBorders>
            <w:shd w:val="clear" w:color="auto" w:fill="E4B065"/>
          </w:tcPr>
          <w:p>
            <w:pPr>
              <w:spacing w:after="0"/>
              <w:rPr>
                <w:sz w:val="14"/>
                <w:szCs w:val="14"/>
                <w:color w:val="auto"/>
              </w:rPr>
            </w:pPr>
          </w:p>
        </w:tc>
        <w:tc>
          <w:tcPr>
            <w:tcW w:w="220" w:type="dxa"/>
            <w:vAlign w:val="bottom"/>
            <w:tcBorders>
              <w:bottom w:val="single" w:sz="8" w:color="BFBFBF"/>
            </w:tcBorders>
          </w:tcPr>
          <w:p>
            <w:pPr>
              <w:spacing w:after="0"/>
              <w:rPr>
                <w:sz w:val="14"/>
                <w:szCs w:val="14"/>
                <w:color w:val="auto"/>
              </w:rPr>
            </w:pPr>
          </w:p>
        </w:tc>
        <w:tc>
          <w:tcPr>
            <w:tcW w:w="220" w:type="dxa"/>
            <w:vAlign w:val="bottom"/>
            <w:tcBorders>
              <w:bottom w:val="single" w:sz="8" w:color="BFBFBF"/>
            </w:tcBorders>
          </w:tcPr>
          <w:p>
            <w:pPr>
              <w:spacing w:after="0"/>
              <w:rPr>
                <w:sz w:val="14"/>
                <w:szCs w:val="14"/>
                <w:color w:val="auto"/>
              </w:rPr>
            </w:pPr>
          </w:p>
        </w:tc>
        <w:tc>
          <w:tcPr>
            <w:tcW w:w="140" w:type="dxa"/>
            <w:vAlign w:val="bottom"/>
            <w:tcBorders>
              <w:bottom w:val="single" w:sz="8" w:color="BFBFBF"/>
            </w:tcBorders>
          </w:tcPr>
          <w:p>
            <w:pPr>
              <w:spacing w:after="0"/>
              <w:rPr>
                <w:sz w:val="14"/>
                <w:szCs w:val="14"/>
                <w:color w:val="auto"/>
              </w:rPr>
            </w:pPr>
          </w:p>
        </w:tc>
        <w:tc>
          <w:tcPr>
            <w:tcW w:w="380" w:type="dxa"/>
            <w:vAlign w:val="bottom"/>
            <w:tcBorders>
              <w:bottom w:val="single" w:sz="8" w:color="BFBFBF"/>
            </w:tcBorders>
          </w:tcPr>
          <w:p>
            <w:pPr>
              <w:spacing w:after="0"/>
              <w:rPr>
                <w:sz w:val="14"/>
                <w:szCs w:val="14"/>
                <w:color w:val="auto"/>
              </w:rPr>
            </w:pPr>
          </w:p>
        </w:tc>
        <w:tc>
          <w:tcPr>
            <w:tcW w:w="440" w:type="dxa"/>
            <w:vAlign w:val="bottom"/>
            <w:tcBorders>
              <w:bottom w:val="single" w:sz="8" w:color="E4B065"/>
            </w:tcBorders>
            <w:shd w:val="clear" w:color="auto" w:fill="E4B065"/>
          </w:tcPr>
          <w:p>
            <w:pPr>
              <w:spacing w:after="0"/>
              <w:rPr>
                <w:sz w:val="14"/>
                <w:szCs w:val="14"/>
                <w:color w:val="auto"/>
              </w:rPr>
            </w:pPr>
          </w:p>
        </w:tc>
        <w:tc>
          <w:tcPr>
            <w:tcW w:w="440" w:type="dxa"/>
            <w:vAlign w:val="bottom"/>
            <w:tcBorders>
              <w:bottom w:val="single" w:sz="8" w:color="BFBFBF"/>
            </w:tcBorders>
          </w:tcPr>
          <w:p>
            <w:pPr>
              <w:spacing w:after="0"/>
              <w:rPr>
                <w:sz w:val="14"/>
                <w:szCs w:val="14"/>
                <w:color w:val="auto"/>
              </w:rPr>
            </w:pPr>
          </w:p>
        </w:tc>
        <w:tc>
          <w:tcPr>
            <w:tcW w:w="520" w:type="dxa"/>
            <w:vAlign w:val="bottom"/>
            <w:tcBorders>
              <w:bottom w:val="single" w:sz="8" w:color="BFBFBF"/>
            </w:tcBorders>
          </w:tcPr>
          <w:p>
            <w:pPr>
              <w:spacing w:after="0"/>
              <w:rPr>
                <w:sz w:val="14"/>
                <w:szCs w:val="14"/>
                <w:color w:val="auto"/>
              </w:rPr>
            </w:pPr>
          </w:p>
        </w:tc>
        <w:tc>
          <w:tcPr>
            <w:tcW w:w="440" w:type="dxa"/>
            <w:vAlign w:val="bottom"/>
            <w:tcBorders>
              <w:bottom w:val="single" w:sz="8" w:color="E4B065"/>
            </w:tcBorders>
            <w:shd w:val="clear" w:color="auto" w:fill="E4B065"/>
          </w:tcPr>
          <w:p>
            <w:pPr>
              <w:spacing w:after="0"/>
              <w:rPr>
                <w:sz w:val="14"/>
                <w:szCs w:val="14"/>
                <w:color w:val="auto"/>
              </w:rPr>
            </w:pPr>
          </w:p>
        </w:tc>
        <w:tc>
          <w:tcPr>
            <w:tcW w:w="440" w:type="dxa"/>
            <w:vAlign w:val="bottom"/>
            <w:tcBorders>
              <w:bottom w:val="single" w:sz="8" w:color="BFBFBF"/>
            </w:tcBorders>
          </w:tcPr>
          <w:p>
            <w:pPr>
              <w:spacing w:after="0"/>
              <w:rPr>
                <w:sz w:val="14"/>
                <w:szCs w:val="14"/>
                <w:color w:val="auto"/>
              </w:rPr>
            </w:pPr>
          </w:p>
        </w:tc>
        <w:tc>
          <w:tcPr>
            <w:tcW w:w="520" w:type="dxa"/>
            <w:vAlign w:val="bottom"/>
            <w:tcBorders>
              <w:bottom w:val="single" w:sz="8" w:color="BFBFBF"/>
            </w:tcBorders>
          </w:tcPr>
          <w:p>
            <w:pPr>
              <w:spacing w:after="0"/>
              <w:rPr>
                <w:sz w:val="14"/>
                <w:szCs w:val="14"/>
                <w:color w:val="auto"/>
              </w:rPr>
            </w:pPr>
          </w:p>
        </w:tc>
        <w:tc>
          <w:tcPr>
            <w:tcW w:w="440" w:type="dxa"/>
            <w:vAlign w:val="bottom"/>
            <w:tcBorders>
              <w:bottom w:val="single" w:sz="8" w:color="E4B065"/>
            </w:tcBorders>
            <w:shd w:val="clear" w:color="auto" w:fill="E4B065"/>
          </w:tcPr>
          <w:p>
            <w:pPr>
              <w:spacing w:after="0"/>
              <w:rPr>
                <w:sz w:val="14"/>
                <w:szCs w:val="14"/>
                <w:color w:val="auto"/>
              </w:rPr>
            </w:pPr>
          </w:p>
        </w:tc>
        <w:tc>
          <w:tcPr>
            <w:tcW w:w="440" w:type="dxa"/>
            <w:vAlign w:val="bottom"/>
            <w:tcBorders>
              <w:bottom w:val="single" w:sz="8" w:color="BFBFBF"/>
            </w:tcBorders>
          </w:tcPr>
          <w:p>
            <w:pPr>
              <w:spacing w:after="0"/>
              <w:rPr>
                <w:sz w:val="14"/>
                <w:szCs w:val="14"/>
                <w:color w:val="auto"/>
              </w:rPr>
            </w:pPr>
          </w:p>
        </w:tc>
        <w:tc>
          <w:tcPr>
            <w:tcW w:w="260" w:type="dxa"/>
            <w:vAlign w:val="bottom"/>
            <w:tcBorders>
              <w:bottom w:val="single" w:sz="8" w:color="BFBFBF"/>
            </w:tcBorders>
          </w:tcPr>
          <w:p>
            <w:pPr>
              <w:spacing w:after="0"/>
              <w:rPr>
                <w:sz w:val="14"/>
                <w:szCs w:val="14"/>
                <w:color w:val="auto"/>
              </w:rPr>
            </w:pPr>
          </w:p>
        </w:tc>
        <w:tc>
          <w:tcPr>
            <w:tcW w:w="20" w:type="dxa"/>
            <w:vAlign w:val="bottom"/>
            <w:tcBorders>
              <w:bottom w:val="single" w:sz="8" w:color="BFBFB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60" w:type="dxa"/>
            <w:vAlign w:val="bottom"/>
          </w:tcPr>
          <w:p>
            <w:pPr>
              <w:spacing w:after="0"/>
              <w:rPr>
                <w:sz w:val="6"/>
                <w:szCs w:val="6"/>
                <w:color w:val="auto"/>
              </w:rPr>
            </w:pPr>
          </w:p>
        </w:tc>
        <w:tc>
          <w:tcPr>
            <w:tcW w:w="440" w:type="dxa"/>
            <w:vAlign w:val="bottom"/>
            <w:tcBorders>
              <w:right w:val="single" w:sz="8" w:color="E4B065"/>
            </w:tcBorders>
            <w:shd w:val="clear" w:color="auto" w:fill="E4B065"/>
          </w:tcPr>
          <w:p>
            <w:pPr>
              <w:spacing w:after="0"/>
              <w:rPr>
                <w:sz w:val="6"/>
                <w:szCs w:val="6"/>
                <w:color w:val="auto"/>
              </w:rPr>
            </w:pPr>
          </w:p>
        </w:tc>
        <w:tc>
          <w:tcPr>
            <w:tcW w:w="320" w:type="dxa"/>
            <w:vAlign w:val="bottom"/>
            <w:shd w:val="clear" w:color="auto" w:fill="6B7E65"/>
          </w:tcPr>
          <w:p>
            <w:pPr>
              <w:spacing w:after="0"/>
              <w:rPr>
                <w:sz w:val="6"/>
                <w:szCs w:val="6"/>
                <w:color w:val="auto"/>
              </w:rPr>
            </w:pPr>
          </w:p>
        </w:tc>
        <w:tc>
          <w:tcPr>
            <w:tcW w:w="20" w:type="dxa"/>
            <w:vAlign w:val="bottom"/>
            <w:shd w:val="clear" w:color="auto" w:fill="6B7E65"/>
          </w:tcPr>
          <w:p>
            <w:pPr>
              <w:spacing w:after="0"/>
              <w:rPr>
                <w:sz w:val="6"/>
                <w:szCs w:val="6"/>
                <w:color w:val="auto"/>
              </w:rPr>
            </w:pPr>
          </w:p>
        </w:tc>
        <w:tc>
          <w:tcPr>
            <w:tcW w:w="120" w:type="dxa"/>
            <w:vAlign w:val="bottom"/>
            <w:shd w:val="clear" w:color="auto" w:fill="6B7E65"/>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shd w:val="clear" w:color="auto" w:fill="E4B065"/>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shd w:val="clear" w:color="auto" w:fill="E4B065"/>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shd w:val="clear" w:color="auto" w:fill="E4B065"/>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shd w:val="clear" w:color="auto" w:fill="E4B065"/>
          </w:tcPr>
          <w:p>
            <w:pPr>
              <w:spacing w:after="0"/>
              <w:rPr>
                <w:sz w:val="6"/>
                <w:szCs w:val="6"/>
                <w:color w:val="auto"/>
              </w:rPr>
            </w:pPr>
          </w:p>
        </w:tc>
        <w:tc>
          <w:tcPr>
            <w:tcW w:w="1400" w:type="dxa"/>
            <w:vAlign w:val="bottom"/>
            <w:gridSpan w:val="10"/>
            <w:vMerge w:val="restart"/>
          </w:tcPr>
          <w:p>
            <w:pPr>
              <w:jc w:val="right"/>
              <w:ind w:right="100"/>
              <w:spacing w:after="0" w:line="175" w:lineRule="exact"/>
              <w:rPr>
                <w:sz w:val="20"/>
                <w:szCs w:val="20"/>
                <w:color w:val="auto"/>
              </w:rPr>
            </w:pPr>
            <w:r>
              <w:rPr>
                <w:rFonts w:ascii="Arial" w:cs="Arial" w:eastAsia="Arial" w:hAnsi="Arial"/>
                <w:sz w:val="17"/>
                <w:szCs w:val="17"/>
                <w:color w:val="auto"/>
              </w:rPr>
              <w:t>$120</w:t>
            </w: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440" w:type="dxa"/>
            <w:vAlign w:val="bottom"/>
            <w:tcBorders>
              <w:right w:val="single" w:sz="8" w:color="E4B065"/>
            </w:tcBorders>
            <w:shd w:val="clear" w:color="auto" w:fill="E4B065"/>
          </w:tcPr>
          <w:p>
            <w:pPr>
              <w:spacing w:after="0"/>
              <w:rPr>
                <w:sz w:val="8"/>
                <w:szCs w:val="8"/>
                <w:color w:val="auto"/>
              </w:rPr>
            </w:pPr>
          </w:p>
        </w:tc>
        <w:tc>
          <w:tcPr>
            <w:tcW w:w="320" w:type="dxa"/>
            <w:vAlign w:val="bottom"/>
            <w:shd w:val="clear" w:color="auto" w:fill="6B7E65"/>
          </w:tcPr>
          <w:p>
            <w:pPr>
              <w:spacing w:after="0"/>
              <w:rPr>
                <w:sz w:val="8"/>
                <w:szCs w:val="8"/>
                <w:color w:val="auto"/>
              </w:rPr>
            </w:pPr>
          </w:p>
        </w:tc>
        <w:tc>
          <w:tcPr>
            <w:tcW w:w="20" w:type="dxa"/>
            <w:vAlign w:val="bottom"/>
            <w:shd w:val="clear" w:color="auto" w:fill="6B7E65"/>
          </w:tcPr>
          <w:p>
            <w:pPr>
              <w:spacing w:after="0"/>
              <w:rPr>
                <w:sz w:val="8"/>
                <w:szCs w:val="8"/>
                <w:color w:val="auto"/>
              </w:rPr>
            </w:pPr>
          </w:p>
        </w:tc>
        <w:tc>
          <w:tcPr>
            <w:tcW w:w="120" w:type="dxa"/>
            <w:vAlign w:val="bottom"/>
            <w:shd w:val="clear" w:color="auto" w:fill="6B7E65"/>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shd w:val="clear" w:color="auto" w:fill="E4B065"/>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shd w:val="clear" w:color="auto" w:fill="E4B065"/>
          </w:tcPr>
          <w:p>
            <w:pPr>
              <w:spacing w:after="0"/>
              <w:rPr>
                <w:sz w:val="8"/>
                <w:szCs w:val="8"/>
                <w:color w:val="auto"/>
              </w:rPr>
            </w:pPr>
          </w:p>
        </w:tc>
        <w:tc>
          <w:tcPr>
            <w:tcW w:w="1400" w:type="dxa"/>
            <w:vAlign w:val="bottom"/>
            <w:gridSpan w:val="10"/>
            <w:vMerge w:val="continue"/>
          </w:tcPr>
          <w:p>
            <w:pPr>
              <w:spacing w:after="0"/>
              <w:rPr>
                <w:sz w:val="8"/>
                <w:szCs w:val="8"/>
                <w:color w:val="auto"/>
              </w:rPr>
            </w:pP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w w:val="99"/>
              </w:rPr>
              <w:t>Initial</w:t>
            </w:r>
          </w:p>
        </w:tc>
        <w:tc>
          <w:tcPr>
            <w:tcW w:w="0" w:type="dxa"/>
            <w:vAlign w:val="bottom"/>
          </w:tcPr>
          <w:p>
            <w:pPr>
              <w:spacing w:after="0"/>
              <w:rPr>
                <w:sz w:val="1"/>
                <w:szCs w:val="1"/>
                <w:color w:val="auto"/>
              </w:rPr>
            </w:pPr>
          </w:p>
        </w:tc>
      </w:tr>
      <w:tr>
        <w:trPr>
          <w:trHeight w:val="93"/>
        </w:trPr>
        <w:tc>
          <w:tcPr>
            <w:tcW w:w="260" w:type="dxa"/>
            <w:vAlign w:val="bottom"/>
            <w:tcBorders>
              <w:bottom w:val="single" w:sz="8" w:color="BFBFBF"/>
            </w:tcBorders>
          </w:tcPr>
          <w:p>
            <w:pPr>
              <w:spacing w:after="0"/>
              <w:rPr>
                <w:sz w:val="8"/>
                <w:szCs w:val="8"/>
                <w:color w:val="auto"/>
              </w:rPr>
            </w:pPr>
          </w:p>
        </w:tc>
        <w:tc>
          <w:tcPr>
            <w:tcW w:w="440" w:type="dxa"/>
            <w:vAlign w:val="bottom"/>
            <w:tcBorders>
              <w:bottom w:val="single" w:sz="8" w:color="E4B065"/>
              <w:right w:val="single" w:sz="8" w:color="E4B065"/>
            </w:tcBorders>
            <w:shd w:val="clear" w:color="auto" w:fill="E4B065"/>
          </w:tcPr>
          <w:p>
            <w:pPr>
              <w:spacing w:after="0"/>
              <w:rPr>
                <w:sz w:val="8"/>
                <w:szCs w:val="8"/>
                <w:color w:val="auto"/>
              </w:rPr>
            </w:pPr>
          </w:p>
        </w:tc>
        <w:tc>
          <w:tcPr>
            <w:tcW w:w="320" w:type="dxa"/>
            <w:vAlign w:val="bottom"/>
            <w:tcBorders>
              <w:bottom w:val="single" w:sz="8" w:color="6B7E65"/>
            </w:tcBorders>
            <w:shd w:val="clear" w:color="auto" w:fill="6B7E65"/>
          </w:tcPr>
          <w:p>
            <w:pPr>
              <w:spacing w:after="0"/>
              <w:rPr>
                <w:sz w:val="8"/>
                <w:szCs w:val="8"/>
                <w:color w:val="auto"/>
              </w:rPr>
            </w:pPr>
          </w:p>
        </w:tc>
        <w:tc>
          <w:tcPr>
            <w:tcW w:w="20" w:type="dxa"/>
            <w:vAlign w:val="bottom"/>
            <w:tcBorders>
              <w:bottom w:val="single" w:sz="8" w:color="6B7E65"/>
            </w:tcBorders>
            <w:shd w:val="clear" w:color="auto" w:fill="6B7E65"/>
          </w:tcPr>
          <w:p>
            <w:pPr>
              <w:spacing w:after="0"/>
              <w:rPr>
                <w:sz w:val="8"/>
                <w:szCs w:val="8"/>
                <w:color w:val="auto"/>
              </w:rPr>
            </w:pPr>
          </w:p>
        </w:tc>
        <w:tc>
          <w:tcPr>
            <w:tcW w:w="120" w:type="dxa"/>
            <w:vAlign w:val="bottom"/>
            <w:tcBorders>
              <w:bottom w:val="single" w:sz="8" w:color="6B7E65"/>
            </w:tcBorders>
            <w:shd w:val="clear" w:color="auto" w:fill="6B7E65"/>
          </w:tcPr>
          <w:p>
            <w:pPr>
              <w:spacing w:after="0"/>
              <w:rPr>
                <w:sz w:val="8"/>
                <w:szCs w:val="8"/>
                <w:color w:val="auto"/>
              </w:rPr>
            </w:pPr>
          </w:p>
        </w:tc>
        <w:tc>
          <w:tcPr>
            <w:tcW w:w="500" w:type="dxa"/>
            <w:vAlign w:val="bottom"/>
            <w:tcBorders>
              <w:bottom w:val="single" w:sz="8" w:color="BFBFBF"/>
            </w:tcBorders>
          </w:tcPr>
          <w:p>
            <w:pPr>
              <w:spacing w:after="0"/>
              <w:rPr>
                <w:sz w:val="8"/>
                <w:szCs w:val="8"/>
                <w:color w:val="auto"/>
              </w:rPr>
            </w:pPr>
          </w:p>
        </w:tc>
        <w:tc>
          <w:tcPr>
            <w:tcW w:w="460" w:type="dxa"/>
            <w:vAlign w:val="bottom"/>
            <w:tcBorders>
              <w:bottom w:val="single" w:sz="8" w:color="E4B065"/>
            </w:tcBorders>
            <w:shd w:val="clear" w:color="auto" w:fill="E4B065"/>
          </w:tcPr>
          <w:p>
            <w:pPr>
              <w:spacing w:after="0"/>
              <w:rPr>
                <w:sz w:val="8"/>
                <w:szCs w:val="8"/>
                <w:color w:val="auto"/>
              </w:rPr>
            </w:pPr>
          </w:p>
        </w:tc>
        <w:tc>
          <w:tcPr>
            <w:tcW w:w="220" w:type="dxa"/>
            <w:vAlign w:val="bottom"/>
            <w:tcBorders>
              <w:bottom w:val="single" w:sz="8" w:color="BFBFBF"/>
            </w:tcBorders>
          </w:tcPr>
          <w:p>
            <w:pPr>
              <w:spacing w:after="0"/>
              <w:rPr>
                <w:sz w:val="8"/>
                <w:szCs w:val="8"/>
                <w:color w:val="auto"/>
              </w:rPr>
            </w:pPr>
          </w:p>
        </w:tc>
        <w:tc>
          <w:tcPr>
            <w:tcW w:w="220" w:type="dxa"/>
            <w:vAlign w:val="bottom"/>
            <w:tcBorders>
              <w:bottom w:val="single" w:sz="8" w:color="BFBFBF"/>
            </w:tcBorders>
          </w:tcPr>
          <w:p>
            <w:pPr>
              <w:spacing w:after="0"/>
              <w:rPr>
                <w:sz w:val="8"/>
                <w:szCs w:val="8"/>
                <w:color w:val="auto"/>
              </w:rPr>
            </w:pPr>
          </w:p>
        </w:tc>
        <w:tc>
          <w:tcPr>
            <w:tcW w:w="140" w:type="dxa"/>
            <w:vAlign w:val="bottom"/>
            <w:tcBorders>
              <w:bottom w:val="single" w:sz="8" w:color="BFBFBF"/>
            </w:tcBorders>
          </w:tcPr>
          <w:p>
            <w:pPr>
              <w:spacing w:after="0"/>
              <w:rPr>
                <w:sz w:val="8"/>
                <w:szCs w:val="8"/>
                <w:color w:val="auto"/>
              </w:rPr>
            </w:pPr>
          </w:p>
        </w:tc>
        <w:tc>
          <w:tcPr>
            <w:tcW w:w="380" w:type="dxa"/>
            <w:vAlign w:val="bottom"/>
            <w:tcBorders>
              <w:bottom w:val="single" w:sz="8" w:color="BFBFBF"/>
            </w:tcBorders>
          </w:tcPr>
          <w:p>
            <w:pPr>
              <w:spacing w:after="0"/>
              <w:rPr>
                <w:sz w:val="8"/>
                <w:szCs w:val="8"/>
                <w:color w:val="auto"/>
              </w:rPr>
            </w:pPr>
          </w:p>
        </w:tc>
        <w:tc>
          <w:tcPr>
            <w:tcW w:w="440" w:type="dxa"/>
            <w:vAlign w:val="bottom"/>
            <w:tcBorders>
              <w:bottom w:val="single" w:sz="8" w:color="E4B065"/>
            </w:tcBorders>
            <w:shd w:val="clear" w:color="auto" w:fill="E4B065"/>
          </w:tcPr>
          <w:p>
            <w:pPr>
              <w:spacing w:after="0"/>
              <w:rPr>
                <w:sz w:val="8"/>
                <w:szCs w:val="8"/>
                <w:color w:val="auto"/>
              </w:rPr>
            </w:pPr>
          </w:p>
        </w:tc>
        <w:tc>
          <w:tcPr>
            <w:tcW w:w="440" w:type="dxa"/>
            <w:vAlign w:val="bottom"/>
            <w:tcBorders>
              <w:bottom w:val="single" w:sz="8" w:color="6B7E65"/>
            </w:tcBorders>
            <w:shd w:val="clear" w:color="auto" w:fill="6B7E65"/>
          </w:tcPr>
          <w:p>
            <w:pPr>
              <w:spacing w:after="0"/>
              <w:rPr>
                <w:sz w:val="8"/>
                <w:szCs w:val="8"/>
                <w:color w:val="auto"/>
              </w:rPr>
            </w:pPr>
          </w:p>
        </w:tc>
        <w:tc>
          <w:tcPr>
            <w:tcW w:w="520" w:type="dxa"/>
            <w:vAlign w:val="bottom"/>
            <w:tcBorders>
              <w:bottom w:val="single" w:sz="8" w:color="BFBFBF"/>
            </w:tcBorders>
          </w:tcPr>
          <w:p>
            <w:pPr>
              <w:spacing w:after="0"/>
              <w:rPr>
                <w:sz w:val="8"/>
                <w:szCs w:val="8"/>
                <w:color w:val="auto"/>
              </w:rPr>
            </w:pPr>
          </w:p>
        </w:tc>
        <w:tc>
          <w:tcPr>
            <w:tcW w:w="440" w:type="dxa"/>
            <w:vAlign w:val="bottom"/>
            <w:tcBorders>
              <w:bottom w:val="single" w:sz="8" w:color="E4B065"/>
            </w:tcBorders>
            <w:shd w:val="clear" w:color="auto" w:fill="E4B065"/>
          </w:tcPr>
          <w:p>
            <w:pPr>
              <w:spacing w:after="0"/>
              <w:rPr>
                <w:sz w:val="8"/>
                <w:szCs w:val="8"/>
                <w:color w:val="auto"/>
              </w:rPr>
            </w:pPr>
          </w:p>
        </w:tc>
        <w:tc>
          <w:tcPr>
            <w:tcW w:w="440" w:type="dxa"/>
            <w:vAlign w:val="bottom"/>
            <w:tcBorders>
              <w:bottom w:val="single" w:sz="8" w:color="6B7E65"/>
            </w:tcBorders>
            <w:shd w:val="clear" w:color="auto" w:fill="6B7E65"/>
          </w:tcPr>
          <w:p>
            <w:pPr>
              <w:spacing w:after="0"/>
              <w:rPr>
                <w:sz w:val="8"/>
                <w:szCs w:val="8"/>
                <w:color w:val="auto"/>
              </w:rPr>
            </w:pPr>
          </w:p>
        </w:tc>
        <w:tc>
          <w:tcPr>
            <w:tcW w:w="520" w:type="dxa"/>
            <w:vAlign w:val="bottom"/>
            <w:tcBorders>
              <w:bottom w:val="single" w:sz="8" w:color="BFBFBF"/>
            </w:tcBorders>
          </w:tcPr>
          <w:p>
            <w:pPr>
              <w:spacing w:after="0"/>
              <w:rPr>
                <w:sz w:val="8"/>
                <w:szCs w:val="8"/>
                <w:color w:val="auto"/>
              </w:rPr>
            </w:pPr>
          </w:p>
        </w:tc>
        <w:tc>
          <w:tcPr>
            <w:tcW w:w="440" w:type="dxa"/>
            <w:vAlign w:val="bottom"/>
            <w:tcBorders>
              <w:bottom w:val="single" w:sz="8" w:color="E4B065"/>
            </w:tcBorders>
            <w:shd w:val="clear" w:color="auto" w:fill="E4B065"/>
          </w:tcPr>
          <w:p>
            <w:pPr>
              <w:spacing w:after="0"/>
              <w:rPr>
                <w:sz w:val="8"/>
                <w:szCs w:val="8"/>
                <w:color w:val="auto"/>
              </w:rPr>
            </w:pPr>
          </w:p>
        </w:tc>
        <w:tc>
          <w:tcPr>
            <w:tcW w:w="440" w:type="dxa"/>
            <w:vAlign w:val="bottom"/>
            <w:tcBorders>
              <w:bottom w:val="single" w:sz="8" w:color="6B7E65"/>
            </w:tcBorders>
            <w:shd w:val="clear" w:color="auto" w:fill="6B7E65"/>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6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right w:val="single" w:sz="8" w:color="E4B065"/>
            </w:tcBorders>
            <w:shd w:val="clear" w:color="auto" w:fill="E4B065"/>
          </w:tcPr>
          <w:p>
            <w:pPr>
              <w:spacing w:after="0"/>
              <w:rPr>
                <w:sz w:val="23"/>
                <w:szCs w:val="23"/>
                <w:color w:val="auto"/>
              </w:rPr>
            </w:pPr>
          </w:p>
        </w:tc>
        <w:tc>
          <w:tcPr>
            <w:tcW w:w="320" w:type="dxa"/>
            <w:vAlign w:val="bottom"/>
            <w:tcBorders>
              <w:bottom w:val="single" w:sz="8" w:color="BFBFBF"/>
            </w:tcBorders>
            <w:shd w:val="clear" w:color="auto" w:fill="6B7E65"/>
          </w:tcPr>
          <w:p>
            <w:pPr>
              <w:spacing w:after="0"/>
              <w:rPr>
                <w:sz w:val="23"/>
                <w:szCs w:val="23"/>
                <w:color w:val="auto"/>
              </w:rPr>
            </w:pPr>
          </w:p>
        </w:tc>
        <w:tc>
          <w:tcPr>
            <w:tcW w:w="20" w:type="dxa"/>
            <w:vAlign w:val="bottom"/>
            <w:tcBorders>
              <w:bottom w:val="single" w:sz="8" w:color="BFBFBF"/>
            </w:tcBorders>
            <w:shd w:val="clear" w:color="auto" w:fill="6B7E65"/>
          </w:tcPr>
          <w:p>
            <w:pPr>
              <w:spacing w:after="0"/>
              <w:rPr>
                <w:sz w:val="23"/>
                <w:szCs w:val="23"/>
                <w:color w:val="auto"/>
              </w:rPr>
            </w:pPr>
          </w:p>
        </w:tc>
        <w:tc>
          <w:tcPr>
            <w:tcW w:w="120" w:type="dxa"/>
            <w:vAlign w:val="bottom"/>
            <w:tcBorders>
              <w:bottom w:val="single" w:sz="8" w:color="BFBFBF"/>
            </w:tcBorders>
            <w:shd w:val="clear" w:color="auto" w:fill="6B7E65"/>
          </w:tcPr>
          <w:p>
            <w:pPr>
              <w:spacing w:after="0"/>
              <w:rPr>
                <w:sz w:val="23"/>
                <w:szCs w:val="23"/>
                <w:color w:val="auto"/>
              </w:rPr>
            </w:pPr>
          </w:p>
        </w:tc>
        <w:tc>
          <w:tcPr>
            <w:tcW w:w="500" w:type="dxa"/>
            <w:vAlign w:val="bottom"/>
            <w:tcBorders>
              <w:bottom w:val="single" w:sz="8" w:color="BFBFBF"/>
            </w:tcBorders>
          </w:tcPr>
          <w:p>
            <w:pPr>
              <w:spacing w:after="0"/>
              <w:rPr>
                <w:sz w:val="23"/>
                <w:szCs w:val="23"/>
                <w:color w:val="auto"/>
              </w:rPr>
            </w:pPr>
          </w:p>
        </w:tc>
        <w:tc>
          <w:tcPr>
            <w:tcW w:w="460" w:type="dxa"/>
            <w:vAlign w:val="bottom"/>
            <w:tcBorders>
              <w:bottom w:val="single" w:sz="8" w:color="BFBFBF"/>
            </w:tcBorders>
            <w:shd w:val="clear" w:color="auto" w:fill="E4B065"/>
          </w:tcPr>
          <w:p>
            <w:pPr>
              <w:spacing w:after="0"/>
              <w:rPr>
                <w:sz w:val="23"/>
                <w:szCs w:val="23"/>
                <w:color w:val="auto"/>
              </w:rPr>
            </w:pPr>
          </w:p>
        </w:tc>
        <w:tc>
          <w:tcPr>
            <w:tcW w:w="220" w:type="dxa"/>
            <w:vAlign w:val="bottom"/>
            <w:tcBorders>
              <w:bottom w:val="single" w:sz="8" w:color="BFBFBF"/>
            </w:tcBorders>
            <w:shd w:val="clear" w:color="auto" w:fill="6B7E65"/>
          </w:tcPr>
          <w:p>
            <w:pPr>
              <w:spacing w:after="0"/>
              <w:rPr>
                <w:sz w:val="23"/>
                <w:szCs w:val="23"/>
                <w:color w:val="auto"/>
              </w:rPr>
            </w:pPr>
          </w:p>
        </w:tc>
        <w:tc>
          <w:tcPr>
            <w:tcW w:w="220" w:type="dxa"/>
            <w:vAlign w:val="bottom"/>
            <w:tcBorders>
              <w:bottom w:val="single" w:sz="8" w:color="BFBFBF"/>
            </w:tcBorders>
            <w:shd w:val="clear" w:color="auto" w:fill="6B7E65"/>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38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shd w:val="clear" w:color="auto" w:fill="E4B065"/>
          </w:tcPr>
          <w:p>
            <w:pPr>
              <w:spacing w:after="0"/>
              <w:rPr>
                <w:sz w:val="23"/>
                <w:szCs w:val="23"/>
                <w:color w:val="auto"/>
              </w:rPr>
            </w:pPr>
          </w:p>
        </w:tc>
        <w:tc>
          <w:tcPr>
            <w:tcW w:w="440" w:type="dxa"/>
            <w:vAlign w:val="bottom"/>
            <w:tcBorders>
              <w:bottom w:val="single" w:sz="8" w:color="BFBFBF"/>
            </w:tcBorders>
            <w:shd w:val="clear" w:color="auto" w:fill="6B7E65"/>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shd w:val="clear" w:color="auto" w:fill="E4B065"/>
          </w:tcPr>
          <w:p>
            <w:pPr>
              <w:spacing w:after="0"/>
              <w:rPr>
                <w:sz w:val="23"/>
                <w:szCs w:val="23"/>
                <w:color w:val="auto"/>
              </w:rPr>
            </w:pPr>
          </w:p>
        </w:tc>
        <w:tc>
          <w:tcPr>
            <w:tcW w:w="440" w:type="dxa"/>
            <w:vAlign w:val="bottom"/>
            <w:tcBorders>
              <w:bottom w:val="single" w:sz="8" w:color="BFBFBF"/>
            </w:tcBorders>
            <w:shd w:val="clear" w:color="auto" w:fill="6B7E65"/>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440" w:type="dxa"/>
            <w:vAlign w:val="bottom"/>
            <w:tcBorders>
              <w:bottom w:val="single" w:sz="8" w:color="BFBFBF"/>
            </w:tcBorders>
            <w:shd w:val="clear" w:color="auto" w:fill="E4B065"/>
          </w:tcPr>
          <w:p>
            <w:pPr>
              <w:spacing w:after="0"/>
              <w:rPr>
                <w:sz w:val="23"/>
                <w:szCs w:val="23"/>
                <w:color w:val="auto"/>
              </w:rPr>
            </w:pPr>
          </w:p>
        </w:tc>
        <w:tc>
          <w:tcPr>
            <w:tcW w:w="440" w:type="dxa"/>
            <w:vAlign w:val="bottom"/>
            <w:tcBorders>
              <w:bottom w:val="single" w:sz="8" w:color="BFBFBF"/>
            </w:tcBorders>
            <w:shd w:val="clear" w:color="auto" w:fill="6B7E65"/>
          </w:tcPr>
          <w:p>
            <w:pPr>
              <w:spacing w:after="0"/>
              <w:rPr>
                <w:sz w:val="23"/>
                <w:szCs w:val="23"/>
                <w:color w:val="auto"/>
              </w:rPr>
            </w:pPr>
          </w:p>
        </w:tc>
        <w:tc>
          <w:tcPr>
            <w:tcW w:w="260" w:type="dxa"/>
            <w:vAlign w:val="bottom"/>
            <w:tcBorders>
              <w:bottom w:val="single" w:sz="8" w:color="BFBFBF"/>
            </w:tcBorders>
          </w:tcPr>
          <w:p>
            <w:pPr>
              <w:spacing w:after="0"/>
              <w:rPr>
                <w:sz w:val="23"/>
                <w:szCs w:val="23"/>
                <w:color w:val="auto"/>
              </w:rPr>
            </w:pPr>
          </w:p>
        </w:tc>
        <w:tc>
          <w:tcPr>
            <w:tcW w:w="700" w:type="dxa"/>
            <w:vAlign w:val="bottom"/>
            <w:gridSpan w:val="8"/>
            <w:vMerge w:val="restart"/>
          </w:tcPr>
          <w:p>
            <w:pPr>
              <w:jc w:val="right"/>
              <w:ind w:right="100"/>
              <w:spacing w:after="0"/>
              <w:rPr>
                <w:sz w:val="20"/>
                <w:szCs w:val="20"/>
                <w:color w:val="auto"/>
              </w:rPr>
            </w:pPr>
            <w:r>
              <w:rPr>
                <w:rFonts w:ascii="Arial" w:cs="Arial" w:eastAsia="Arial" w:hAnsi="Arial"/>
                <w:sz w:val="17"/>
                <w:szCs w:val="17"/>
                <w:color w:val="auto"/>
              </w:rPr>
              <w:t>$100</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gridSpan w:val="3"/>
          </w:tcPr>
          <w:p>
            <w:pPr>
              <w:spacing w:after="0"/>
              <w:rPr>
                <w:sz w:val="7"/>
                <w:szCs w:val="7"/>
                <w:color w:val="auto"/>
              </w:rPr>
            </w:pPr>
          </w:p>
        </w:tc>
        <w:tc>
          <w:tcPr>
            <w:tcW w:w="700" w:type="dxa"/>
            <w:vAlign w:val="bottom"/>
            <w:gridSpan w:val="8"/>
            <w:vMerge w:val="continue"/>
          </w:tcPr>
          <w:p>
            <w:pPr>
              <w:spacing w:after="0"/>
              <w:rPr>
                <w:sz w:val="7"/>
                <w:szCs w:val="7"/>
                <w:color w:val="auto"/>
              </w:rPr>
            </w:pP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rPr>
              <w:t>of</w:t>
            </w:r>
          </w:p>
        </w:tc>
        <w:tc>
          <w:tcPr>
            <w:tcW w:w="0" w:type="dxa"/>
            <w:vAlign w:val="bottom"/>
          </w:tcPr>
          <w:p>
            <w:pPr>
              <w:spacing w:after="0"/>
              <w:rPr>
                <w:sz w:val="1"/>
                <w:szCs w:val="1"/>
                <w:color w:val="auto"/>
              </w:rPr>
            </w:pPr>
          </w:p>
        </w:tc>
      </w:tr>
      <w:tr>
        <w:trPr>
          <w:trHeight w:val="119"/>
        </w:trPr>
        <w:tc>
          <w:tcPr>
            <w:tcW w:w="1020" w:type="dxa"/>
            <w:vAlign w:val="bottom"/>
            <w:gridSpan w:val="3"/>
            <w:vMerge w:val="restart"/>
          </w:tcPr>
          <w:p>
            <w:pPr>
              <w:ind w:left="540"/>
              <w:spacing w:after="0"/>
              <w:rPr>
                <w:sz w:val="20"/>
                <w:szCs w:val="20"/>
                <w:color w:val="auto"/>
              </w:rPr>
            </w:pPr>
            <w:r>
              <w:rPr>
                <w:rFonts w:ascii="Arial" w:cs="Arial" w:eastAsia="Arial" w:hAnsi="Arial"/>
                <w:sz w:val="17"/>
                <w:szCs w:val="17"/>
                <w:color w:val="auto"/>
              </w:rPr>
              <w:t>2021</w:t>
            </w:r>
          </w:p>
        </w:tc>
        <w:tc>
          <w:tcPr>
            <w:tcW w:w="1320" w:type="dxa"/>
            <w:vAlign w:val="bottom"/>
            <w:gridSpan w:val="5"/>
            <w:vMerge w:val="restart"/>
          </w:tcPr>
          <w:p>
            <w:pPr>
              <w:jc w:val="right"/>
              <w:ind w:right="40"/>
              <w:spacing w:after="0"/>
              <w:rPr>
                <w:sz w:val="20"/>
                <w:szCs w:val="20"/>
                <w:color w:val="auto"/>
              </w:rPr>
            </w:pPr>
            <w:r>
              <w:rPr>
                <w:rFonts w:ascii="Arial" w:cs="Arial" w:eastAsia="Arial" w:hAnsi="Arial"/>
                <w:sz w:val="17"/>
                <w:szCs w:val="17"/>
                <w:color w:val="auto"/>
              </w:rPr>
              <w:t>2022</w:t>
            </w:r>
          </w:p>
        </w:tc>
        <w:tc>
          <w:tcPr>
            <w:tcW w:w="1620" w:type="dxa"/>
            <w:vAlign w:val="bottom"/>
            <w:gridSpan w:val="5"/>
            <w:vMerge w:val="restart"/>
          </w:tcPr>
          <w:p>
            <w:pPr>
              <w:jc w:val="right"/>
              <w:ind w:right="260"/>
              <w:spacing w:after="0"/>
              <w:rPr>
                <w:sz w:val="20"/>
                <w:szCs w:val="20"/>
                <w:color w:val="auto"/>
              </w:rPr>
            </w:pPr>
            <w:r>
              <w:rPr>
                <w:rFonts w:ascii="Arial" w:cs="Arial" w:eastAsia="Arial" w:hAnsi="Arial"/>
                <w:sz w:val="17"/>
                <w:szCs w:val="17"/>
                <w:color w:val="auto"/>
              </w:rPr>
              <w:t>2023</w:t>
            </w:r>
          </w:p>
        </w:tc>
        <w:tc>
          <w:tcPr>
            <w:tcW w:w="52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2024</w:t>
            </w:r>
          </w:p>
        </w:tc>
        <w:tc>
          <w:tcPr>
            <w:tcW w:w="520" w:type="dxa"/>
            <w:vAlign w:val="bottom"/>
          </w:tcPr>
          <w:p>
            <w:pPr>
              <w:spacing w:after="0"/>
              <w:rPr>
                <w:sz w:val="10"/>
                <w:szCs w:val="10"/>
                <w:color w:val="auto"/>
              </w:rPr>
            </w:pPr>
          </w:p>
        </w:tc>
        <w:tc>
          <w:tcPr>
            <w:tcW w:w="880" w:type="dxa"/>
            <w:vAlign w:val="bottom"/>
            <w:gridSpan w:val="2"/>
            <w:vMerge w:val="restart"/>
          </w:tcPr>
          <w:p>
            <w:pPr>
              <w:jc w:val="right"/>
              <w:ind w:right="175"/>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20" w:type="dxa"/>
            <w:vAlign w:val="bottom"/>
            <w:gridSpan w:val="3"/>
            <w:vMerge w:val="continue"/>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vMerge w:val="restart"/>
            <w:textDirection w:val="btLr"/>
          </w:tcPr>
          <w:p>
            <w:pPr>
              <w:ind w:left="22"/>
              <w:spacing w:after="0"/>
              <w:rPr>
                <w:sz w:val="20"/>
                <w:szCs w:val="20"/>
                <w:color w:val="auto"/>
              </w:rPr>
            </w:pPr>
            <w:r>
              <w:rPr>
                <w:rFonts w:ascii="Arial" w:cs="Arial" w:eastAsia="Arial" w:hAnsi="Arial"/>
                <w:sz w:val="19"/>
                <w:szCs w:val="19"/>
                <w:color w:val="auto"/>
                <w:w w:val="98"/>
              </w:rPr>
              <w:t>(Value</w:t>
            </w: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vMerge w:val="restart"/>
          </w:tcPr>
          <w:p>
            <w:pPr>
              <w:ind w:left="120"/>
              <w:spacing w:after="0"/>
              <w:rPr>
                <w:sz w:val="20"/>
                <w:szCs w:val="20"/>
                <w:color w:val="auto"/>
              </w:rPr>
            </w:pPr>
            <w:r>
              <w:rPr>
                <w:rFonts w:ascii="Arial" w:cs="Arial" w:eastAsia="Arial" w:hAnsi="Arial"/>
                <w:sz w:val="17"/>
                <w:szCs w:val="17"/>
                <w:color w:val="auto"/>
              </w:rPr>
              <w:t>CEO CAP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vMerge w:val="restart"/>
          </w:tcPr>
          <w:p>
            <w:pPr>
              <w:ind w:left="120"/>
              <w:spacing w:after="0"/>
              <w:rPr>
                <w:sz w:val="20"/>
                <w:szCs w:val="20"/>
                <w:color w:val="auto"/>
              </w:rPr>
            </w:pPr>
            <w:r>
              <w:rPr>
                <w:rFonts w:ascii="Arial" w:cs="Arial" w:eastAsia="Arial" w:hAnsi="Arial"/>
                <w:sz w:val="17"/>
                <w:szCs w:val="17"/>
                <w:color w:val="auto"/>
              </w:rPr>
              <w:t>Non-CEO NEO Average CAP</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440" w:type="dxa"/>
            <w:vAlign w:val="bottom"/>
            <w:tcBorders>
              <w:right w:val="single" w:sz="8" w:color="E4B065"/>
            </w:tcBorders>
          </w:tcPr>
          <w:p>
            <w:pPr>
              <w:spacing w:after="0"/>
              <w:rPr>
                <w:sz w:val="8"/>
                <w:szCs w:val="8"/>
                <w:color w:val="auto"/>
              </w:rPr>
            </w:pPr>
          </w:p>
        </w:tc>
        <w:tc>
          <w:tcPr>
            <w:tcW w:w="320" w:type="dxa"/>
            <w:vAlign w:val="bottom"/>
            <w:tcBorders>
              <w:bottom w:val="single" w:sz="8" w:color="E4B065"/>
            </w:tcBorders>
            <w:shd w:val="clear" w:color="auto" w:fill="E4B065"/>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220" w:type="dxa"/>
            <w:vAlign w:val="bottom"/>
            <w:shd w:val="clear" w:color="auto" w:fill="6B7E65"/>
          </w:tcPr>
          <w:p>
            <w:pPr>
              <w:spacing w:after="0"/>
              <w:rPr>
                <w:sz w:val="8"/>
                <w:szCs w:val="8"/>
                <w:color w:val="auto"/>
              </w:rPr>
            </w:pPr>
          </w:p>
        </w:tc>
        <w:tc>
          <w:tcPr>
            <w:tcW w:w="140" w:type="dxa"/>
            <w:vAlign w:val="bottom"/>
            <w:shd w:val="clear" w:color="auto" w:fill="6B7E65"/>
          </w:tcPr>
          <w:p>
            <w:pPr>
              <w:spacing w:after="0"/>
              <w:rPr>
                <w:sz w:val="8"/>
                <w:szCs w:val="8"/>
                <w:color w:val="auto"/>
              </w:rPr>
            </w:pPr>
          </w:p>
        </w:tc>
        <w:tc>
          <w:tcPr>
            <w:tcW w:w="318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4"/>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5A5A5"/>
            </w:tcBorders>
          </w:tcPr>
          <w:p>
            <w:pPr>
              <w:spacing w:after="0"/>
              <w:rPr>
                <w:sz w:val="24"/>
                <w:szCs w:val="24"/>
                <w:color w:val="auto"/>
              </w:rPr>
            </w:pPr>
          </w:p>
        </w:tc>
        <w:tc>
          <w:tcPr>
            <w:tcW w:w="20" w:type="dxa"/>
            <w:vAlign w:val="bottom"/>
            <w:tcBorders>
              <w:bottom w:val="single" w:sz="8" w:color="A5A5A5"/>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auto"/>
              </w:rPr>
              <w:t>WM TSR</w:t>
            </w:r>
          </w:p>
        </w:tc>
        <w:tc>
          <w:tcPr>
            <w:tcW w:w="220" w:type="dxa"/>
            <w:vAlign w:val="bottom"/>
            <w:tcBorders>
              <w:bottom w:val="single" w:sz="8" w:color="D67D18"/>
            </w:tcBorders>
          </w:tcPr>
          <w:p>
            <w:pPr>
              <w:spacing w:after="0"/>
              <w:rPr>
                <w:sz w:val="24"/>
                <w:szCs w:val="24"/>
                <w:color w:val="auto"/>
              </w:rPr>
            </w:pPr>
          </w:p>
        </w:tc>
        <w:tc>
          <w:tcPr>
            <w:tcW w:w="140" w:type="dxa"/>
            <w:vAlign w:val="bottom"/>
            <w:tcBorders>
              <w:bottom w:val="single" w:sz="8" w:color="D67D18"/>
            </w:tcBorders>
          </w:tcPr>
          <w:p>
            <w:pPr>
              <w:spacing w:after="0"/>
              <w:rPr>
                <w:sz w:val="24"/>
                <w:szCs w:val="24"/>
                <w:color w:val="auto"/>
              </w:rPr>
            </w:pPr>
          </w:p>
        </w:tc>
        <w:tc>
          <w:tcPr>
            <w:tcW w:w="5020" w:type="dxa"/>
            <w:vAlign w:val="bottom"/>
            <w:gridSpan w:val="18"/>
            <w:vMerge w:val="restart"/>
          </w:tcPr>
          <w:p>
            <w:pPr>
              <w:jc w:val="right"/>
              <w:ind w:right="1120"/>
              <w:spacing w:after="0"/>
              <w:rPr>
                <w:sz w:val="20"/>
                <w:szCs w:val="20"/>
                <w:color w:val="auto"/>
              </w:rPr>
            </w:pPr>
            <w:r>
              <w:rPr>
                <w:rFonts w:ascii="Arial" w:cs="Arial" w:eastAsia="Arial" w:hAnsi="Arial"/>
                <w:sz w:val="17"/>
                <w:szCs w:val="17"/>
                <w:color w:val="auto"/>
              </w:rPr>
              <w:t>Dow Jones Waste &amp; Disposal Services Index TSR</w:t>
            </w:r>
          </w:p>
        </w:tc>
        <w:tc>
          <w:tcPr>
            <w:tcW w:w="240" w:type="dxa"/>
            <w:vAlign w:val="bottom"/>
            <w:vMerge w:val="restart"/>
            <w:textDirection w:val="btLr"/>
          </w:tcPr>
          <w:p>
            <w:pPr>
              <w:ind w:left="49"/>
              <w:spacing w:after="0" w:line="210" w:lineRule="auto"/>
              <w:rPr>
                <w:sz w:val="20"/>
                <w:szCs w:val="20"/>
                <w:color w:val="auto"/>
              </w:rPr>
            </w:pPr>
            <w:r>
              <w:rPr>
                <w:rFonts w:ascii="Arial" w:cs="Arial" w:eastAsia="Arial" w:hAnsi="Arial"/>
                <w:sz w:val="19"/>
                <w:szCs w:val="19"/>
                <w:color w:val="auto"/>
                <w:w w:val="99"/>
              </w:rPr>
              <w:t>TSR</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20" w:type="dxa"/>
            <w:vAlign w:val="bottom"/>
            <w:gridSpan w:val="18"/>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-2496185</wp:posOffset>
            </wp:positionV>
            <wp:extent cx="3568700" cy="11893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64">
                      <a:extLst>
                        <a:ext uri="{28A0092B-C50C-407E-A947-70E740481C1C}"/>
                      </a:extLst>
                    </a:blip>
                    <a:srcRect/>
                    <a:stretch>
                      <a:fillRect/>
                    </a:stretch>
                  </pic:blipFill>
                  <pic:spPr bwMode="auto">
                    <a:xfrm>
                      <a:off x="0" y="0"/>
                      <a:ext cx="3568700" cy="118935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3">
            <w:col w:w="313" w:space="107"/>
            <w:col w:w="280" w:space="160"/>
            <w:col w:w="8660"/>
          </w:cols>
          <w:pgMar w:left="144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01" w:type="dxa"/>
        <w:tblCellMar>
          <w:top w:w="0" w:type="dxa"/>
          <w:left w:w="0" w:type="dxa"/>
          <w:bottom w:w="0" w:type="dxa"/>
          <w:right w:w="0" w:type="dxa"/>
        </w:tblCellMar>
      </w:tblPr>
      <w:tr>
        <w:trPr>
          <w:trHeight w:val="1320"/>
        </w:trPr>
        <w:tc>
          <w:tcPr>
            <w:tcW w:w="218" w:type="dxa"/>
            <w:vAlign w:val="bottom"/>
            <w:textDirection w:val="btLr"/>
          </w:tcPr>
          <w:p>
            <w:pPr>
              <w:spacing w:after="0"/>
              <w:rPr>
                <w:sz w:val="20"/>
                <w:szCs w:val="20"/>
                <w:color w:val="auto"/>
              </w:rPr>
            </w:pPr>
            <w:r>
              <w:rPr>
                <w:rFonts w:ascii="Arial" w:cs="Arial" w:eastAsia="Arial" w:hAnsi="Arial"/>
                <w:sz w:val="19"/>
                <w:szCs w:val="19"/>
                <w:color w:val="auto"/>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9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Relationship of CAP to Net Income and Operating EBITDA</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-51435</wp:posOffset>
            </wp:positionV>
            <wp:extent cx="4468495" cy="18389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65">
                      <a:extLst>
                        <a:ext uri="{28A0092B-C50C-407E-A947-70E740481C1C}"/>
                      </a:extLst>
                    </a:blip>
                    <a:srcRect/>
                    <a:stretch>
                      <a:fillRect/>
                    </a:stretch>
                  </pic:blipFill>
                  <pic:spPr bwMode="auto">
                    <a:xfrm>
                      <a:off x="0" y="0"/>
                      <a:ext cx="4468495" cy="183896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$6.0</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$5.0</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$4.0</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$3.0</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$2.0</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$1.0</w:t>
      </w:r>
    </w:p>
    <w:p>
      <w:pPr>
        <w:spacing w:after="0" w:line="17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jc w:val="right"/>
              <w:ind w:right="375"/>
              <w:spacing w:after="0"/>
              <w:rPr>
                <w:sz w:val="20"/>
                <w:szCs w:val="20"/>
                <w:color w:val="auto"/>
              </w:rPr>
            </w:pPr>
            <w:r>
              <w:rPr>
                <w:rFonts w:ascii="Arial" w:cs="Arial" w:eastAsia="Arial" w:hAnsi="Arial"/>
                <w:sz w:val="17"/>
                <w:szCs w:val="17"/>
                <w:color w:val="auto"/>
                <w:w w:val="95"/>
              </w:rPr>
              <w:t>2021</w:t>
            </w:r>
          </w:p>
        </w:tc>
        <w:tc>
          <w:tcPr>
            <w:tcW w:w="1720" w:type="dxa"/>
            <w:vAlign w:val="bottom"/>
            <w:gridSpan w:val="2"/>
          </w:tcPr>
          <w:p>
            <w:pPr>
              <w:jc w:val="right"/>
              <w:ind w:right="672"/>
              <w:spacing w:after="0"/>
              <w:rPr>
                <w:sz w:val="20"/>
                <w:szCs w:val="20"/>
                <w:color w:val="auto"/>
              </w:rPr>
            </w:pPr>
            <w:r>
              <w:rPr>
                <w:rFonts w:ascii="Arial" w:cs="Arial" w:eastAsia="Arial" w:hAnsi="Arial"/>
                <w:sz w:val="17"/>
                <w:szCs w:val="17"/>
                <w:color w:val="auto"/>
              </w:rPr>
              <w:t>2022</w:t>
            </w:r>
          </w:p>
        </w:tc>
        <w:tc>
          <w:tcPr>
            <w:tcW w:w="1160" w:type="dxa"/>
            <w:vAlign w:val="bottom"/>
            <w:gridSpan w:val="2"/>
          </w:tcPr>
          <w:p>
            <w:pPr>
              <w:jc w:val="right"/>
              <w:ind w:right="432"/>
              <w:spacing w:after="0"/>
              <w:rPr>
                <w:sz w:val="20"/>
                <w:szCs w:val="20"/>
                <w:color w:val="auto"/>
              </w:rPr>
            </w:pPr>
            <w:r>
              <w:rPr>
                <w:rFonts w:ascii="Arial" w:cs="Arial" w:eastAsia="Arial" w:hAnsi="Arial"/>
                <w:sz w:val="17"/>
                <w:szCs w:val="17"/>
                <w:color w:val="auto"/>
              </w:rPr>
              <w:t>2023</w:t>
            </w:r>
          </w:p>
        </w:tc>
        <w:tc>
          <w:tcPr>
            <w:tcW w:w="1760" w:type="dxa"/>
            <w:vAlign w:val="bottom"/>
          </w:tcPr>
          <w:p>
            <w:pPr>
              <w:jc w:val="right"/>
              <w:ind w:right="795"/>
              <w:spacing w:after="0"/>
              <w:rPr>
                <w:sz w:val="20"/>
                <w:szCs w:val="20"/>
                <w:color w:val="auto"/>
              </w:rPr>
            </w:pPr>
            <w:r>
              <w:rPr>
                <w:rFonts w:ascii="Arial" w:cs="Arial" w:eastAsia="Arial" w:hAnsi="Arial"/>
                <w:sz w:val="17"/>
                <w:szCs w:val="17"/>
                <w:color w:val="auto"/>
              </w:rPr>
              <w:t>2024</w:t>
            </w:r>
          </w:p>
        </w:tc>
        <w:tc>
          <w:tcPr>
            <w:tcW w:w="520" w:type="dxa"/>
            <w:vAlign w:val="bottom"/>
          </w:tcPr>
          <w:p>
            <w:pPr>
              <w:jc w:val="right"/>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387"/>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CEO CAP</w:t>
            </w:r>
          </w:p>
        </w:tc>
        <w:tc>
          <w:tcPr>
            <w:tcW w:w="360" w:type="dxa"/>
            <w:vAlign w:val="bottom"/>
          </w:tcPr>
          <w:p>
            <w:pPr>
              <w:spacing w:after="0"/>
              <w:rPr>
                <w:sz w:val="24"/>
                <w:szCs w:val="24"/>
                <w:color w:val="auto"/>
              </w:rPr>
            </w:pPr>
          </w:p>
        </w:tc>
        <w:tc>
          <w:tcPr>
            <w:tcW w:w="2560" w:type="dxa"/>
            <w:vAlign w:val="bottom"/>
            <w:gridSpan w:val="2"/>
            <w:vMerge w:val="restart"/>
          </w:tcPr>
          <w:p>
            <w:pPr>
              <w:ind w:left="100"/>
              <w:spacing w:after="0"/>
              <w:rPr>
                <w:sz w:val="20"/>
                <w:szCs w:val="20"/>
                <w:color w:val="auto"/>
              </w:rPr>
            </w:pPr>
            <w:r>
              <w:rPr>
                <w:rFonts w:ascii="Arial" w:cs="Arial" w:eastAsia="Arial" w:hAnsi="Arial"/>
                <w:sz w:val="18"/>
                <w:szCs w:val="18"/>
                <w:color w:val="auto"/>
              </w:rPr>
              <w:t>Non-CEO NEO Average CAP</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40" w:type="dxa"/>
            <w:vAlign w:val="bottom"/>
          </w:tcPr>
          <w:p>
            <w:pPr>
              <w:spacing w:after="0"/>
              <w:rPr>
                <w:sz w:val="8"/>
                <w:szCs w:val="8"/>
                <w:color w:val="auto"/>
              </w:rPr>
            </w:pPr>
          </w:p>
        </w:tc>
        <w:tc>
          <w:tcPr>
            <w:tcW w:w="380" w:type="dxa"/>
            <w:vAlign w:val="bottom"/>
            <w:shd w:val="clear" w:color="auto" w:fill="E4B065"/>
          </w:tcPr>
          <w:p>
            <w:pPr>
              <w:spacing w:after="0"/>
              <w:rPr>
                <w:sz w:val="8"/>
                <w:szCs w:val="8"/>
                <w:color w:val="auto"/>
              </w:rPr>
            </w:pPr>
          </w:p>
        </w:tc>
        <w:tc>
          <w:tcPr>
            <w:tcW w:w="1340" w:type="dxa"/>
            <w:vAlign w:val="bottom"/>
            <w:vMerge w:val="continue"/>
          </w:tcPr>
          <w:p>
            <w:pPr>
              <w:spacing w:after="0"/>
              <w:rPr>
                <w:sz w:val="8"/>
                <w:szCs w:val="8"/>
                <w:color w:val="auto"/>
              </w:rPr>
            </w:pPr>
          </w:p>
        </w:tc>
        <w:tc>
          <w:tcPr>
            <w:tcW w:w="360" w:type="dxa"/>
            <w:vAlign w:val="bottom"/>
            <w:shd w:val="clear" w:color="auto" w:fill="6B7E65"/>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380" w:type="dxa"/>
            <w:vAlign w:val="bottom"/>
            <w:tcBorders>
              <w:bottom w:val="single" w:sz="8" w:color="A5A5A5"/>
            </w:tcBorders>
          </w:tcPr>
          <w:p>
            <w:pPr>
              <w:spacing w:after="0"/>
              <w:rPr>
                <w:sz w:val="18"/>
                <w:szCs w:val="18"/>
                <w:color w:val="auto"/>
              </w:rPr>
            </w:pP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D67D18"/>
            </w:tcBorders>
          </w:tcPr>
          <w:p>
            <w:pPr>
              <w:spacing w:after="0"/>
              <w:rPr>
                <w:sz w:val="18"/>
                <w:szCs w:val="18"/>
                <w:color w:val="auto"/>
              </w:rPr>
            </w:pPr>
          </w:p>
        </w:tc>
        <w:tc>
          <w:tcPr>
            <w:tcW w:w="2560" w:type="dxa"/>
            <w:vAlign w:val="bottom"/>
            <w:gridSpan w:val="2"/>
            <w:vMerge w:val="restart"/>
          </w:tcPr>
          <w:p>
            <w:pPr>
              <w:ind w:left="100"/>
              <w:spacing w:after="0"/>
              <w:rPr>
                <w:sz w:val="20"/>
                <w:szCs w:val="20"/>
                <w:color w:val="auto"/>
              </w:rPr>
            </w:pPr>
            <w:r>
              <w:rPr>
                <w:rFonts w:ascii="Arial" w:cs="Arial" w:eastAsia="Arial" w:hAnsi="Arial"/>
                <w:sz w:val="18"/>
                <w:szCs w:val="18"/>
                <w:color w:val="auto"/>
              </w:rPr>
              <w:t>Operating EBITDA</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3520"/>
        </w:trPr>
        <w:tc>
          <w:tcPr>
            <w:tcW w:w="184" w:type="dxa"/>
            <w:vAlign w:val="bottom"/>
            <w:textDirection w:val="btLr"/>
          </w:tcPr>
          <w:p>
            <w:pPr>
              <w:spacing w:after="0"/>
              <w:rPr>
                <w:sz w:val="20"/>
                <w:szCs w:val="20"/>
                <w:color w:val="auto"/>
              </w:rPr>
            </w:pPr>
            <w:r>
              <w:rPr>
                <w:rFonts w:ascii="Arial" w:cs="Arial" w:eastAsia="Arial" w:hAnsi="Arial"/>
                <w:sz w:val="16"/>
                <w:szCs w:val="16"/>
                <w:color w:val="auto"/>
              </w:rPr>
              <w:t>Net Income and Operating EBITDA in Billions</w:t>
            </w:r>
          </w:p>
        </w:tc>
      </w:tr>
    </w:tbl>
    <w:p>
      <w:pPr>
        <w:spacing w:after="0" w:line="752" w:lineRule="exact"/>
        <w:rPr>
          <w:sz w:val="20"/>
          <w:szCs w:val="20"/>
          <w:color w:val="auto"/>
        </w:rPr>
      </w:pPr>
    </w:p>
    <w:p>
      <w:pPr>
        <w:sectPr>
          <w:pgSz w:w="11880" w:h="15480" w:orient="portrait"/>
          <w:cols w:equalWidth="0" w:num="4">
            <w:col w:w="320" w:space="100"/>
            <w:col w:w="280" w:space="660"/>
            <w:col w:w="7080" w:space="249"/>
            <w:col w:w="831"/>
          </w:cols>
          <w:pgMar w:left="144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960"/>
        <w:spacing w:after="0"/>
        <w:tabs>
          <w:tab w:leader="none" w:pos="900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-207010</wp:posOffset>
            </wp:positionV>
            <wp:extent cx="538480" cy="161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6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9520"/>
          </w:cols>
          <w:pgMar w:left="1440" w:top="513" w:right="920" w:bottom="315" w:gutter="0" w:footer="0" w:header="0"/>
          <w:type w:val="continuous"/>
        </w:sectPr>
      </w:pPr>
    </w:p>
    <w:bookmarkStart w:id="71" w:name="page72"/>
    <w:bookmarkEnd w:id="71"/>
    <w:p>
      <w:pPr>
        <w:ind w:right="620"/>
        <w:spacing w:after="0" w:line="233" w:lineRule="auto"/>
        <w:rPr>
          <w:sz w:val="20"/>
          <w:szCs w:val="20"/>
          <w:color w:val="auto"/>
        </w:rPr>
      </w:pPr>
      <w:r>
        <w:rPr>
          <w:rFonts w:ascii="Arial" w:cs="Arial" w:eastAsia="Arial" w:hAnsi="Arial"/>
          <w:sz w:val="40"/>
          <w:szCs w:val="40"/>
          <w:b w:val="1"/>
          <w:bCs w:val="1"/>
          <w:color w:val="0C3D25"/>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RATIFICATION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(ITEM 2 ON THE PROXY CARD)</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Board of Directors, upon the recommendation of the Audit Committee, has ratified the selection of Ernst &amp; Young LLP to serve as our independent registered public accounting firm for fiscal year 2026, subject to ratification by our stockholders. Representatives of Ernst &amp; Young LLP will attend the Annual Meeting. They will be able to make a statement if they want, and will be available to answer appropriate questions from stockholders.</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Although ratification of the selection of Ernst &amp; Young LLP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INDEPENDENT REGISTERED PUBLIC ACCOUNTING FIRM FEE INFORMATION</w:t>
      </w:r>
    </w:p>
    <w:p>
      <w:pPr>
        <w:spacing w:after="0" w:line="14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Fees for professional services provided by our independent registered public accounting firm in each of the last two fiscal years, in each of the following categories,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4120" w:type="dxa"/>
            <w:vAlign w:val="bottom"/>
          </w:tcPr>
          <w:p>
            <w:pPr>
              <w:jc w:val="right"/>
              <w:ind w:right="26"/>
              <w:spacing w:after="0"/>
              <w:rPr>
                <w:sz w:val="20"/>
                <w:szCs w:val="20"/>
                <w:color w:val="auto"/>
              </w:rPr>
            </w:pPr>
            <w:r>
              <w:rPr>
                <w:rFonts w:ascii="Arial" w:cs="Arial" w:eastAsia="Arial" w:hAnsi="Arial"/>
                <w:sz w:val="16"/>
                <w:szCs w:val="16"/>
                <w:b w:val="1"/>
                <w:bCs w:val="1"/>
                <w:color w:val="0C3D25"/>
              </w:rPr>
              <w:t>2025</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0C3D25"/>
              </w:rPr>
              <w:t>2024</w:t>
            </w:r>
          </w:p>
        </w:tc>
      </w:tr>
      <w:tr>
        <w:trPr>
          <w:trHeight w:val="42"/>
        </w:trPr>
        <w:tc>
          <w:tcPr>
            <w:tcW w:w="5260" w:type="dxa"/>
            <w:vAlign w:val="bottom"/>
            <w:tcBorders>
              <w:bottom w:val="single" w:sz="8" w:color="0C3D25"/>
            </w:tcBorders>
          </w:tcPr>
          <w:p>
            <w:pPr>
              <w:spacing w:after="0"/>
              <w:rPr>
                <w:sz w:val="3"/>
                <w:szCs w:val="3"/>
                <w:color w:val="auto"/>
              </w:rPr>
            </w:pPr>
          </w:p>
        </w:tc>
        <w:tc>
          <w:tcPr>
            <w:tcW w:w="4800" w:type="dxa"/>
            <w:vAlign w:val="bottom"/>
            <w:tcBorders>
              <w:bottom w:val="single" w:sz="8" w:color="0C3D25"/>
            </w:tcBorders>
            <w:gridSpan w:val="3"/>
          </w:tcPr>
          <w:p>
            <w:pPr>
              <w:spacing w:after="0"/>
              <w:rPr>
                <w:sz w:val="3"/>
                <w:szCs w:val="3"/>
                <w:color w:val="auto"/>
              </w:rPr>
            </w:pPr>
          </w:p>
        </w:tc>
      </w:tr>
      <w:tr>
        <w:trPr>
          <w:trHeight w:val="214"/>
        </w:trPr>
        <w:tc>
          <w:tcPr>
            <w:tcW w:w="5260" w:type="dxa"/>
            <w:vAlign w:val="bottom"/>
          </w:tcPr>
          <w:p>
            <w:pPr>
              <w:spacing w:after="0"/>
              <w:rPr>
                <w:sz w:val="18"/>
                <w:szCs w:val="18"/>
                <w:color w:val="auto"/>
              </w:rPr>
            </w:pPr>
          </w:p>
        </w:tc>
        <w:tc>
          <w:tcPr>
            <w:tcW w:w="4800" w:type="dxa"/>
            <w:vAlign w:val="bottom"/>
            <w:gridSpan w:val="3"/>
          </w:tcPr>
          <w:p>
            <w:pPr>
              <w:jc w:val="center"/>
              <w:ind w:left="3746"/>
              <w:spacing w:after="0"/>
              <w:rPr>
                <w:sz w:val="20"/>
                <w:szCs w:val="20"/>
                <w:color w:val="auto"/>
              </w:rPr>
            </w:pPr>
            <w:r>
              <w:rPr>
                <w:rFonts w:ascii="Arial" w:cs="Arial" w:eastAsia="Arial" w:hAnsi="Arial"/>
                <w:sz w:val="16"/>
                <w:szCs w:val="16"/>
                <w:b w:val="1"/>
                <w:bCs w:val="1"/>
                <w:color w:val="0C3D25"/>
                <w:w w:val="93"/>
              </w:rPr>
              <w:t>(In millions)</w:t>
            </w:r>
          </w:p>
        </w:tc>
      </w:tr>
      <w:tr>
        <w:trPr>
          <w:trHeight w:val="32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Audit Fees</w:t>
            </w:r>
          </w:p>
        </w:tc>
        <w:tc>
          <w:tcPr>
            <w:tcW w:w="4120" w:type="dxa"/>
            <w:vAlign w:val="bottom"/>
          </w:tcPr>
          <w:p>
            <w:pPr>
              <w:jc w:val="right"/>
              <w:ind w:right="26"/>
              <w:spacing w:after="0"/>
              <w:rPr>
                <w:sz w:val="20"/>
                <w:szCs w:val="20"/>
                <w:color w:val="auto"/>
              </w:rPr>
            </w:pPr>
            <w:r>
              <w:rPr>
                <w:rFonts w:ascii="Arial" w:cs="Arial" w:eastAsia="Arial" w:hAnsi="Arial"/>
                <w:sz w:val="20"/>
                <w:szCs w:val="20"/>
                <w:b w:val="1"/>
                <w:bCs w:val="1"/>
                <w:color w:val="auto"/>
              </w:rPr>
              <w:t>$10.1</w:t>
            </w:r>
          </w:p>
        </w:tc>
        <w:tc>
          <w:tcPr>
            <w:tcW w:w="24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9.9</w:t>
            </w:r>
          </w:p>
        </w:tc>
      </w:tr>
      <w:tr>
        <w:trPr>
          <w:trHeight w:val="32"/>
        </w:trPr>
        <w:tc>
          <w:tcPr>
            <w:tcW w:w="5260" w:type="dxa"/>
            <w:vAlign w:val="bottom"/>
            <w:tcBorders>
              <w:bottom w:val="single" w:sz="8" w:color="0C3D25"/>
            </w:tcBorders>
          </w:tcPr>
          <w:p>
            <w:pPr>
              <w:spacing w:after="0"/>
              <w:rPr>
                <w:sz w:val="2"/>
                <w:szCs w:val="2"/>
                <w:color w:val="auto"/>
              </w:rPr>
            </w:pPr>
          </w:p>
        </w:tc>
        <w:tc>
          <w:tcPr>
            <w:tcW w:w="412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440" w:type="dxa"/>
            <w:vAlign w:val="bottom"/>
            <w:tcBorders>
              <w:bottom w:val="single" w:sz="8" w:color="0C3D25"/>
            </w:tcBorders>
          </w:tcPr>
          <w:p>
            <w:pPr>
              <w:spacing w:after="0"/>
              <w:rPr>
                <w:sz w:val="2"/>
                <w:szCs w:val="2"/>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Audit-Related Fees</w:t>
            </w:r>
          </w:p>
        </w:tc>
        <w:tc>
          <w:tcPr>
            <w:tcW w:w="412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0.4</w:t>
            </w:r>
          </w:p>
        </w:tc>
      </w:tr>
      <w:tr>
        <w:trPr>
          <w:trHeight w:val="32"/>
        </w:trPr>
        <w:tc>
          <w:tcPr>
            <w:tcW w:w="5260" w:type="dxa"/>
            <w:vAlign w:val="bottom"/>
            <w:tcBorders>
              <w:bottom w:val="single" w:sz="8" w:color="0C3D25"/>
            </w:tcBorders>
          </w:tcPr>
          <w:p>
            <w:pPr>
              <w:spacing w:after="0"/>
              <w:rPr>
                <w:sz w:val="2"/>
                <w:szCs w:val="2"/>
                <w:color w:val="auto"/>
              </w:rPr>
            </w:pPr>
          </w:p>
        </w:tc>
        <w:tc>
          <w:tcPr>
            <w:tcW w:w="412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440" w:type="dxa"/>
            <w:vAlign w:val="bottom"/>
            <w:tcBorders>
              <w:bottom w:val="single" w:sz="8" w:color="0C3D25"/>
            </w:tcBorders>
          </w:tcPr>
          <w:p>
            <w:pPr>
              <w:spacing w:after="0"/>
              <w:rPr>
                <w:sz w:val="2"/>
                <w:szCs w:val="2"/>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Tax Fees</w:t>
            </w:r>
          </w:p>
        </w:tc>
        <w:tc>
          <w:tcPr>
            <w:tcW w:w="412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2"/>
        </w:trPr>
        <w:tc>
          <w:tcPr>
            <w:tcW w:w="5260" w:type="dxa"/>
            <w:vAlign w:val="bottom"/>
            <w:tcBorders>
              <w:bottom w:val="single" w:sz="8" w:color="0C3D25"/>
            </w:tcBorders>
          </w:tcPr>
          <w:p>
            <w:pPr>
              <w:spacing w:after="0"/>
              <w:rPr>
                <w:sz w:val="2"/>
                <w:szCs w:val="2"/>
                <w:color w:val="auto"/>
              </w:rPr>
            </w:pPr>
          </w:p>
        </w:tc>
        <w:tc>
          <w:tcPr>
            <w:tcW w:w="412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440" w:type="dxa"/>
            <w:vAlign w:val="bottom"/>
            <w:tcBorders>
              <w:bottom w:val="single" w:sz="8" w:color="0C3D25"/>
            </w:tcBorders>
          </w:tcPr>
          <w:p>
            <w:pPr>
              <w:spacing w:after="0"/>
              <w:rPr>
                <w:sz w:val="2"/>
                <w:szCs w:val="2"/>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All Other Fees</w:t>
            </w:r>
          </w:p>
        </w:tc>
        <w:tc>
          <w:tcPr>
            <w:tcW w:w="412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2"/>
        </w:trPr>
        <w:tc>
          <w:tcPr>
            <w:tcW w:w="5260" w:type="dxa"/>
            <w:vAlign w:val="bottom"/>
            <w:tcBorders>
              <w:bottom w:val="single" w:sz="8" w:color="0C3D25"/>
            </w:tcBorders>
          </w:tcPr>
          <w:p>
            <w:pPr>
              <w:spacing w:after="0"/>
              <w:rPr>
                <w:sz w:val="2"/>
                <w:szCs w:val="2"/>
                <w:color w:val="auto"/>
              </w:rPr>
            </w:pPr>
          </w:p>
        </w:tc>
        <w:tc>
          <w:tcPr>
            <w:tcW w:w="4120" w:type="dxa"/>
            <w:vAlign w:val="bottom"/>
            <w:tcBorders>
              <w:bottom w:val="single" w:sz="8" w:color="0C3D25"/>
            </w:tcBorders>
          </w:tcPr>
          <w:p>
            <w:pPr>
              <w:spacing w:after="0"/>
              <w:rPr>
                <w:sz w:val="2"/>
                <w:szCs w:val="2"/>
                <w:color w:val="auto"/>
              </w:rPr>
            </w:pPr>
          </w:p>
        </w:tc>
        <w:tc>
          <w:tcPr>
            <w:tcW w:w="240" w:type="dxa"/>
            <w:vAlign w:val="bottom"/>
            <w:tcBorders>
              <w:bottom w:val="single" w:sz="8" w:color="0C3D25"/>
            </w:tcBorders>
          </w:tcPr>
          <w:p>
            <w:pPr>
              <w:spacing w:after="0"/>
              <w:rPr>
                <w:sz w:val="2"/>
                <w:szCs w:val="2"/>
                <w:color w:val="auto"/>
              </w:rPr>
            </w:pPr>
          </w:p>
        </w:tc>
        <w:tc>
          <w:tcPr>
            <w:tcW w:w="440" w:type="dxa"/>
            <w:vAlign w:val="bottom"/>
            <w:tcBorders>
              <w:bottom w:val="single" w:sz="8" w:color="0C3D25"/>
            </w:tcBorders>
          </w:tcPr>
          <w:p>
            <w:pPr>
              <w:spacing w:after="0"/>
              <w:rPr>
                <w:sz w:val="2"/>
                <w:szCs w:val="2"/>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4120" w:type="dxa"/>
            <w:vAlign w:val="bottom"/>
          </w:tcPr>
          <w:p>
            <w:pPr>
              <w:jc w:val="right"/>
              <w:ind w:right="26"/>
              <w:spacing w:after="0"/>
              <w:rPr>
                <w:sz w:val="20"/>
                <w:szCs w:val="20"/>
                <w:color w:val="auto"/>
              </w:rPr>
            </w:pPr>
            <w:r>
              <w:rPr>
                <w:rFonts w:ascii="Arial" w:cs="Arial" w:eastAsia="Arial" w:hAnsi="Arial"/>
                <w:sz w:val="20"/>
                <w:szCs w:val="20"/>
                <w:b w:val="1"/>
                <w:bCs w:val="1"/>
                <w:color w:val="auto"/>
              </w:rPr>
              <w:t>$10.1</w:t>
            </w:r>
          </w:p>
        </w:tc>
        <w:tc>
          <w:tcPr>
            <w:tcW w:w="24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w w:val="92"/>
              </w:rPr>
              <w:t>10.3</w:t>
            </w:r>
          </w:p>
        </w:tc>
      </w:tr>
      <w:tr>
        <w:trPr>
          <w:trHeight w:val="44"/>
        </w:trPr>
        <w:tc>
          <w:tcPr>
            <w:tcW w:w="5260" w:type="dxa"/>
            <w:vAlign w:val="bottom"/>
            <w:tcBorders>
              <w:bottom w:val="single" w:sz="8" w:color="0C3D25"/>
            </w:tcBorders>
          </w:tcPr>
          <w:p>
            <w:pPr>
              <w:spacing w:after="0"/>
              <w:rPr>
                <w:sz w:val="3"/>
                <w:szCs w:val="3"/>
                <w:color w:val="auto"/>
              </w:rPr>
            </w:pPr>
          </w:p>
        </w:tc>
        <w:tc>
          <w:tcPr>
            <w:tcW w:w="4120" w:type="dxa"/>
            <w:vAlign w:val="bottom"/>
            <w:tcBorders>
              <w:bottom w:val="single" w:sz="8" w:color="0C3D25"/>
            </w:tcBorders>
          </w:tcPr>
          <w:p>
            <w:pPr>
              <w:spacing w:after="0"/>
              <w:rPr>
                <w:sz w:val="3"/>
                <w:szCs w:val="3"/>
                <w:color w:val="auto"/>
              </w:rPr>
            </w:pPr>
          </w:p>
        </w:tc>
        <w:tc>
          <w:tcPr>
            <w:tcW w:w="240" w:type="dxa"/>
            <w:vAlign w:val="bottom"/>
            <w:tcBorders>
              <w:bottom w:val="single" w:sz="8" w:color="0C3D25"/>
            </w:tcBorders>
          </w:tcPr>
          <w:p>
            <w:pPr>
              <w:spacing w:after="0"/>
              <w:rPr>
                <w:sz w:val="3"/>
                <w:szCs w:val="3"/>
                <w:color w:val="auto"/>
              </w:rPr>
            </w:pPr>
          </w:p>
        </w:tc>
        <w:tc>
          <w:tcPr>
            <w:tcW w:w="440" w:type="dxa"/>
            <w:vAlign w:val="bottom"/>
            <w:tcBorders>
              <w:bottom w:val="single" w:sz="8" w:color="0C3D25"/>
            </w:tcBorders>
          </w:tcPr>
          <w:p>
            <w:pPr>
              <w:spacing w:after="0"/>
              <w:rPr>
                <w:sz w:val="3"/>
                <w:szCs w:val="3"/>
                <w:color w:val="auto"/>
              </w:rPr>
            </w:pPr>
          </w:p>
        </w:tc>
      </w:tr>
    </w:tbl>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Audit fees include fees for the annual audit, reviews of the Company’s Quarterly Reports on Form 10-Q, work performed to support the Company’s debt issuances; acquisitions, including our 2024 acquisition of Stericycle; accounting consultations; and separate subsidiary audits required by statute or regulation. Audit-related fees include attest services related to financial reporting that are not required by statute or regulations.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 has the authority to approve additional services, not previously approved, between Committee meetings. Any additional services approved by the Audit Committee Chair between Committee meetings are reported to the full Audit Committee at the next regularly scheduled meeting. The Audit Committee is updated on the status of all services and related fees at every regular meeting. In 2025 and 2024, the Audit Committee or Audit Committee Chair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C3D25"/>
        </w:rPr>
        <w:t>VOTE REQUIRED FOR APPROVAL</w:t>
      </w:r>
    </w:p>
    <w:p>
      <w:pPr>
        <w:spacing w:after="0" w:line="14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360" w:type="dxa"/>
            <w:vAlign w:val="bottom"/>
          </w:tcPr>
          <w:p>
            <w:pPr>
              <w:spacing w:after="0"/>
              <w:rPr>
                <w:sz w:val="24"/>
                <w:szCs w:val="24"/>
                <w:color w:val="auto"/>
              </w:rPr>
            </w:pPr>
          </w:p>
        </w:tc>
        <w:tc>
          <w:tcPr>
            <w:tcW w:w="1000" w:type="dxa"/>
            <w:vAlign w:val="bottom"/>
            <w:tcBorders>
              <w:top w:val="single" w:sz="8" w:color="0C3D25"/>
            </w:tcBorders>
            <w:vMerge w:val="restart"/>
            <w:shd w:val="clear" w:color="auto" w:fill="0C3D25"/>
          </w:tcPr>
          <w:p>
            <w:pPr>
              <w:jc w:val="right"/>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C3D25"/>
              <w:right w:val="single" w:sz="8" w:color="0C3D25"/>
            </w:tcBorders>
          </w:tcPr>
          <w:p>
            <w:pPr>
              <w:ind w:left="120"/>
              <w:spacing w:after="0"/>
              <w:rPr>
                <w:sz w:val="20"/>
                <w:szCs w:val="20"/>
                <w:color w:val="auto"/>
              </w:rPr>
            </w:pPr>
            <w:r>
              <w:rPr>
                <w:rFonts w:ascii="Arial" w:cs="Arial" w:eastAsia="Arial" w:hAnsi="Arial"/>
                <w:sz w:val="20"/>
                <w:szCs w:val="20"/>
                <w:b w:val="1"/>
                <w:bCs w:val="1"/>
                <w:color w:val="auto"/>
              </w:rPr>
              <w:t>THE BOARD OF DIRECTORS RECOMMENDS THAT YOU VOTE FOR THE</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1000" w:type="dxa"/>
            <w:vAlign w:val="bottom"/>
            <w:vMerge w:val="continue"/>
            <w:shd w:val="clear" w:color="auto" w:fill="0C3D25"/>
          </w:tcPr>
          <w:p>
            <w:pPr>
              <w:spacing w:after="0"/>
              <w:rPr>
                <w:sz w:val="20"/>
                <w:szCs w:val="20"/>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RATIFICATION OF ERNST &amp; YOUNG LLP AS THE COMPANY’S INDEPENDENT</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000" w:type="dxa"/>
            <w:vAlign w:val="bottom"/>
            <w:shd w:val="clear" w:color="auto" w:fill="0C3D25"/>
          </w:tcPr>
          <w:p>
            <w:pPr>
              <w:spacing w:after="0"/>
              <w:rPr>
                <w:sz w:val="23"/>
                <w:szCs w:val="23"/>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REGISTERED PUBLIC ACCOUNTING FIRM FOR FISCAL YEAR 2026.</w:t>
            </w: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1000" w:type="dxa"/>
            <w:vAlign w:val="bottom"/>
            <w:tcBorders>
              <w:bottom w:val="single" w:sz="8" w:color="0C3D25"/>
            </w:tcBorders>
            <w:shd w:val="clear" w:color="auto" w:fill="0C3D25"/>
          </w:tcPr>
          <w:p>
            <w:pPr>
              <w:spacing w:after="0"/>
              <w:rPr>
                <w:sz w:val="3"/>
                <w:szCs w:val="3"/>
                <w:color w:val="auto"/>
              </w:rPr>
            </w:pPr>
          </w:p>
        </w:tc>
        <w:tc>
          <w:tcPr>
            <w:tcW w:w="8340" w:type="dxa"/>
            <w:vAlign w:val="bottom"/>
            <w:tcBorders>
              <w:bottom w:val="single" w:sz="8" w:color="0C3D25"/>
              <w:right w:val="single" w:sz="8" w:color="0C3D25"/>
            </w:tcBorders>
          </w:tcPr>
          <w:p>
            <w:pPr>
              <w:spacing w:after="0"/>
              <w:rPr>
                <w:sz w:val="3"/>
                <w:szCs w:val="3"/>
                <w:color w:val="auto"/>
              </w:rPr>
            </w:pPr>
          </w:p>
        </w:tc>
        <w:tc>
          <w:tcPr>
            <w:tcW w:w="0" w:type="dxa"/>
            <w:vAlign w:val="bottom"/>
          </w:tcPr>
          <w:p>
            <w:pPr>
              <w:spacing w:after="0"/>
              <w:rPr>
                <w:sz w:val="1"/>
                <w:szCs w:val="1"/>
                <w:color w:val="auto"/>
              </w:rPr>
            </w:pPr>
          </w:p>
        </w:tc>
      </w:tr>
      <w:tr>
        <w:trPr>
          <w:trHeight w:val="886"/>
        </w:trPr>
        <w:tc>
          <w:tcPr>
            <w:tcW w:w="1360" w:type="dxa"/>
            <w:vAlign w:val="bottom"/>
            <w:gridSpan w:val="2"/>
          </w:tcPr>
          <w:p>
            <w:pPr>
              <w:jc w:val="right"/>
              <w:ind w:right="700"/>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35"/>
                <w:szCs w:val="35"/>
                <w:b w:val="1"/>
                <w:bCs w:val="1"/>
                <w:color w:val="0C3D25"/>
              </w:rPr>
              <w:t>|</w:t>
            </w:r>
          </w:p>
        </w:tc>
        <w:tc>
          <w:tcPr>
            <w:tcW w:w="8340" w:type="dxa"/>
            <w:vAlign w:val="bottom"/>
          </w:tcPr>
          <w:p>
            <w:pPr>
              <w:ind w:left="280"/>
              <w:spacing w:after="0"/>
              <w:rPr>
                <w:sz w:val="20"/>
                <w:szCs w:val="20"/>
                <w:color w:val="auto"/>
              </w:rPr>
            </w:pPr>
            <w:r>
              <w:rPr>
                <w:rFonts w:ascii="Arial" w:cs="Arial" w:eastAsia="Arial" w:hAnsi="Arial"/>
                <w:sz w:val="20"/>
                <w:szCs w:val="20"/>
                <w:color w:val="auto"/>
              </w:rPr>
              <w:t>2026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-808990</wp:posOffset>
            </wp:positionV>
            <wp:extent cx="193040" cy="1873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67">
                      <a:extLst>
                        <a:ext uri="{28A0092B-C50C-407E-A947-70E740481C1C}"/>
                      </a:extLst>
                    </a:blip>
                    <a:srcRect/>
                    <a:stretch>
                      <a:fillRect/>
                    </a:stretch>
                  </pic:blipFill>
                  <pic:spPr bwMode="auto">
                    <a:xfrm>
                      <a:off x="0" y="0"/>
                      <a:ext cx="193040" cy="18732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-210820</wp:posOffset>
            </wp:positionV>
            <wp:extent cx="538480" cy="161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6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0" w:gutter="0" w:footer="0" w:header="0"/>
        </w:sectPr>
      </w:pPr>
    </w:p>
    <w:bookmarkStart w:id="72" w:name="page73"/>
    <w:bookmarkEnd w:id="72"/>
    <w:p>
      <w:pPr>
        <w:spacing w:after="0"/>
        <w:rPr>
          <w:sz w:val="20"/>
          <w:szCs w:val="20"/>
          <w:color w:val="auto"/>
        </w:rPr>
      </w:pPr>
      <w:r>
        <w:rPr>
          <w:rFonts w:ascii="Arial" w:cs="Arial" w:eastAsia="Arial" w:hAnsi="Arial"/>
          <w:sz w:val="40"/>
          <w:szCs w:val="40"/>
          <w:b w:val="1"/>
          <w:bCs w:val="1"/>
          <w:color w:val="0C3D25"/>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ADVISORY VOTE ON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(ITEM 3 ON THE PROXY CARD)</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encourage stockholders to review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further the objective of our executive compensation program and evidence our dedication to competitive and reasonable compensation practices that are in the best interests of stockholders:</w:t>
      </w:r>
    </w:p>
    <w:p>
      <w:pPr>
        <w:spacing w:after="0" w:line="124" w:lineRule="exact"/>
        <w:rPr>
          <w:sz w:val="20"/>
          <w:szCs w:val="20"/>
          <w:color w:val="auto"/>
        </w:rPr>
      </w:pPr>
    </w:p>
    <w:p>
      <w:pPr>
        <w:ind w:left="600" w:hanging="203"/>
        <w:spacing w:after="0" w:line="243" w:lineRule="auto"/>
        <w:tabs>
          <w:tab w:leader="none" w:pos="600" w:val="left"/>
        </w:tabs>
        <w:numPr>
          <w:ilvl w:val="0"/>
          <w:numId w:val="46"/>
        </w:numPr>
        <w:rPr>
          <w:rFonts w:ascii="Arial" w:cs="Arial" w:eastAsia="Arial" w:hAnsi="Arial"/>
          <w:sz w:val="20"/>
          <w:szCs w:val="20"/>
          <w:color w:val="0C3D25"/>
        </w:rPr>
      </w:pPr>
      <w:r>
        <w:rPr>
          <w:rFonts w:ascii="Arial" w:cs="Arial" w:eastAsia="Arial" w:hAnsi="Arial"/>
          <w:sz w:val="20"/>
          <w:szCs w:val="20"/>
          <w:color w:val="auto"/>
        </w:rPr>
        <w:t>a significant majority of our named executive’s target compensation is linked to Company performance and long-term equity awards, which aligns executives’ interests with those of stockholders;</w:t>
      </w:r>
    </w:p>
    <w:p>
      <w:pPr>
        <w:spacing w:after="0" w:line="121" w:lineRule="exact"/>
        <w:rPr>
          <w:rFonts w:ascii="Arial" w:cs="Arial" w:eastAsia="Arial" w:hAnsi="Arial"/>
          <w:sz w:val="20"/>
          <w:szCs w:val="20"/>
          <w:color w:val="0C3D25"/>
        </w:rPr>
      </w:pPr>
    </w:p>
    <w:p>
      <w:pPr>
        <w:ind w:left="600" w:hanging="203"/>
        <w:spacing w:after="0" w:line="243" w:lineRule="auto"/>
        <w:tabs>
          <w:tab w:leader="none" w:pos="600" w:val="left"/>
        </w:tabs>
        <w:numPr>
          <w:ilvl w:val="0"/>
          <w:numId w:val="46"/>
        </w:numPr>
        <w:rPr>
          <w:rFonts w:ascii="Arial" w:cs="Arial" w:eastAsia="Arial" w:hAnsi="Arial"/>
          <w:sz w:val="20"/>
          <w:szCs w:val="20"/>
          <w:color w:val="0C3D25"/>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21" w:lineRule="exact"/>
        <w:rPr>
          <w:rFonts w:ascii="Arial" w:cs="Arial" w:eastAsia="Arial" w:hAnsi="Arial"/>
          <w:sz w:val="20"/>
          <w:szCs w:val="20"/>
          <w:color w:val="0C3D25"/>
        </w:rPr>
      </w:pPr>
    </w:p>
    <w:p>
      <w:pPr>
        <w:jc w:val="both"/>
        <w:ind w:left="600" w:hanging="203"/>
        <w:spacing w:after="0" w:line="297" w:lineRule="auto"/>
        <w:tabs>
          <w:tab w:leader="none" w:pos="600" w:val="left"/>
        </w:tabs>
        <w:numPr>
          <w:ilvl w:val="0"/>
          <w:numId w:val="46"/>
        </w:numPr>
        <w:rPr>
          <w:rFonts w:ascii="Arial" w:cs="Arial" w:eastAsia="Arial" w:hAnsi="Arial"/>
          <w:sz w:val="18"/>
          <w:szCs w:val="18"/>
          <w:color w:val="0C3D25"/>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4" w:lineRule="exact"/>
        <w:rPr>
          <w:rFonts w:ascii="Arial" w:cs="Arial" w:eastAsia="Arial" w:hAnsi="Arial"/>
          <w:sz w:val="18"/>
          <w:szCs w:val="18"/>
          <w:color w:val="0C3D25"/>
        </w:rPr>
      </w:pPr>
    </w:p>
    <w:p>
      <w:pPr>
        <w:jc w:val="both"/>
        <w:ind w:left="600" w:hanging="203"/>
        <w:spacing w:after="0" w:line="243" w:lineRule="auto"/>
        <w:tabs>
          <w:tab w:leader="none" w:pos="600" w:val="left"/>
        </w:tabs>
        <w:numPr>
          <w:ilvl w:val="0"/>
          <w:numId w:val="46"/>
        </w:numPr>
        <w:rPr>
          <w:rFonts w:ascii="Arial" w:cs="Arial" w:eastAsia="Arial" w:hAnsi="Arial"/>
          <w:sz w:val="20"/>
          <w:szCs w:val="20"/>
          <w:color w:val="0C3D25"/>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121" w:lineRule="exact"/>
        <w:rPr>
          <w:rFonts w:ascii="Arial" w:cs="Arial" w:eastAsia="Arial" w:hAnsi="Arial"/>
          <w:sz w:val="20"/>
          <w:szCs w:val="20"/>
          <w:color w:val="0C3D25"/>
        </w:rPr>
      </w:pPr>
    </w:p>
    <w:p>
      <w:pPr>
        <w:ind w:left="600" w:hanging="203"/>
        <w:spacing w:after="0" w:line="243" w:lineRule="auto"/>
        <w:tabs>
          <w:tab w:leader="none" w:pos="600" w:val="left"/>
        </w:tabs>
        <w:numPr>
          <w:ilvl w:val="0"/>
          <w:numId w:val="46"/>
        </w:numPr>
        <w:rPr>
          <w:rFonts w:ascii="Arial" w:cs="Arial" w:eastAsia="Arial" w:hAnsi="Arial"/>
          <w:sz w:val="20"/>
          <w:szCs w:val="20"/>
          <w:color w:val="0C3D25"/>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21" w:lineRule="exact"/>
        <w:rPr>
          <w:rFonts w:ascii="Arial" w:cs="Arial" w:eastAsia="Arial" w:hAnsi="Arial"/>
          <w:sz w:val="20"/>
          <w:szCs w:val="20"/>
          <w:color w:val="0C3D25"/>
        </w:rPr>
      </w:pPr>
    </w:p>
    <w:p>
      <w:pPr>
        <w:jc w:val="both"/>
        <w:ind w:left="600" w:hanging="203"/>
        <w:spacing w:after="0" w:line="243" w:lineRule="auto"/>
        <w:tabs>
          <w:tab w:leader="none" w:pos="600" w:val="left"/>
        </w:tabs>
        <w:numPr>
          <w:ilvl w:val="0"/>
          <w:numId w:val="46"/>
        </w:numPr>
        <w:rPr>
          <w:rFonts w:ascii="Arial" w:cs="Arial" w:eastAsia="Arial" w:hAnsi="Arial"/>
          <w:sz w:val="20"/>
          <w:szCs w:val="20"/>
          <w:color w:val="0C3D25"/>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122" w:lineRule="exact"/>
        <w:rPr>
          <w:rFonts w:ascii="Arial" w:cs="Arial" w:eastAsia="Arial" w:hAnsi="Arial"/>
          <w:sz w:val="20"/>
          <w:szCs w:val="20"/>
          <w:color w:val="0C3D25"/>
        </w:rPr>
      </w:pPr>
    </w:p>
    <w:p>
      <w:pPr>
        <w:ind w:left="600" w:hanging="203"/>
        <w:spacing w:after="0" w:line="268" w:lineRule="auto"/>
        <w:tabs>
          <w:tab w:leader="none" w:pos="600" w:val="left"/>
        </w:tabs>
        <w:numPr>
          <w:ilvl w:val="0"/>
          <w:numId w:val="46"/>
        </w:numPr>
        <w:rPr>
          <w:rFonts w:ascii="Arial" w:cs="Arial" w:eastAsia="Arial" w:hAnsi="Arial"/>
          <w:sz w:val="19"/>
          <w:szCs w:val="19"/>
          <w:color w:val="0C3D25"/>
        </w:rPr>
      </w:pPr>
      <w:r>
        <w:rPr>
          <w:rFonts w:ascii="Arial" w:cs="Arial" w:eastAsia="Arial" w:hAnsi="Arial"/>
          <w:sz w:val="19"/>
          <w:szCs w:val="19"/>
          <w:color w:val="auto"/>
        </w:rPr>
        <w:t>the Company has adopted policies that limit executive officer severance benefits and prohibit it from entering into agreements with executive officers that provide for certain death benefits or tax gross-up payments.</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Board strongly endorses the Company’s executive compensation program and recommends that the stockholders vote in favor of the following resolution:</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RESOLVED, that the compensation of the Company’s named executive officers as described in this Proxy Statement under “Executive Compensation,” including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the tabular and narrative disclosure contained in this Proxy Statement, is hereby APPROVED.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C3D25"/>
        </w:rPr>
        <w:t>VOTE REQUIRED FOR APPROVAL</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107950</wp:posOffset>
            </wp:positionV>
            <wp:extent cx="5930265" cy="5670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9">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24" w:lineRule="exact"/>
        <w:rPr>
          <w:sz w:val="20"/>
          <w:szCs w:val="20"/>
          <w:color w:val="auto"/>
        </w:rPr>
      </w:pPr>
    </w:p>
    <w:p>
      <w:pPr>
        <w:ind w:left="1480" w:right="1060" w:hanging="939"/>
        <w:spacing w:after="0" w:line="206" w:lineRule="auto"/>
        <w:tabs>
          <w:tab w:leader="none" w:pos="146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auto"/>
        </w:rPr>
        <w:t>THE BOARD RECOMMENDS THAT YOU VOTE TO APPROVE THE COMPANY’S EXECUTIVE COMPENSATION.</w:t>
      </w:r>
    </w:p>
    <w:p>
      <w:pPr>
        <w:sectPr>
          <w:pgSz w:w="11880" w:h="15480" w:orient="portrait"/>
          <w:cols w:equalWidth="0" w:num="1">
            <w:col w:w="10060"/>
          </w:cols>
          <w:pgMar w:left="900" w:top="909"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70">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type w:val="continuous"/>
        </w:sectPr>
      </w:pPr>
    </w:p>
    <w:bookmarkStart w:id="73" w:name="page74"/>
    <w:bookmarkEnd w:id="73"/>
    <w:p>
      <w:pPr>
        <w:ind w:right="560"/>
        <w:spacing w:after="0" w:line="253" w:lineRule="auto"/>
        <w:rPr>
          <w:sz w:val="20"/>
          <w:szCs w:val="20"/>
          <w:color w:val="auto"/>
        </w:rPr>
      </w:pPr>
      <w:r>
        <w:rPr>
          <w:rFonts w:ascii="Arial" w:cs="Arial" w:eastAsia="Arial" w:hAnsi="Arial"/>
          <w:sz w:val="38"/>
          <w:szCs w:val="38"/>
          <w:b w:val="1"/>
          <w:bCs w:val="1"/>
          <w:color w:val="0C3D25"/>
        </w:rPr>
        <w:t>PROPOSAL TO AMEND AND RESTATE THE COMPANY’S EMPLOYEE STOCK 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(ITEM 4 ON THE PROXY CARD)</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ESPP was approved by stockholders at our 1997 Annual Meeting. An aggregate of one million shares of Common Stock was originally authorized for issuance under the ESPP and stockholders have approved an additional 17.75 million shares for issuance since then. As of January 1, 2026, approximately 49,266 employees were eligible to participate in the ESPP and approximately 949,504 shares remained available for issuance. The total number of shares issued under the ESPP in each of 2025, 2024 and 2023 was approximately 438,000, 408,000 and 473,000, respectively. The Board of Directors has concluded it is in the best interest to amend and restate the ESPP to authorize an additional three million shares of Common Stock for issuance under the plan, subject to stockholder approval. If stockholder approval is not obtained, the amendment and restatement will be of no force or effect. If the additional shares are authorized for the ESPP, we will register such shares on a Form S-8 registration statement prior to issuance.</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Key considerations applicable to the ESPP and the proposed amendment and restatement include the following. Please read “Operation of the ESPP” below for further detail.</w:t>
      </w:r>
    </w:p>
    <w:p>
      <w:pPr>
        <w:spacing w:after="0" w:line="121" w:lineRule="exact"/>
        <w:rPr>
          <w:sz w:val="20"/>
          <w:szCs w:val="20"/>
          <w:color w:val="auto"/>
        </w:rPr>
      </w:pPr>
    </w:p>
    <w:p>
      <w:pPr>
        <w:ind w:left="600" w:hanging="203"/>
        <w:spacing w:after="0" w:line="245" w:lineRule="auto"/>
        <w:tabs>
          <w:tab w:leader="none" w:pos="600" w:val="left"/>
        </w:tabs>
        <w:numPr>
          <w:ilvl w:val="0"/>
          <w:numId w:val="47"/>
        </w:numPr>
        <w:rPr>
          <w:rFonts w:ascii="Arial" w:cs="Arial" w:eastAsia="Arial" w:hAnsi="Arial"/>
          <w:sz w:val="20"/>
          <w:szCs w:val="20"/>
          <w:color w:val="0C3D25"/>
        </w:rPr>
      </w:pPr>
      <w:r>
        <w:rPr>
          <w:rFonts w:ascii="Arial" w:cs="Arial" w:eastAsia="Arial" w:hAnsi="Arial"/>
          <w:sz w:val="20"/>
          <w:szCs w:val="20"/>
          <w:color w:val="auto"/>
        </w:rPr>
        <w:t>The price of shares of Common Stock purchased under the ESPP is 85% of the fair market value on the last business day of the offering period.</w:t>
      </w:r>
    </w:p>
    <w:p>
      <w:pPr>
        <w:spacing w:after="0" w:line="120" w:lineRule="exact"/>
        <w:rPr>
          <w:rFonts w:ascii="Arial" w:cs="Arial" w:eastAsia="Arial" w:hAnsi="Arial"/>
          <w:sz w:val="20"/>
          <w:szCs w:val="20"/>
          <w:color w:val="0C3D25"/>
        </w:rPr>
      </w:pPr>
    </w:p>
    <w:p>
      <w:pPr>
        <w:ind w:left="600" w:hanging="203"/>
        <w:spacing w:after="0"/>
        <w:tabs>
          <w:tab w:leader="none" w:pos="600" w:val="left"/>
        </w:tabs>
        <w:numPr>
          <w:ilvl w:val="0"/>
          <w:numId w:val="47"/>
        </w:numPr>
        <w:rPr>
          <w:rFonts w:ascii="Arial" w:cs="Arial" w:eastAsia="Arial" w:hAnsi="Arial"/>
          <w:sz w:val="20"/>
          <w:szCs w:val="20"/>
          <w:color w:val="0C3D25"/>
        </w:rPr>
      </w:pPr>
      <w:r>
        <w:rPr>
          <w:rFonts w:ascii="Arial" w:cs="Arial" w:eastAsia="Arial" w:hAnsi="Arial"/>
          <w:sz w:val="20"/>
          <w:szCs w:val="20"/>
          <w:color w:val="auto"/>
        </w:rPr>
        <w:t>Each offering period is six months.</w:t>
      </w:r>
    </w:p>
    <w:p>
      <w:pPr>
        <w:spacing w:after="0" w:line="125" w:lineRule="exact"/>
        <w:rPr>
          <w:rFonts w:ascii="Arial" w:cs="Arial" w:eastAsia="Arial" w:hAnsi="Arial"/>
          <w:sz w:val="20"/>
          <w:szCs w:val="20"/>
          <w:color w:val="0C3D25"/>
        </w:rPr>
      </w:pPr>
    </w:p>
    <w:p>
      <w:pPr>
        <w:ind w:left="600" w:hanging="203"/>
        <w:spacing w:after="0" w:line="245" w:lineRule="auto"/>
        <w:tabs>
          <w:tab w:leader="none" w:pos="600" w:val="left"/>
        </w:tabs>
        <w:numPr>
          <w:ilvl w:val="0"/>
          <w:numId w:val="47"/>
        </w:numPr>
        <w:rPr>
          <w:rFonts w:ascii="Arial" w:cs="Arial" w:eastAsia="Arial" w:hAnsi="Arial"/>
          <w:sz w:val="20"/>
          <w:szCs w:val="20"/>
          <w:color w:val="0C3D25"/>
        </w:rPr>
      </w:pPr>
      <w:r>
        <w:rPr>
          <w:rFonts w:ascii="Arial" w:cs="Arial" w:eastAsia="Arial" w:hAnsi="Arial"/>
          <w:sz w:val="20"/>
          <w:szCs w:val="20"/>
          <w:color w:val="auto"/>
        </w:rPr>
        <w:t>The additional three million shares proposed to be authorized for issuance pursuant to the amendment and restatement comprise less than 1% of the Company’s outstanding shares of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Description of the ESPP</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following description of the ESPP is qualified in its entirety by, and should be read in conjunction with, the text of the plan, a copy of which, as proposed to be amended and restated, is attached hereto as Appendix A and incorporated herein by reference.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Purpose</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purpose of the ESPP is to provide an incentive for present and future employees of the Company’s participating subsidiaries to acquire or increase their proprietary interest in the Company through the purchase of shares of Common Stock at a discount.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Underlying Awards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closing price of the Company’s Common Stock as of March 17, 2026, was $236.05 per share.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ESPP is administered by the Administrative Committee of the Waste Management Employee Benefit Plans, a committee appointed by the Board of Directors. The Administrative Committee has the authority to interpret all provisions of the ESPP.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Any employee who customarily works for one of the Company’s participating subsidiaries at least 20 hours per week and more than five months in a calendar year is eligible to participate in the ESPP after having been employed for at least 30 days prior to an enrollment date. Non-employee directors of the Company are not eligible to participate in the ESPP.</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of the ESPP</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the last day of each six-month period between January 1 and June 30 and July 1 and December 31 (each, an “Offering Period”), each employee who is enrolled in the ESPP will automatically purchase a number of shares of Common Stock</w:t>
      </w:r>
    </w:p>
    <w:p>
      <w:pPr>
        <w:spacing w:after="0" w:line="37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71">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72">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sectPr>
      </w:pPr>
    </w:p>
    <w:bookmarkStart w:id="74" w:name="page75"/>
    <w:bookmarkEnd w:id="74"/>
    <w:p>
      <w:pPr>
        <w:ind w:left="272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PROPOSAL TO AMEND AND RESTATE THE COMPANY’S EMPLOYEE STOCK PURCHASE PLAN</w:t>
      </w:r>
    </w:p>
    <w:p>
      <w:pPr>
        <w:spacing w:after="0" w:line="278" w:lineRule="exact"/>
        <w:rPr>
          <w:sz w:val="20"/>
          <w:szCs w:val="20"/>
          <w:color w:val="auto"/>
        </w:rPr>
      </w:pPr>
    </w:p>
    <w:p>
      <w:pPr>
        <w:jc w:val="both"/>
        <w:ind w:left="2"/>
        <w:spacing w:after="0" w:line="260" w:lineRule="auto"/>
        <w:rPr>
          <w:sz w:val="20"/>
          <w:szCs w:val="20"/>
          <w:color w:val="auto"/>
        </w:rPr>
      </w:pPr>
      <w:r>
        <w:rPr>
          <w:rFonts w:ascii="Arial" w:cs="Arial" w:eastAsia="Arial" w:hAnsi="Arial"/>
          <w:sz w:val="19"/>
          <w:szCs w:val="19"/>
          <w:color w:val="auto"/>
        </w:rPr>
        <w:t>determined by dividing such employee’s payroll deductions accumulated in the ESPP during such Offering Period by the Offering Price. The Offering Price of each of the shares purchased in a given Offering Period shall be 85% of the fair market value of a share of Common Stock on the last day of the Offering Period. If an employee withdraws from participation during an Offering Period, the monies contributed to the Plan are refunded without interest.</w:t>
      </w:r>
    </w:p>
    <w:p>
      <w:pPr>
        <w:spacing w:after="0" w:line="107" w:lineRule="exact"/>
        <w:rPr>
          <w:sz w:val="20"/>
          <w:szCs w:val="20"/>
          <w:color w:val="auto"/>
        </w:rPr>
      </w:pPr>
    </w:p>
    <w:p>
      <w:pPr>
        <w:jc w:val="both"/>
        <w:ind w:left="2"/>
        <w:spacing w:after="0" w:line="286" w:lineRule="auto"/>
        <w:rPr>
          <w:sz w:val="20"/>
          <w:szCs w:val="20"/>
          <w:color w:val="auto"/>
        </w:rPr>
      </w:pPr>
      <w:r>
        <w:rPr>
          <w:rFonts w:ascii="Arial" w:cs="Arial" w:eastAsia="Arial" w:hAnsi="Arial"/>
          <w:sz w:val="18"/>
          <w:szCs w:val="18"/>
          <w:color w:val="auto"/>
        </w:rPr>
        <w:t>If, on the Exercise Date, the number of shares that participating employees are entitled to purchase exceeds the number of shares remaining available for purchase under the ESPP, the remaining shares shall be sold to such participating employees on a pro rata basis, and such oversubscription shall not result in automatic termination of the ESPP.</w:t>
      </w:r>
    </w:p>
    <w:p>
      <w:pPr>
        <w:spacing w:after="0" w:line="86"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Eligible employees may elect to participate in the ESPP by taking such enrollment steps as are determined by the Administrative Committee to authorize payroll deductions from the employee’s pay in an amount from 1% to 10% (in whole percentages) of the employee’s gross base pay. No employee may (a) make payroll deductions during any calendar year in excess of $21,250 (or such other amount determined by the Administrative Committee); (b) purchase shares under the ESPP if such purchase would result in the employee owning five percent or more of the total combined voting power or value of the Company’s outstanding capital stock; or (c) purchase shares under the ESPP with a fair market value in excess of $25,000 per calendar year.</w:t>
      </w:r>
    </w:p>
    <w:p>
      <w:pPr>
        <w:spacing w:after="0" w:line="125"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All payroll deductions for the ESPP are placed in our general corporate account. No interest accrues on the payroll deductions. Employees may purchase Common Stock under the ESPP only through payroll deductions, and an employee participating in the ESPP may not make any additional payments into the account.</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Termination of Employment and Withdrawal</w:t>
      </w:r>
    </w:p>
    <w:p>
      <w:pPr>
        <w:spacing w:after="0" w:line="131"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If an employee withdraws from participation in the ESPP or terminates employment for any reason, including retirement or death, during an Offering Period, the payroll deductions credited to the employee’s account will be refunded promptly without interest.</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Amendment and Termination of ESPP</w:t>
      </w:r>
    </w:p>
    <w:p>
      <w:pPr>
        <w:spacing w:after="0" w:line="131"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Board of Directors may amend the ESPP at any time; provided, however, the ESPP may not be amended in any way</w:t>
      </w:r>
    </w:p>
    <w:p>
      <w:pPr>
        <w:spacing w:after="0" w:line="28" w:lineRule="exact"/>
        <w:rPr>
          <w:sz w:val="20"/>
          <w:szCs w:val="20"/>
          <w:color w:val="auto"/>
        </w:rPr>
      </w:pPr>
    </w:p>
    <w:p>
      <w:pPr>
        <w:jc w:val="both"/>
        <w:ind w:left="2" w:hanging="2"/>
        <w:spacing w:after="0" w:line="245" w:lineRule="auto"/>
        <w:tabs>
          <w:tab w:leader="none" w:pos="28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that will cause rights issued thereunder to fail to meet the requirements for employee stock purchase plans as defined in Section 423 of the Internal Revenue Code of 1986, as amended (the “Code”) or (b) that requires stockholder approval, unless such stockholder approval is obtained. In addition, other amendments not requiring stockholder approval pursuant to Section 423 of the Code may also be made by the Plan Sponsor Committee of Waste Management Employee Benefit Plans, a committee appointed by the Board of Directors.</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Board may terminate the ESPP at any time, at its discretion.</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C3D25"/>
        </w:rPr>
        <w:t>Federal Income Tax Consequences</w:t>
      </w:r>
    </w:p>
    <w:p>
      <w:pPr>
        <w:spacing w:after="0" w:line="141"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The following discussion is intended to be a general summary only of the federal income tax aspects of purchase rights granted under the ESPP and not of state or local taxes that may be applicable. Tax consequences may vary depending on the particular circumstances, and administrative and judicial interpretations of the application of the federal income tax laws are subject to change. Participants in the ESPP who are residents of or are employed in a country other than the United States may be subject to taxation in accordance with the tax laws of that particular country in addition to or in lieu of U.S. federal income taxes.</w:t>
      </w:r>
    </w:p>
    <w:p>
      <w:pPr>
        <w:spacing w:after="0" w:line="124" w:lineRule="exact"/>
        <w:rPr>
          <w:sz w:val="20"/>
          <w:szCs w:val="20"/>
          <w:color w:val="auto"/>
        </w:rPr>
      </w:pPr>
    </w:p>
    <w:p>
      <w:pPr>
        <w:jc w:val="both"/>
        <w:ind w:left="2"/>
        <w:spacing w:after="0" w:line="275" w:lineRule="auto"/>
        <w:rPr>
          <w:sz w:val="20"/>
          <w:szCs w:val="20"/>
          <w:color w:val="auto"/>
        </w:rPr>
      </w:pPr>
      <w:r>
        <w:rPr>
          <w:rFonts w:ascii="Arial" w:cs="Arial" w:eastAsia="Arial" w:hAnsi="Arial"/>
          <w:sz w:val="18"/>
          <w:szCs w:val="18"/>
          <w:color w:val="auto"/>
        </w:rPr>
        <w:t>The ESPP is intended to be an “employee stock purchase plan” as defined in Section 423 of the Code. A participant recognizes no taxable income either as a result of commencing participation in the ESPP or purchasing Common Stock under the terms of the ESPP. If a participant disposes of shares purchased under the ESPP within either two years from the first day of the applicable Offering Period or within one year from the purchase date, known as disqualifying dispositions, the participant will realize ordinary income in the year of such disposition equal to the amount by which the fair market value of the shares on the purchase date exceeds the purchase price. The amount of the ordinary income will be added to the participant’s basis in the shares, and any additional gain or resulting loss recognized on the disposition of the shares will be a capital gain or loss, which will be long-term if the participant’s holding period is more than 12 months. If the participant disposes of shares purchased under the ESPP at least two years after the first day of the applicable Offering Period and at least one year after the purchase date, the participant will realize ordinary income in the year of disposition equal to the lesser of (a) the excess of the fair market value of the shares on the date of disposition</w:t>
      </w:r>
    </w:p>
    <w:p>
      <w:pPr>
        <w:spacing w:after="0" w:line="200" w:lineRule="exact"/>
        <w:rPr>
          <w:sz w:val="20"/>
          <w:szCs w:val="20"/>
          <w:color w:val="auto"/>
        </w:rPr>
      </w:pPr>
    </w:p>
    <w:p>
      <w:pPr>
        <w:spacing w:after="0" w:line="203"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7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75" w:name="page76"/>
    <w:bookmarkEnd w:id="75"/>
    <w:p>
      <w:pPr>
        <w:spacing w:after="0"/>
        <w:rPr>
          <w:sz w:val="20"/>
          <w:szCs w:val="20"/>
          <w:color w:val="auto"/>
        </w:rPr>
      </w:pPr>
      <w:r>
        <w:rPr>
          <w:rFonts w:ascii="Arial" w:cs="Arial" w:eastAsia="Arial" w:hAnsi="Arial"/>
          <w:sz w:val="21"/>
          <w:szCs w:val="21"/>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PROPOSAL TO AMEND AND RESTATE THE COMPANY’S EMPLOYEE STOCK PURCHASE PLAN</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over the purchase price or (b) 15% of the fair market value of the shares on the first day of the applicable Offering Period. The amount of any ordinary income will be added to the participant’s basis in the shares, and any additional gain recognized upon the disposition after such basis adjustment will be a long-term capital gain. If the fair market value of the shares on the date of disposition is less than the purchase price, there will be no ordinary income and any loss recognized will be a long-term capital loss. Any ordinary income recognized by a participant upon the disqualifying disposition of the shares generally should be deductible by the Company for federal income tax purposes, except to the extent such deduction is limited by applicable provisions of the Code or the regulations thereunder.</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0C3D25"/>
        </w:rPr>
        <w:t>New Plan Benefits</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value of the Common Stock purchased through the ESPP will vary based on the fair market value of our Common Stock on the last day of the Offering Period. Accordingly, the number of shares that may be purchased by the named executive officers, the executive officers as a group and all employees, including all current officers who are not executive officers, as a group in the future is not currently determinable. However, the table below shows, as to each of the indicated individuals and groups, the number of shares of Common Stock purchased by such individuals during the 2025 Offering Periods under the ESPP. The weighted average purchase price per share of Common Stock purchased during the 2025 Offering Periods under the ESPP was $190.53. Non-employee directors of the Company are not eligible to participate in the ESPP.</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C3D25"/>
              </w:rPr>
              <w:t>Number of</w:t>
            </w:r>
          </w:p>
        </w:tc>
      </w:tr>
      <w:tr>
        <w:trPr>
          <w:trHeight w:val="184"/>
        </w:trPr>
        <w:tc>
          <w:tcPr>
            <w:tcW w:w="8280" w:type="dxa"/>
            <w:vAlign w:val="bottom"/>
          </w:tcPr>
          <w:p>
            <w:pPr>
              <w:ind w:left="60"/>
              <w:spacing w:after="0"/>
              <w:rPr>
                <w:sz w:val="20"/>
                <w:szCs w:val="20"/>
                <w:color w:val="auto"/>
              </w:rPr>
            </w:pPr>
            <w:r>
              <w:rPr>
                <w:rFonts w:ascii="Arial" w:cs="Arial" w:eastAsia="Arial" w:hAnsi="Arial"/>
                <w:sz w:val="16"/>
                <w:szCs w:val="16"/>
                <w:b w:val="1"/>
                <w:bCs w:val="1"/>
                <w:color w:val="0C3D25"/>
              </w:rPr>
              <w:t>Name / Group</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C3D25"/>
              </w:rPr>
              <w:t>Shares</w:t>
            </w:r>
          </w:p>
        </w:tc>
      </w:tr>
      <w:tr>
        <w:trPr>
          <w:trHeight w:val="42"/>
        </w:trPr>
        <w:tc>
          <w:tcPr>
            <w:tcW w:w="8280" w:type="dxa"/>
            <w:vAlign w:val="bottom"/>
            <w:tcBorders>
              <w:bottom w:val="single" w:sz="8" w:color="0C3D25"/>
            </w:tcBorders>
          </w:tcPr>
          <w:p>
            <w:pPr>
              <w:spacing w:after="0"/>
              <w:rPr>
                <w:sz w:val="3"/>
                <w:szCs w:val="3"/>
                <w:color w:val="auto"/>
              </w:rPr>
            </w:pPr>
          </w:p>
        </w:tc>
        <w:tc>
          <w:tcPr>
            <w:tcW w:w="1780" w:type="dxa"/>
            <w:vAlign w:val="bottom"/>
            <w:tcBorders>
              <w:bottom w:val="single" w:sz="8" w:color="0C3D25"/>
            </w:tcBorders>
          </w:tcPr>
          <w:p>
            <w:pPr>
              <w:spacing w:after="0"/>
              <w:rPr>
                <w:sz w:val="3"/>
                <w:szCs w:val="3"/>
                <w:color w:val="auto"/>
              </w:rPr>
            </w:pPr>
          </w:p>
        </w:tc>
      </w:tr>
      <w:tr>
        <w:trPr>
          <w:trHeight w:val="263"/>
        </w:trPr>
        <w:tc>
          <w:tcPr>
            <w:tcW w:w="8280" w:type="dxa"/>
            <w:vAlign w:val="bottom"/>
          </w:tcPr>
          <w:p>
            <w:pPr>
              <w:ind w:left="60"/>
              <w:spacing w:after="0"/>
              <w:rPr>
                <w:sz w:val="20"/>
                <w:szCs w:val="20"/>
                <w:color w:val="auto"/>
              </w:rPr>
            </w:pPr>
            <w:r>
              <w:rPr>
                <w:rFonts w:ascii="Arial" w:cs="Arial" w:eastAsia="Arial" w:hAnsi="Arial"/>
                <w:sz w:val="20"/>
                <w:szCs w:val="20"/>
                <w:color w:val="auto"/>
              </w:rPr>
              <w:t>James C. Fish, Jr.</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David L. Reed</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109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John J. Morris, Jr.</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Charles C. Boettcher</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109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John A. Carroll</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110</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Christopher P. DeSantis</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119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Donald J. Smith</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Kimberly G. Stith</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109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Johnson Varkey</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109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Michael J. Watson</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109</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All executive officers, as a group</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774</w:t>
            </w:r>
          </w:p>
        </w:tc>
      </w:tr>
      <w:tr>
        <w:trPr>
          <w:trHeight w:val="27"/>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r>
        <w:trPr>
          <w:trHeight w:val="253"/>
        </w:trPr>
        <w:tc>
          <w:tcPr>
            <w:tcW w:w="8280" w:type="dxa"/>
            <w:vAlign w:val="bottom"/>
          </w:tcPr>
          <w:p>
            <w:pPr>
              <w:ind w:left="60"/>
              <w:spacing w:after="0"/>
              <w:rPr>
                <w:sz w:val="20"/>
                <w:szCs w:val="20"/>
                <w:color w:val="auto"/>
              </w:rPr>
            </w:pPr>
            <w:r>
              <w:rPr>
                <w:rFonts w:ascii="Arial" w:cs="Arial" w:eastAsia="Arial" w:hAnsi="Arial"/>
                <w:sz w:val="20"/>
                <w:szCs w:val="20"/>
                <w:color w:val="auto"/>
              </w:rPr>
              <w:t>All employees, including all current officers who are not executive officers, as a group</w:t>
            </w:r>
          </w:p>
        </w:tc>
        <w:tc>
          <w:tcPr>
            <w:tcW w:w="1780" w:type="dxa"/>
            <w:vAlign w:val="bottom"/>
          </w:tcPr>
          <w:p>
            <w:pPr>
              <w:jc w:val="right"/>
              <w:ind w:right="3"/>
              <w:spacing w:after="0"/>
              <w:rPr>
                <w:sz w:val="20"/>
                <w:szCs w:val="20"/>
                <w:color w:val="auto"/>
              </w:rPr>
            </w:pPr>
            <w:r>
              <w:rPr>
                <w:rFonts w:ascii="Arial" w:cs="Arial" w:eastAsia="Arial" w:hAnsi="Arial"/>
                <w:sz w:val="20"/>
                <w:szCs w:val="20"/>
                <w:color w:val="auto"/>
              </w:rPr>
              <w:t>438,323</w:t>
            </w:r>
          </w:p>
        </w:tc>
      </w:tr>
      <w:tr>
        <w:trPr>
          <w:trHeight w:val="32"/>
        </w:trPr>
        <w:tc>
          <w:tcPr>
            <w:tcW w:w="8280" w:type="dxa"/>
            <w:vAlign w:val="bottom"/>
            <w:tcBorders>
              <w:bottom w:val="single" w:sz="8" w:color="0C3D25"/>
            </w:tcBorders>
          </w:tcPr>
          <w:p>
            <w:pPr>
              <w:spacing w:after="0"/>
              <w:rPr>
                <w:sz w:val="2"/>
                <w:szCs w:val="2"/>
                <w:color w:val="auto"/>
              </w:rPr>
            </w:pPr>
          </w:p>
        </w:tc>
        <w:tc>
          <w:tcPr>
            <w:tcW w:w="1780" w:type="dxa"/>
            <w:vAlign w:val="bottom"/>
            <w:tcBorders>
              <w:bottom w:val="single" w:sz="8" w:color="0C3D25"/>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C3D25"/>
        </w:rPr>
        <w:t>VOTE REQUIRED FOR APPROVAL</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318"/>
        </w:trPr>
        <w:tc>
          <w:tcPr>
            <w:tcW w:w="1000" w:type="dxa"/>
            <w:vAlign w:val="bottom"/>
            <w:tcBorders>
              <w:top w:val="single" w:sz="8" w:color="0C3D25"/>
            </w:tcBorders>
            <w:vMerge w:val="restart"/>
            <w:shd w:val="clear" w:color="auto" w:fill="0C3D25"/>
          </w:tcPr>
          <w:p>
            <w:pPr>
              <w:ind w:left="180"/>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C3D25"/>
              <w:right w:val="single" w:sz="8" w:color="0C3D25"/>
            </w:tcBorders>
          </w:tcPr>
          <w:p>
            <w:pPr>
              <w:ind w:left="120"/>
              <w:spacing w:after="0"/>
              <w:rPr>
                <w:sz w:val="20"/>
                <w:szCs w:val="20"/>
                <w:color w:val="auto"/>
              </w:rPr>
            </w:pPr>
            <w:r>
              <w:rPr>
                <w:rFonts w:ascii="Arial" w:cs="Arial" w:eastAsia="Arial" w:hAnsi="Arial"/>
                <w:sz w:val="20"/>
                <w:szCs w:val="20"/>
                <w:b w:val="1"/>
                <w:bCs w:val="1"/>
                <w:color w:val="auto"/>
              </w:rPr>
              <w:t>THE BOARD OF DIRECTORS RECOMMENDS THAT YOU VOTE FOR THE APPROVAL</w:t>
            </w:r>
          </w:p>
        </w:tc>
        <w:tc>
          <w:tcPr>
            <w:tcW w:w="0" w:type="dxa"/>
            <w:vAlign w:val="bottom"/>
          </w:tcPr>
          <w:p>
            <w:pPr>
              <w:spacing w:after="0"/>
              <w:rPr>
                <w:sz w:val="1"/>
                <w:szCs w:val="1"/>
                <w:color w:val="auto"/>
              </w:rPr>
            </w:pPr>
          </w:p>
        </w:tc>
      </w:tr>
      <w:tr>
        <w:trPr>
          <w:trHeight w:val="239"/>
        </w:trPr>
        <w:tc>
          <w:tcPr>
            <w:tcW w:w="1000" w:type="dxa"/>
            <w:vAlign w:val="bottom"/>
            <w:vMerge w:val="continue"/>
            <w:shd w:val="clear" w:color="auto" w:fill="0C3D25"/>
          </w:tcPr>
          <w:p>
            <w:pPr>
              <w:spacing w:after="0"/>
              <w:rPr>
                <w:sz w:val="20"/>
                <w:szCs w:val="20"/>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OF THE AMENDMENT AND RESTATMENT OF THE EMPLOYEE STOCK</w:t>
            </w:r>
          </w:p>
        </w:tc>
        <w:tc>
          <w:tcPr>
            <w:tcW w:w="0" w:type="dxa"/>
            <w:vAlign w:val="bottom"/>
          </w:tcPr>
          <w:p>
            <w:pPr>
              <w:spacing w:after="0"/>
              <w:rPr>
                <w:sz w:val="1"/>
                <w:szCs w:val="1"/>
                <w:color w:val="auto"/>
              </w:rPr>
            </w:pPr>
          </w:p>
        </w:tc>
      </w:tr>
      <w:tr>
        <w:trPr>
          <w:trHeight w:val="275"/>
        </w:trPr>
        <w:tc>
          <w:tcPr>
            <w:tcW w:w="1000" w:type="dxa"/>
            <w:vAlign w:val="bottom"/>
            <w:shd w:val="clear" w:color="auto" w:fill="0C3D25"/>
          </w:tcPr>
          <w:p>
            <w:pPr>
              <w:spacing w:after="0"/>
              <w:rPr>
                <w:sz w:val="23"/>
                <w:szCs w:val="23"/>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PURCHASE PLAN.</w:t>
            </w:r>
          </w:p>
        </w:tc>
        <w:tc>
          <w:tcPr>
            <w:tcW w:w="0" w:type="dxa"/>
            <w:vAlign w:val="bottom"/>
          </w:tcPr>
          <w:p>
            <w:pPr>
              <w:spacing w:after="0"/>
              <w:rPr>
                <w:sz w:val="1"/>
                <w:szCs w:val="1"/>
                <w:color w:val="auto"/>
              </w:rPr>
            </w:pPr>
          </w:p>
        </w:tc>
      </w:tr>
      <w:tr>
        <w:trPr>
          <w:trHeight w:val="41"/>
        </w:trPr>
        <w:tc>
          <w:tcPr>
            <w:tcW w:w="1000" w:type="dxa"/>
            <w:vAlign w:val="bottom"/>
            <w:tcBorders>
              <w:bottom w:val="single" w:sz="8" w:color="0C3D25"/>
            </w:tcBorders>
            <w:shd w:val="clear" w:color="auto" w:fill="0C3D25"/>
          </w:tcPr>
          <w:p>
            <w:pPr>
              <w:spacing w:after="0"/>
              <w:rPr>
                <w:sz w:val="3"/>
                <w:szCs w:val="3"/>
                <w:color w:val="auto"/>
              </w:rPr>
            </w:pPr>
          </w:p>
        </w:tc>
        <w:tc>
          <w:tcPr>
            <w:tcW w:w="8340" w:type="dxa"/>
            <w:vAlign w:val="bottom"/>
            <w:tcBorders>
              <w:bottom w:val="single" w:sz="8" w:color="0C3D25"/>
              <w:right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-246380</wp:posOffset>
            </wp:positionV>
            <wp:extent cx="193040" cy="1873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74">
                      <a:extLst>
                        <a:ext uri="{28A0092B-C50C-407E-A947-70E740481C1C}"/>
                      </a:extLst>
                    </a:blip>
                    <a:srcRect/>
                    <a:stretch>
                      <a:fillRect/>
                    </a:stretch>
                  </pic:blipFill>
                  <pic:spPr bwMode="auto">
                    <a:xfrm>
                      <a:off x="0" y="0"/>
                      <a:ext cx="193040" cy="1873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70</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7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7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76" w:name="page77"/>
    <w:bookmarkEnd w:id="76"/>
    <w:p>
      <w:pPr>
        <w:ind w:left="2"/>
        <w:spacing w:after="0"/>
        <w:rPr>
          <w:sz w:val="20"/>
          <w:szCs w:val="20"/>
          <w:color w:val="auto"/>
        </w:rPr>
      </w:pPr>
      <w:r>
        <w:rPr>
          <w:rFonts w:ascii="Arial" w:cs="Arial" w:eastAsia="Arial" w:hAnsi="Arial"/>
          <w:sz w:val="40"/>
          <w:szCs w:val="40"/>
          <w:b w:val="1"/>
          <w:bCs w:val="1"/>
          <w:color w:val="0C3D25"/>
        </w:rPr>
        <w:t>APPENDIX A</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24"/>
          <w:szCs w:val="24"/>
          <w:b w:val="1"/>
          <w:bCs w:val="1"/>
          <w:color w:val="auto"/>
        </w:rPr>
        <w:t>W</w:t>
      </w:r>
      <w:r>
        <w:rPr>
          <w:rFonts w:ascii="Arial" w:cs="Arial" w:eastAsia="Arial" w:hAnsi="Arial"/>
          <w:sz w:val="15"/>
          <w:szCs w:val="15"/>
          <w:b w:val="1"/>
          <w:bCs w:val="1"/>
          <w:color w:val="auto"/>
        </w:rPr>
        <w:t>ASTE</w:t>
      </w:r>
      <w:r>
        <w:rPr>
          <w:rFonts w:ascii="Arial" w:cs="Arial" w:eastAsia="Arial" w:hAnsi="Arial"/>
          <w:sz w:val="24"/>
          <w:szCs w:val="24"/>
          <w:b w:val="1"/>
          <w:bCs w:val="1"/>
          <w:color w:val="auto"/>
        </w:rPr>
        <w:t xml:space="preserve"> M</w:t>
      </w:r>
      <w:r>
        <w:rPr>
          <w:rFonts w:ascii="Arial" w:cs="Arial" w:eastAsia="Arial" w:hAnsi="Arial"/>
          <w:sz w:val="15"/>
          <w:szCs w:val="15"/>
          <w:b w:val="1"/>
          <w:bCs w:val="1"/>
          <w:color w:val="auto"/>
        </w:rPr>
        <w:t>ANAGEMENT</w:t>
      </w:r>
      <w:r>
        <w:rPr>
          <w:rFonts w:ascii="Arial" w:cs="Arial" w:eastAsia="Arial" w:hAnsi="Arial"/>
          <w:sz w:val="24"/>
          <w:szCs w:val="24"/>
          <w:b w:val="1"/>
          <w:bCs w:val="1"/>
          <w:color w:val="auto"/>
        </w:rPr>
        <w:t>, I</w:t>
      </w:r>
      <w:r>
        <w:rPr>
          <w:rFonts w:ascii="Arial" w:cs="Arial" w:eastAsia="Arial" w:hAnsi="Arial"/>
          <w:sz w:val="15"/>
          <w:szCs w:val="15"/>
          <w:b w:val="1"/>
          <w:bCs w:val="1"/>
          <w:color w:val="auto"/>
        </w:rPr>
        <w:t>NC</w:t>
      </w:r>
      <w:r>
        <w:rPr>
          <w:rFonts w:ascii="Arial" w:cs="Arial" w:eastAsia="Arial" w:hAnsi="Arial"/>
          <w:sz w:val="24"/>
          <w:szCs w:val="24"/>
          <w:b w:val="1"/>
          <w:bCs w:val="1"/>
          <w:color w:val="auto"/>
        </w:rPr>
        <w:t>.</w:t>
      </w:r>
    </w:p>
    <w:p>
      <w:pPr>
        <w:jc w:val="center"/>
        <w:ind w:right="-1"/>
        <w:spacing w:after="0" w:line="206" w:lineRule="auto"/>
        <w:rPr>
          <w:sz w:val="20"/>
          <w:szCs w:val="20"/>
          <w:color w:val="auto"/>
        </w:rPr>
      </w:pPr>
      <w:r>
        <w:rPr>
          <w:rFonts w:ascii="Arial" w:cs="Arial" w:eastAsia="Arial" w:hAnsi="Arial"/>
          <w:sz w:val="24"/>
          <w:szCs w:val="24"/>
          <w:b w:val="1"/>
          <w:bCs w:val="1"/>
          <w:color w:val="auto"/>
        </w:rPr>
        <w:t>E</w:t>
      </w:r>
      <w:r>
        <w:rPr>
          <w:rFonts w:ascii="Arial" w:cs="Arial" w:eastAsia="Arial" w:hAnsi="Arial"/>
          <w:sz w:val="15"/>
          <w:szCs w:val="15"/>
          <w:b w:val="1"/>
          <w:bCs w:val="1"/>
          <w:color w:val="auto"/>
        </w:rPr>
        <w:t>MPLOYEE</w:t>
      </w:r>
      <w:r>
        <w:rPr>
          <w:rFonts w:ascii="Arial" w:cs="Arial" w:eastAsia="Arial" w:hAnsi="Arial"/>
          <w:sz w:val="24"/>
          <w:szCs w:val="24"/>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24"/>
          <w:szCs w:val="24"/>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24"/>
          <w:szCs w:val="24"/>
          <w:b w:val="1"/>
          <w:bCs w:val="1"/>
          <w:color w:val="auto"/>
        </w:rPr>
        <w:t xml:space="preserve"> P</w:t>
      </w:r>
      <w:r>
        <w:rPr>
          <w:rFonts w:ascii="Arial" w:cs="Arial" w:eastAsia="Arial" w:hAnsi="Arial"/>
          <w:sz w:val="15"/>
          <w:szCs w:val="15"/>
          <w:b w:val="1"/>
          <w:bCs w:val="1"/>
          <w:color w:val="auto"/>
        </w:rPr>
        <w:t>LAN</w:t>
      </w:r>
    </w:p>
    <w:p>
      <w:pPr>
        <w:spacing w:after="0" w:line="1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u w:val="single" w:color="auto"/>
          <w:color w:val="auto"/>
        </w:rPr>
        <w:t>(As Amended and Restated Effective [May 12], 2026)</w:t>
      </w:r>
    </w:p>
    <w:p>
      <w:pPr>
        <w:spacing w:after="0" w:line="127"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The Waste Management, Inc. Employee Stock Purchase Plan (the “Plan”) has been established for the benefit of its eligible employees, and is hereby amended and restated, effective as of the date upon which shareholder approval is obtained pursuant to Section 17. The terms of the amended and restated Plan are set forth below.</w:t>
      </w:r>
    </w:p>
    <w:p>
      <w:pPr>
        <w:spacing w:after="0" w:line="122" w:lineRule="exact"/>
        <w:rPr>
          <w:sz w:val="20"/>
          <w:szCs w:val="20"/>
          <w:color w:val="auto"/>
        </w:rPr>
      </w:pPr>
    </w:p>
    <w:p>
      <w:pPr>
        <w:ind w:left="402" w:hanging="402"/>
        <w:spacing w:after="0"/>
        <w:tabs>
          <w:tab w:leader="none" w:pos="402" w:val="left"/>
        </w:tabs>
        <w:numPr>
          <w:ilvl w:val="0"/>
          <w:numId w:val="49"/>
        </w:numPr>
        <w:rPr>
          <w:rFonts w:ascii="Arial" w:cs="Arial" w:eastAsia="Arial" w:hAnsi="Arial"/>
          <w:sz w:val="20"/>
          <w:szCs w:val="20"/>
          <w:color w:val="auto"/>
        </w:rPr>
      </w:pPr>
      <w:r>
        <w:rPr>
          <w:rFonts w:ascii="Arial" w:cs="Arial" w:eastAsia="Arial" w:hAnsi="Arial"/>
          <w:sz w:val="20"/>
          <w:szCs w:val="20"/>
          <w:i w:val="1"/>
          <w:iCs w:val="1"/>
          <w:u w:val="single" w:color="auto"/>
          <w:color w:val="auto"/>
        </w:rPr>
        <w:t>Definitions</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ind w:left="402"/>
        <w:spacing w:after="0"/>
        <w:rPr>
          <w:rFonts w:ascii="Arial" w:cs="Arial" w:eastAsia="Arial" w:hAnsi="Arial"/>
          <w:sz w:val="20"/>
          <w:szCs w:val="20"/>
          <w:color w:val="auto"/>
        </w:rPr>
      </w:pPr>
      <w:r>
        <w:rPr>
          <w:rFonts w:ascii="Arial" w:cs="Arial" w:eastAsia="Arial" w:hAnsi="Arial"/>
          <w:sz w:val="20"/>
          <w:szCs w:val="20"/>
          <w:color w:val="auto"/>
        </w:rPr>
        <w:t>As used in the Plan the following terms shall have the meanings set forth below:</w:t>
      </w:r>
    </w:p>
    <w:p>
      <w:pPr>
        <w:spacing w:after="0" w:line="125" w:lineRule="exact"/>
        <w:rPr>
          <w:rFonts w:ascii="Arial" w:cs="Arial" w:eastAsia="Arial" w:hAnsi="Arial"/>
          <w:sz w:val="20"/>
          <w:szCs w:val="20"/>
          <w:color w:val="auto"/>
        </w:rPr>
      </w:pPr>
    </w:p>
    <w:p>
      <w:pPr>
        <w:ind w:left="802" w:hanging="403"/>
        <w:spacing w:after="0"/>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125" w:lineRule="exact"/>
        <w:rPr>
          <w:rFonts w:ascii="Arial" w:cs="Arial" w:eastAsia="Arial" w:hAnsi="Arial"/>
          <w:sz w:val="20"/>
          <w:szCs w:val="20"/>
          <w:color w:val="auto"/>
        </w:rPr>
      </w:pPr>
    </w:p>
    <w:p>
      <w:pPr>
        <w:ind w:left="802" w:hanging="403"/>
        <w:spacing w:after="0"/>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and the regulations issued thereunder.</w:t>
      </w:r>
    </w:p>
    <w:p>
      <w:pPr>
        <w:spacing w:after="0" w:line="125" w:lineRule="exact"/>
        <w:rPr>
          <w:rFonts w:ascii="Arial" w:cs="Arial" w:eastAsia="Arial" w:hAnsi="Arial"/>
          <w:sz w:val="20"/>
          <w:szCs w:val="20"/>
          <w:color w:val="auto"/>
        </w:rPr>
      </w:pPr>
    </w:p>
    <w:p>
      <w:pPr>
        <w:jc w:val="both"/>
        <w:ind w:left="802" w:hanging="403"/>
        <w:spacing w:after="0" w:line="245" w:lineRule="auto"/>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“Committee” means the Administrative Committee of the Waste Management Employee Benefit Plans appointed by the Board to administer the Plan as described in Section 4 below, or such other committee appointed by the Board.</w:t>
      </w:r>
    </w:p>
    <w:p>
      <w:pPr>
        <w:spacing w:after="0" w:line="121" w:lineRule="exact"/>
        <w:rPr>
          <w:rFonts w:ascii="Arial" w:cs="Arial" w:eastAsia="Arial" w:hAnsi="Arial"/>
          <w:sz w:val="20"/>
          <w:szCs w:val="20"/>
          <w:color w:val="auto"/>
        </w:rPr>
      </w:pPr>
    </w:p>
    <w:p>
      <w:pPr>
        <w:ind w:left="802" w:hanging="403"/>
        <w:spacing w:after="0"/>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“Common Stock” means the common stock, $0.01 par value, of the Company.</w:t>
      </w:r>
    </w:p>
    <w:p>
      <w:pPr>
        <w:spacing w:after="0" w:line="125" w:lineRule="exact"/>
        <w:rPr>
          <w:rFonts w:ascii="Arial" w:cs="Arial" w:eastAsia="Arial" w:hAnsi="Arial"/>
          <w:sz w:val="20"/>
          <w:szCs w:val="20"/>
          <w:color w:val="auto"/>
        </w:rPr>
      </w:pPr>
    </w:p>
    <w:p>
      <w:pPr>
        <w:ind w:left="802" w:hanging="403"/>
        <w:spacing w:after="0" w:line="245" w:lineRule="auto"/>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“Company” means Waste Management, Inc., a Delaware corporation, or any successor corporation by merger, reorganization, consolidation or otherwise.</w:t>
      </w:r>
    </w:p>
    <w:p>
      <w:pPr>
        <w:spacing w:after="0" w:line="121" w:lineRule="exact"/>
        <w:rPr>
          <w:rFonts w:ascii="Arial" w:cs="Arial" w:eastAsia="Arial" w:hAnsi="Arial"/>
          <w:sz w:val="20"/>
          <w:szCs w:val="20"/>
          <w:color w:val="auto"/>
        </w:rPr>
      </w:pPr>
    </w:p>
    <w:p>
      <w:pPr>
        <w:jc w:val="both"/>
        <w:ind w:left="802" w:hanging="403"/>
        <w:spacing w:after="0" w:line="245" w:lineRule="auto"/>
        <w:tabs>
          <w:tab w:leader="none" w:pos="803" w:val="left"/>
        </w:tabs>
        <w:numPr>
          <w:ilvl w:val="1"/>
          <w:numId w:val="49"/>
        </w:numPr>
        <w:rPr>
          <w:rFonts w:ascii="Arial" w:cs="Arial" w:eastAsia="Arial" w:hAnsi="Arial"/>
          <w:sz w:val="20"/>
          <w:szCs w:val="20"/>
          <w:color w:val="auto"/>
        </w:rPr>
      </w:pPr>
      <w:r>
        <w:rPr>
          <w:rFonts w:ascii="Arial" w:cs="Arial" w:eastAsia="Arial" w:hAnsi="Arial"/>
          <w:sz w:val="20"/>
          <w:szCs w:val="20"/>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23" w:lineRule="exact"/>
        <w:rPr>
          <w:rFonts w:ascii="Arial" w:cs="Arial" w:eastAsia="Arial" w:hAnsi="Arial"/>
          <w:sz w:val="20"/>
          <w:szCs w:val="20"/>
          <w:color w:val="auto"/>
        </w:rPr>
      </w:pPr>
    </w:p>
    <w:p>
      <w:pPr>
        <w:jc w:val="both"/>
        <w:ind w:left="802" w:hanging="403"/>
        <w:spacing w:after="0" w:line="245" w:lineRule="auto"/>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24" w:lineRule="exact"/>
        <w:rPr>
          <w:rFonts w:ascii="Arial" w:cs="Arial" w:eastAsia="Arial" w:hAnsi="Arial"/>
          <w:sz w:val="20"/>
          <w:szCs w:val="20"/>
          <w:color w:val="auto"/>
        </w:rPr>
      </w:pPr>
    </w:p>
    <w:p>
      <w:pPr>
        <w:jc w:val="both"/>
        <w:ind w:left="802" w:hanging="403"/>
        <w:spacing w:after="0" w:line="247" w:lineRule="auto"/>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24" w:lineRule="exact"/>
        <w:rPr>
          <w:rFonts w:ascii="Arial" w:cs="Arial" w:eastAsia="Arial" w:hAnsi="Arial"/>
          <w:sz w:val="20"/>
          <w:szCs w:val="20"/>
          <w:color w:val="auto"/>
        </w:rPr>
      </w:pPr>
    </w:p>
    <w:p>
      <w:pPr>
        <w:ind w:left="802" w:hanging="403"/>
        <w:spacing w:after="0"/>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“Enrollment Date” means the first business day of each Offering Period.</w:t>
      </w:r>
    </w:p>
    <w:p>
      <w:pPr>
        <w:spacing w:after="0" w:line="127" w:lineRule="exact"/>
        <w:rPr>
          <w:rFonts w:ascii="Arial" w:cs="Arial" w:eastAsia="Arial" w:hAnsi="Arial"/>
          <w:sz w:val="20"/>
          <w:szCs w:val="20"/>
          <w:color w:val="auto"/>
        </w:rPr>
      </w:pPr>
    </w:p>
    <w:p>
      <w:pPr>
        <w:ind w:left="802" w:hanging="403"/>
        <w:spacing w:after="0"/>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“Exercise Date” means the last business day of each Offering Period.</w:t>
      </w:r>
    </w:p>
    <w:p>
      <w:pPr>
        <w:spacing w:after="0" w:line="127" w:lineRule="exact"/>
        <w:rPr>
          <w:rFonts w:ascii="Arial" w:cs="Arial" w:eastAsia="Arial" w:hAnsi="Arial"/>
          <w:sz w:val="20"/>
          <w:szCs w:val="20"/>
          <w:color w:val="auto"/>
        </w:rPr>
      </w:pPr>
    </w:p>
    <w:p>
      <w:pPr>
        <w:jc w:val="both"/>
        <w:ind w:left="802" w:hanging="403"/>
        <w:spacing w:after="0" w:line="247" w:lineRule="auto"/>
        <w:tabs>
          <w:tab w:leader="none" w:pos="80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“Exercise Price” means the price per share of Common Stock offered in a given Offering Period, which shall be which shall be 85% of the Fair Market Value of a share of the Common Stock on the Exercise Date of such Offering Period.</w:t>
      </w:r>
    </w:p>
    <w:p>
      <w:pPr>
        <w:spacing w:after="0" w:line="122" w:lineRule="exact"/>
        <w:rPr>
          <w:rFonts w:ascii="Arial" w:cs="Arial" w:eastAsia="Arial" w:hAnsi="Arial"/>
          <w:sz w:val="20"/>
          <w:szCs w:val="20"/>
          <w:color w:val="auto"/>
        </w:rPr>
      </w:pPr>
    </w:p>
    <w:p>
      <w:pPr>
        <w:jc w:val="both"/>
        <w:ind w:left="802" w:hanging="403"/>
        <w:spacing w:after="0" w:line="263" w:lineRule="auto"/>
        <w:tabs>
          <w:tab w:leader="none" w:pos="802"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Wall Street Journal</w:t>
      </w:r>
      <w:r>
        <w:rPr>
          <w:rFonts w:ascii="Arial" w:cs="Arial" w:eastAsia="Arial" w:hAnsi="Arial"/>
          <w:sz w:val="19"/>
          <w:szCs w:val="19"/>
          <w:color w:val="auto"/>
        </w:rPr>
        <w:t>. In the event that such a closing price is not available for an Enrollment Date or an Exercise</w:t>
      </w:r>
      <w:r>
        <w:rPr>
          <w:rFonts w:ascii="Arial" w:cs="Arial" w:eastAsia="Arial" w:hAnsi="Arial"/>
          <w:sz w:val="19"/>
          <w:szCs w:val="19"/>
          <w:i w:val="1"/>
          <w:iCs w:val="1"/>
          <w:color w:val="auto"/>
        </w:rPr>
        <w:t xml:space="preserve"> </w:t>
      </w:r>
      <w:r>
        <w:rPr>
          <w:rFonts w:ascii="Arial" w:cs="Arial" w:eastAsia="Arial" w:hAnsi="Arial"/>
          <w:sz w:val="19"/>
          <w:szCs w:val="19"/>
          <w:color w:val="auto"/>
        </w:rPr>
        <w:t>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00" w:lineRule="exact"/>
        <w:rPr>
          <w:sz w:val="20"/>
          <w:szCs w:val="20"/>
          <w:color w:val="auto"/>
        </w:rPr>
      </w:pPr>
    </w:p>
    <w:p>
      <w:pPr>
        <w:spacing w:after="0" w:line="209"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-207010</wp:posOffset>
            </wp:positionV>
            <wp:extent cx="538480" cy="161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909" w:right="920" w:bottom="315" w:gutter="0" w:footer="0" w:header="0"/>
        </w:sectPr>
      </w:pPr>
    </w:p>
    <w:bookmarkStart w:id="77" w:name="page78"/>
    <w:bookmarkEnd w:id="77"/>
    <w:p>
      <w:pPr>
        <w:jc w:val="both"/>
        <w:ind w:left="802" w:hanging="403"/>
        <w:spacing w:after="0" w:line="249" w:lineRule="auto"/>
        <w:tabs>
          <w:tab w:leader="none" w:pos="802" w:val="left"/>
        </w:tabs>
        <w:numPr>
          <w:ilvl w:val="0"/>
          <w:numId w:val="50"/>
        </w:numPr>
        <w:rPr>
          <w:rFonts w:ascii="Arial" w:cs="Arial" w:eastAsia="Arial" w:hAnsi="Arial"/>
          <w:sz w:val="20"/>
          <w:szCs w:val="20"/>
          <w:color w:val="auto"/>
        </w:rPr>
      </w:pPr>
      <w:r>
        <w:rPr>
          <w:rFonts w:ascii="Arial" w:cs="Arial" w:eastAsia="Arial" w:hAnsi="Arial"/>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123" w:lineRule="exact"/>
        <w:rPr>
          <w:rFonts w:ascii="Arial" w:cs="Arial" w:eastAsia="Arial" w:hAnsi="Arial"/>
          <w:sz w:val="20"/>
          <w:szCs w:val="20"/>
          <w:color w:val="auto"/>
        </w:rPr>
      </w:pPr>
    </w:p>
    <w:p>
      <w:pPr>
        <w:jc w:val="both"/>
        <w:ind w:left="802" w:hanging="403"/>
        <w:spacing w:after="0" w:line="284" w:lineRule="auto"/>
        <w:tabs>
          <w:tab w:leader="none" w:pos="8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92" w:lineRule="exact"/>
        <w:rPr>
          <w:rFonts w:ascii="Arial" w:cs="Arial" w:eastAsia="Arial" w:hAnsi="Arial"/>
          <w:sz w:val="18"/>
          <w:szCs w:val="18"/>
          <w:color w:val="auto"/>
        </w:rPr>
      </w:pPr>
    </w:p>
    <w:p>
      <w:pPr>
        <w:ind w:left="802" w:hanging="403"/>
        <w:spacing w:after="0" w:line="249" w:lineRule="auto"/>
        <w:tabs>
          <w:tab w:leader="none" w:pos="802" w:val="left"/>
        </w:tabs>
        <w:numPr>
          <w:ilvl w:val="0"/>
          <w:numId w:val="50"/>
        </w:numPr>
        <w:rPr>
          <w:rFonts w:ascii="Arial" w:cs="Arial" w:eastAsia="Arial" w:hAnsi="Arial"/>
          <w:sz w:val="20"/>
          <w:szCs w:val="20"/>
          <w:color w:val="auto"/>
        </w:rPr>
      </w:pPr>
      <w:r>
        <w:rPr>
          <w:rFonts w:ascii="Arial" w:cs="Arial" w:eastAsia="Arial" w:hAnsi="Arial"/>
          <w:sz w:val="20"/>
          <w:szCs w:val="20"/>
          <w:color w:val="auto"/>
        </w:rPr>
        <w:t>“Participant” means an Eligible Employee who has elected to participate in the Plan by filing an enrollment agreement with the Company as provided below in Section 6.</w:t>
      </w:r>
    </w:p>
    <w:p>
      <w:pPr>
        <w:spacing w:after="0" w:line="121" w:lineRule="exact"/>
        <w:rPr>
          <w:rFonts w:ascii="Arial" w:cs="Arial" w:eastAsia="Arial" w:hAnsi="Arial"/>
          <w:sz w:val="20"/>
          <w:szCs w:val="20"/>
          <w:color w:val="auto"/>
        </w:rPr>
      </w:pPr>
    </w:p>
    <w:p>
      <w:pPr>
        <w:ind w:left="802" w:hanging="403"/>
        <w:spacing w:after="0" w:line="249" w:lineRule="auto"/>
        <w:tabs>
          <w:tab w:leader="none" w:pos="802" w:val="left"/>
        </w:tabs>
        <w:numPr>
          <w:ilvl w:val="0"/>
          <w:numId w:val="50"/>
        </w:numPr>
        <w:rPr>
          <w:rFonts w:ascii="Arial" w:cs="Arial" w:eastAsia="Arial" w:hAnsi="Arial"/>
          <w:sz w:val="20"/>
          <w:szCs w:val="20"/>
          <w:color w:val="auto"/>
        </w:rPr>
      </w:pPr>
      <w:r>
        <w:rPr>
          <w:rFonts w:ascii="Arial" w:cs="Arial" w:eastAsia="Arial" w:hAnsi="Arial"/>
          <w:sz w:val="20"/>
          <w:szCs w:val="20"/>
          <w:color w:val="auto"/>
        </w:rPr>
        <w:t>“Participating Subsidiary” means any Subsidiary not excluded from participation in the Plan by the Committee, in its sole discretion.</w:t>
      </w:r>
    </w:p>
    <w:p>
      <w:pPr>
        <w:spacing w:after="0" w:line="121" w:lineRule="exact"/>
        <w:rPr>
          <w:rFonts w:ascii="Arial" w:cs="Arial" w:eastAsia="Arial" w:hAnsi="Arial"/>
          <w:sz w:val="20"/>
          <w:szCs w:val="20"/>
          <w:color w:val="auto"/>
        </w:rPr>
      </w:pPr>
    </w:p>
    <w:p>
      <w:pPr>
        <w:jc w:val="both"/>
        <w:ind w:left="802" w:hanging="403"/>
        <w:spacing w:after="0" w:line="290" w:lineRule="auto"/>
        <w:tabs>
          <w:tab w:leader="none" w:pos="8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88" w:lineRule="exact"/>
        <w:rPr>
          <w:sz w:val="20"/>
          <w:szCs w:val="20"/>
          <w:color w:val="auto"/>
        </w:rPr>
      </w:pPr>
    </w:p>
    <w:p>
      <w:pPr>
        <w:ind w:left="402" w:hanging="402"/>
        <w:spacing w:after="0"/>
        <w:tabs>
          <w:tab w:leader="none" w:pos="402" w:val="left"/>
        </w:tabs>
        <w:numPr>
          <w:ilvl w:val="0"/>
          <w:numId w:val="51"/>
        </w:numPr>
        <w:rPr>
          <w:rFonts w:ascii="Arial" w:cs="Arial" w:eastAsia="Arial" w:hAnsi="Arial"/>
          <w:sz w:val="20"/>
          <w:szCs w:val="20"/>
          <w:color w:val="auto"/>
        </w:rPr>
      </w:pPr>
      <w:r>
        <w:rPr>
          <w:rFonts w:ascii="Arial" w:cs="Arial" w:eastAsia="Arial" w:hAnsi="Arial"/>
          <w:sz w:val="20"/>
          <w:szCs w:val="20"/>
          <w:i w:val="1"/>
          <w:iCs w:val="1"/>
          <w:u w:val="single" w:color="auto"/>
          <w:color w:val="auto"/>
        </w:rPr>
        <w:t>Purpose of the Plan</w:t>
      </w:r>
      <w:r>
        <w:rPr>
          <w:rFonts w:ascii="Arial" w:cs="Arial" w:eastAsia="Arial" w:hAnsi="Arial"/>
          <w:sz w:val="20"/>
          <w:szCs w:val="20"/>
          <w:color w:val="auto"/>
        </w:rPr>
        <w:t>.</w:t>
      </w:r>
    </w:p>
    <w:p>
      <w:pPr>
        <w:spacing w:after="0" w:line="130"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24" w:lineRule="exact"/>
        <w:rPr>
          <w:sz w:val="20"/>
          <w:szCs w:val="20"/>
          <w:color w:val="auto"/>
        </w:rPr>
      </w:pPr>
    </w:p>
    <w:p>
      <w:pPr>
        <w:ind w:left="402" w:hanging="402"/>
        <w:spacing w:after="0"/>
        <w:tabs>
          <w:tab w:leader="none" w:pos="402" w:val="left"/>
        </w:tabs>
        <w:numPr>
          <w:ilvl w:val="0"/>
          <w:numId w:val="52"/>
        </w:numPr>
        <w:rPr>
          <w:rFonts w:ascii="Arial" w:cs="Arial" w:eastAsia="Arial" w:hAnsi="Arial"/>
          <w:sz w:val="20"/>
          <w:szCs w:val="20"/>
          <w:color w:val="auto"/>
        </w:rPr>
      </w:pPr>
      <w:r>
        <w:rPr>
          <w:rFonts w:ascii="Arial" w:cs="Arial" w:eastAsia="Arial" w:hAnsi="Arial"/>
          <w:sz w:val="20"/>
          <w:szCs w:val="20"/>
          <w:i w:val="1"/>
          <w:iCs w:val="1"/>
          <w:u w:val="single" w:color="auto"/>
          <w:color w:val="auto"/>
        </w:rPr>
        <w:t>Shares Reserved for the Plan</w:t>
      </w:r>
      <w:r>
        <w:rPr>
          <w:rFonts w:ascii="Arial" w:cs="Arial" w:eastAsia="Arial" w:hAnsi="Arial"/>
          <w:sz w:val="20"/>
          <w:szCs w:val="20"/>
          <w:color w:val="auto"/>
        </w:rPr>
        <w:t>.</w:t>
      </w:r>
    </w:p>
    <w:p>
      <w:pPr>
        <w:spacing w:after="0" w:line="130"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As of the effective date of this restatement, the Company shall reserve for issuance and purchase by Participants under the Plan an aggregate of 3,000,000 shares of Common Stock in addition to shares previously reserved under the Plan,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26" w:lineRule="exact"/>
        <w:rPr>
          <w:sz w:val="20"/>
          <w:szCs w:val="20"/>
          <w:color w:val="auto"/>
        </w:rPr>
      </w:pPr>
    </w:p>
    <w:p>
      <w:pPr>
        <w:ind w:left="402" w:hanging="402"/>
        <w:spacing w:after="0"/>
        <w:tabs>
          <w:tab w:leader="none" w:pos="402" w:val="left"/>
        </w:tabs>
        <w:numPr>
          <w:ilvl w:val="0"/>
          <w:numId w:val="53"/>
        </w:numPr>
        <w:rPr>
          <w:rFonts w:ascii="Arial" w:cs="Arial" w:eastAsia="Arial" w:hAnsi="Arial"/>
          <w:sz w:val="20"/>
          <w:szCs w:val="20"/>
          <w:color w:val="auto"/>
        </w:rPr>
      </w:pPr>
      <w:r>
        <w:rPr>
          <w:rFonts w:ascii="Arial" w:cs="Arial" w:eastAsia="Arial" w:hAnsi="Arial"/>
          <w:sz w:val="20"/>
          <w:szCs w:val="20"/>
          <w:i w:val="1"/>
          <w:iCs w:val="1"/>
          <w:u w:val="single" w:color="auto"/>
          <w:color w:val="auto"/>
        </w:rPr>
        <w:t>Administration of the Plan</w:t>
      </w:r>
      <w:r>
        <w:rPr>
          <w:rFonts w:ascii="Arial" w:cs="Arial" w:eastAsia="Arial" w:hAnsi="Arial"/>
          <w:sz w:val="20"/>
          <w:szCs w:val="20"/>
          <w:color w:val="auto"/>
        </w:rPr>
        <w:t>.</w:t>
      </w:r>
    </w:p>
    <w:p>
      <w:pPr>
        <w:spacing w:after="0" w:line="129" w:lineRule="exact"/>
        <w:rPr>
          <w:rFonts w:ascii="Arial" w:cs="Arial" w:eastAsia="Arial" w:hAnsi="Arial"/>
          <w:sz w:val="20"/>
          <w:szCs w:val="20"/>
          <w:color w:val="auto"/>
        </w:rPr>
      </w:pPr>
    </w:p>
    <w:p>
      <w:pPr>
        <w:jc w:val="both"/>
        <w:ind w:left="802" w:hanging="403"/>
        <w:spacing w:after="0" w:line="265" w:lineRule="auto"/>
        <w:tabs>
          <w:tab w:leader="none" w:pos="802"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Committee has been appointed by the Board to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07" w:lineRule="exact"/>
        <w:rPr>
          <w:rFonts w:ascii="Arial" w:cs="Arial" w:eastAsia="Arial" w:hAnsi="Arial"/>
          <w:sz w:val="19"/>
          <w:szCs w:val="19"/>
          <w:color w:val="auto"/>
        </w:rPr>
      </w:pPr>
    </w:p>
    <w:p>
      <w:pPr>
        <w:jc w:val="both"/>
        <w:ind w:left="802" w:hanging="403"/>
        <w:spacing w:after="0" w:line="249" w:lineRule="auto"/>
        <w:tabs>
          <w:tab w:leader="none" w:pos="802"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22" w:lineRule="exact"/>
        <w:rPr>
          <w:rFonts w:ascii="Arial" w:cs="Arial" w:eastAsia="Arial" w:hAnsi="Arial"/>
          <w:sz w:val="20"/>
          <w:szCs w:val="20"/>
          <w:color w:val="auto"/>
        </w:rPr>
      </w:pPr>
    </w:p>
    <w:p>
      <w:pPr>
        <w:ind w:left="402" w:hanging="402"/>
        <w:spacing w:after="0"/>
        <w:tabs>
          <w:tab w:leader="none" w:pos="402" w:val="left"/>
        </w:tabs>
        <w:numPr>
          <w:ilvl w:val="0"/>
          <w:numId w:val="53"/>
        </w:numPr>
        <w:rPr>
          <w:rFonts w:ascii="Arial" w:cs="Arial" w:eastAsia="Arial" w:hAnsi="Arial"/>
          <w:sz w:val="20"/>
          <w:szCs w:val="20"/>
          <w:color w:val="auto"/>
        </w:rPr>
      </w:pPr>
      <w:r>
        <w:rPr>
          <w:rFonts w:ascii="Arial" w:cs="Arial" w:eastAsia="Arial" w:hAnsi="Arial"/>
          <w:sz w:val="20"/>
          <w:szCs w:val="20"/>
          <w:i w:val="1"/>
          <w:iCs w:val="1"/>
          <w:u w:val="single" w:color="auto"/>
          <w:color w:val="auto"/>
        </w:rPr>
        <w:t>Eligibility to Participate in the Plan</w:t>
      </w:r>
      <w:r>
        <w:rPr>
          <w:rFonts w:ascii="Arial" w:cs="Arial" w:eastAsia="Arial" w:hAnsi="Arial"/>
          <w:sz w:val="20"/>
          <w:szCs w:val="20"/>
          <w:color w:val="auto"/>
        </w:rPr>
        <w:t>.</w:t>
      </w:r>
    </w:p>
    <w:p>
      <w:pPr>
        <w:spacing w:after="0" w:line="130"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ectPr>
          <w:pgSz w:w="11880" w:h="15480" w:orient="portrait"/>
          <w:cols w:equalWidth="0" w:num="1">
            <w:col w:w="10062"/>
          </w:cols>
          <w:pgMar w:left="898" w:top="975"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7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-87630</wp:posOffset>
            </wp:positionV>
            <wp:extent cx="4254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7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75" w:right="920" w:bottom="315" w:gutter="0" w:footer="0" w:header="0"/>
          <w:type w:val="continuous"/>
        </w:sectPr>
      </w:pPr>
    </w:p>
    <w:bookmarkStart w:id="78" w:name="page79"/>
    <w:bookmarkEnd w:id="78"/>
    <w:p>
      <w:pPr>
        <w:ind w:left="402" w:hanging="402"/>
        <w:spacing w:after="0"/>
        <w:tabs>
          <w:tab w:leader="none" w:pos="402" w:val="left"/>
        </w:tabs>
        <w:numPr>
          <w:ilvl w:val="0"/>
          <w:numId w:val="54"/>
        </w:numPr>
        <w:rPr>
          <w:rFonts w:ascii="Arial" w:cs="Arial" w:eastAsia="Arial" w:hAnsi="Arial"/>
          <w:sz w:val="20"/>
          <w:szCs w:val="20"/>
          <w:color w:val="auto"/>
        </w:rPr>
      </w:pPr>
      <w:r>
        <w:rPr>
          <w:rFonts w:ascii="Arial" w:cs="Arial" w:eastAsia="Arial" w:hAnsi="Arial"/>
          <w:sz w:val="20"/>
          <w:szCs w:val="20"/>
          <w:i w:val="1"/>
          <w:iCs w:val="1"/>
          <w:u w:val="single" w:color="auto"/>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Election to Participate in the Plan</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jc w:val="both"/>
        <w:ind w:left="802" w:hanging="403"/>
        <w:spacing w:after="0" w:line="245"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22" w:lineRule="exact"/>
        <w:rPr>
          <w:rFonts w:ascii="Arial" w:cs="Arial" w:eastAsia="Arial" w:hAnsi="Arial"/>
          <w:sz w:val="20"/>
          <w:szCs w:val="20"/>
          <w:color w:val="auto"/>
        </w:rPr>
      </w:pPr>
    </w:p>
    <w:p>
      <w:pPr>
        <w:jc w:val="both"/>
        <w:ind w:left="802" w:hanging="403"/>
        <w:spacing w:after="0" w:line="261" w:lineRule="auto"/>
        <w:tabs>
          <w:tab w:leader="none" w:pos="802" w:val="left"/>
        </w:tabs>
        <w:numPr>
          <w:ilvl w:val="1"/>
          <w:numId w:val="54"/>
        </w:numPr>
        <w:rPr>
          <w:rFonts w:ascii="Arial" w:cs="Arial" w:eastAsia="Arial" w:hAnsi="Arial"/>
          <w:sz w:val="19"/>
          <w:szCs w:val="19"/>
          <w:color w:val="auto"/>
        </w:rPr>
      </w:pPr>
      <w:r>
        <w:rPr>
          <w:rFonts w:ascii="Arial" w:cs="Arial" w:eastAsia="Arial" w:hAnsi="Arial"/>
          <w:sz w:val="19"/>
          <w:szCs w:val="19"/>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106" w:lineRule="exact"/>
        <w:rPr>
          <w:rFonts w:ascii="Arial" w:cs="Arial" w:eastAsia="Arial" w:hAnsi="Arial"/>
          <w:sz w:val="19"/>
          <w:szCs w:val="19"/>
          <w:color w:val="auto"/>
        </w:rPr>
      </w:pPr>
    </w:p>
    <w:p>
      <w:pPr>
        <w:ind w:left="402" w:hanging="402"/>
        <w:spacing w:after="0"/>
        <w:tabs>
          <w:tab w:leader="none" w:pos="402" w:val="left"/>
        </w:tabs>
        <w:numPr>
          <w:ilvl w:val="0"/>
          <w:numId w:val="54"/>
        </w:numPr>
        <w:rPr>
          <w:rFonts w:ascii="Arial" w:cs="Arial" w:eastAsia="Arial" w:hAnsi="Arial"/>
          <w:sz w:val="20"/>
          <w:szCs w:val="20"/>
          <w:color w:val="auto"/>
        </w:rPr>
      </w:pPr>
      <w:r>
        <w:rPr>
          <w:rFonts w:ascii="Arial" w:cs="Arial" w:eastAsia="Arial" w:hAnsi="Arial"/>
          <w:sz w:val="20"/>
          <w:szCs w:val="20"/>
          <w:i w:val="1"/>
          <w:iCs w:val="1"/>
          <w:u w:val="single" w:color="auto"/>
          <w:color w:val="auto"/>
        </w:rPr>
        <w:t>Payroll Deductions</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jc w:val="both"/>
        <w:ind w:left="802" w:hanging="403"/>
        <w:spacing w:after="0" w:line="245"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124" w:lineRule="exact"/>
        <w:rPr>
          <w:rFonts w:ascii="Arial" w:cs="Arial" w:eastAsia="Arial" w:hAnsi="Arial"/>
          <w:sz w:val="20"/>
          <w:szCs w:val="20"/>
          <w:color w:val="auto"/>
        </w:rPr>
      </w:pPr>
    </w:p>
    <w:p>
      <w:pPr>
        <w:jc w:val="both"/>
        <w:ind w:left="802" w:hanging="403"/>
        <w:spacing w:after="0" w:line="246"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24" w:lineRule="exact"/>
        <w:rPr>
          <w:rFonts w:ascii="Arial" w:cs="Arial" w:eastAsia="Arial" w:hAnsi="Arial"/>
          <w:sz w:val="20"/>
          <w:szCs w:val="20"/>
          <w:color w:val="auto"/>
        </w:rPr>
      </w:pPr>
    </w:p>
    <w:p>
      <w:pPr>
        <w:ind w:left="802" w:hanging="403"/>
        <w:spacing w:after="0" w:line="247"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Except as provided in Section 10, a Participant may not change his contribution election during an Offering Period.</w:t>
      </w:r>
    </w:p>
    <w:p>
      <w:pPr>
        <w:spacing w:after="0" w:line="121" w:lineRule="exact"/>
        <w:rPr>
          <w:rFonts w:ascii="Arial" w:cs="Arial" w:eastAsia="Arial" w:hAnsi="Arial"/>
          <w:sz w:val="20"/>
          <w:szCs w:val="20"/>
          <w:color w:val="auto"/>
        </w:rPr>
      </w:pPr>
    </w:p>
    <w:p>
      <w:pPr>
        <w:jc w:val="both"/>
        <w:ind w:left="802" w:hanging="403"/>
        <w:spacing w:after="0" w:line="247"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121" w:lineRule="exact"/>
        <w:rPr>
          <w:rFonts w:ascii="Arial" w:cs="Arial" w:eastAsia="Arial" w:hAnsi="Arial"/>
          <w:sz w:val="20"/>
          <w:szCs w:val="20"/>
          <w:color w:val="auto"/>
        </w:rPr>
      </w:pPr>
    </w:p>
    <w:p>
      <w:pPr>
        <w:ind w:left="402" w:hanging="402"/>
        <w:spacing w:after="0"/>
        <w:tabs>
          <w:tab w:leader="none" w:pos="402" w:val="left"/>
        </w:tabs>
        <w:numPr>
          <w:ilvl w:val="0"/>
          <w:numId w:val="54"/>
        </w:numPr>
        <w:rPr>
          <w:rFonts w:ascii="Arial" w:cs="Arial" w:eastAsia="Arial" w:hAnsi="Arial"/>
          <w:sz w:val="20"/>
          <w:szCs w:val="20"/>
          <w:color w:val="auto"/>
        </w:rPr>
      </w:pPr>
      <w:r>
        <w:rPr>
          <w:rFonts w:ascii="Arial" w:cs="Arial" w:eastAsia="Arial" w:hAnsi="Arial"/>
          <w:sz w:val="20"/>
          <w:szCs w:val="20"/>
          <w:i w:val="1"/>
          <w:iCs w:val="1"/>
          <w:u w:val="single" w:color="auto"/>
          <w:color w:val="auto"/>
        </w:rPr>
        <w:t>Grant of Options</w:t>
      </w:r>
      <w:r>
        <w:rPr>
          <w:rFonts w:ascii="Arial" w:cs="Arial" w:eastAsia="Arial" w:hAnsi="Arial"/>
          <w:sz w:val="20"/>
          <w:szCs w:val="20"/>
          <w:color w:val="auto"/>
        </w:rPr>
        <w:t>.</w:t>
      </w:r>
    </w:p>
    <w:p>
      <w:pPr>
        <w:spacing w:after="0" w:line="127" w:lineRule="exact"/>
        <w:rPr>
          <w:rFonts w:ascii="Arial" w:cs="Arial" w:eastAsia="Arial" w:hAnsi="Arial"/>
          <w:sz w:val="20"/>
          <w:szCs w:val="20"/>
          <w:color w:val="auto"/>
        </w:rPr>
      </w:pPr>
    </w:p>
    <w:p>
      <w:pPr>
        <w:jc w:val="both"/>
        <w:ind w:left="802" w:hanging="403"/>
        <w:spacing w:after="0" w:line="247" w:lineRule="auto"/>
        <w:tabs>
          <w:tab w:leader="none" w:pos="8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On the Enrollment Date of each Offering Period, subject to the limitations set forth in Sections 3 and 8(b) hereof, each Eligible Employee shall be granted an option to purchase on the Exercise Date for such Offering Period a number of whole and, to the extent permitted by the Committee, fractional shares of the Company’s Common Stock determined by dividing such Eligible Employee’s payroll deductions accumulated during the Offering Period by the Exercise Price established for such Offering Period.</w:t>
      </w:r>
    </w:p>
    <w:p>
      <w:pPr>
        <w:spacing w:after="0" w:line="123" w:lineRule="exact"/>
        <w:rPr>
          <w:rFonts w:ascii="Arial" w:cs="Arial" w:eastAsia="Arial" w:hAnsi="Arial"/>
          <w:sz w:val="20"/>
          <w:szCs w:val="20"/>
          <w:color w:val="auto"/>
        </w:rPr>
      </w:pPr>
    </w:p>
    <w:p>
      <w:pPr>
        <w:jc w:val="both"/>
        <w:ind w:left="802" w:hanging="403"/>
        <w:spacing w:after="0" w:line="262" w:lineRule="auto"/>
        <w:tabs>
          <w:tab w:leader="none" w:pos="802"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11" w:lineRule="exact"/>
        <w:rPr>
          <w:rFonts w:ascii="Arial" w:cs="Arial" w:eastAsia="Arial" w:hAnsi="Arial"/>
          <w:sz w:val="19"/>
          <w:szCs w:val="19"/>
          <w:color w:val="auto"/>
        </w:rPr>
      </w:pPr>
    </w:p>
    <w:p>
      <w:pPr>
        <w:ind w:left="402" w:hanging="402"/>
        <w:spacing w:after="0"/>
        <w:tabs>
          <w:tab w:leader="none" w:pos="402" w:val="left"/>
        </w:tabs>
        <w:numPr>
          <w:ilvl w:val="0"/>
          <w:numId w:val="54"/>
        </w:numPr>
        <w:rPr>
          <w:rFonts w:ascii="Arial" w:cs="Arial" w:eastAsia="Arial" w:hAnsi="Arial"/>
          <w:sz w:val="20"/>
          <w:szCs w:val="20"/>
          <w:color w:val="auto"/>
        </w:rPr>
      </w:pPr>
      <w:r>
        <w:rPr>
          <w:rFonts w:ascii="Arial" w:cs="Arial" w:eastAsia="Arial" w:hAnsi="Arial"/>
          <w:sz w:val="20"/>
          <w:szCs w:val="20"/>
          <w:i w:val="1"/>
          <w:iCs w:val="1"/>
          <w:u w:val="single" w:color="auto"/>
          <w:color w:val="auto"/>
        </w:rPr>
        <w:t>Automatic Purchase</w:t>
      </w:r>
      <w:r>
        <w:rPr>
          <w:rFonts w:ascii="Arial" w:cs="Arial" w:eastAsia="Arial" w:hAnsi="Arial"/>
          <w:sz w:val="20"/>
          <w:szCs w:val="20"/>
          <w:color w:val="auto"/>
        </w:rPr>
        <w:t>.</w:t>
      </w:r>
    </w:p>
    <w:p>
      <w:pPr>
        <w:spacing w:after="0" w:line="126" w:lineRule="exact"/>
        <w:rPr>
          <w:sz w:val="20"/>
          <w:szCs w:val="20"/>
          <w:color w:val="auto"/>
        </w:rPr>
      </w:pPr>
    </w:p>
    <w:p>
      <w:pPr>
        <w:jc w:val="both"/>
        <w:ind w:left="2"/>
        <w:spacing w:after="0" w:line="288" w:lineRule="auto"/>
        <w:rPr>
          <w:sz w:val="20"/>
          <w:szCs w:val="20"/>
          <w:color w:val="auto"/>
        </w:rPr>
      </w:pPr>
      <w:r>
        <w:rPr>
          <w:rFonts w:ascii="Arial" w:cs="Arial" w:eastAsia="Arial" w:hAnsi="Arial"/>
          <w:sz w:val="18"/>
          <w:szCs w:val="18"/>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to the extent permitted by the Committee, fractional shares subject to the option will</w:t>
      </w:r>
    </w:p>
    <w:p>
      <w:pPr>
        <w:spacing w:after="0" w:line="387"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-207010</wp:posOffset>
            </wp:positionV>
            <wp:extent cx="538480" cy="161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80">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975" w:right="920" w:bottom="315" w:gutter="0" w:footer="0" w:header="0"/>
        </w:sectPr>
      </w:pPr>
    </w:p>
    <w:bookmarkStart w:id="79" w:name="page80"/>
    <w:bookmarkEnd w:id="79"/>
    <w:p>
      <w:pPr>
        <w:jc w:val="both"/>
        <w:ind w:left="2"/>
        <w:spacing w:after="0" w:line="245" w:lineRule="auto"/>
        <w:rPr>
          <w:sz w:val="20"/>
          <w:szCs w:val="20"/>
          <w:color w:val="auto"/>
        </w:rPr>
      </w:pPr>
      <w:r>
        <w:rPr>
          <w:rFonts w:ascii="Arial" w:cs="Arial" w:eastAsia="Arial" w:hAnsi="Arial"/>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be purchased for the Participant at the Exercise Price established for that Offering Period, as provided above in Section 8. Any accumulated payroll deductions in excess of the amount applied to purchase shares on the Exercise Date shall be refunded to the Participant as soon as administratively feasible after the Exercise Date, unless the Committee establishes otherwise.</w:t>
      </w:r>
    </w:p>
    <w:p>
      <w:pPr>
        <w:spacing w:after="0" w:line="123"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auto"/>
        </w:rPr>
        <w:t>If, on an Exercise Date, the aggregate number of shares that Participants are entitled to purchase exceeds the number of reserved shares remaining available for purchase under the Plan, the remaining shares shall be sold to Participants on a pro rata basis. Such oversubscription shall not result in the automatic termination of the Plan.</w:t>
      </w:r>
    </w:p>
    <w:p>
      <w:pPr>
        <w:spacing w:after="0" w:line="122" w:lineRule="exact"/>
        <w:rPr>
          <w:sz w:val="20"/>
          <w:szCs w:val="20"/>
          <w:color w:val="auto"/>
        </w:rPr>
      </w:pPr>
    </w:p>
    <w:p>
      <w:pPr>
        <w:ind w:left="402" w:hanging="402"/>
        <w:spacing w:after="0"/>
        <w:tabs>
          <w:tab w:leader="none" w:pos="402" w:val="left"/>
        </w:tabs>
        <w:numPr>
          <w:ilvl w:val="0"/>
          <w:numId w:val="55"/>
        </w:numPr>
        <w:rPr>
          <w:rFonts w:ascii="Arial" w:cs="Arial" w:eastAsia="Arial" w:hAnsi="Arial"/>
          <w:sz w:val="20"/>
          <w:szCs w:val="20"/>
          <w:color w:val="auto"/>
        </w:rPr>
      </w:pPr>
      <w:r>
        <w:rPr>
          <w:rFonts w:ascii="Arial" w:cs="Arial" w:eastAsia="Arial" w:hAnsi="Arial"/>
          <w:sz w:val="20"/>
          <w:szCs w:val="20"/>
          <w:i w:val="1"/>
          <w:iCs w:val="1"/>
          <w:u w:val="single" w:color="auto"/>
          <w:color w:val="auto"/>
        </w:rPr>
        <w:t>Withdrawal; Termination of Employment</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jc w:val="both"/>
        <w:ind w:left="802" w:hanging="403"/>
        <w:spacing w:after="0" w:line="260" w:lineRule="auto"/>
        <w:tabs>
          <w:tab w:leader="none" w:pos="802" w:val="left"/>
        </w:tabs>
        <w:numPr>
          <w:ilvl w:val="1"/>
          <w:numId w:val="55"/>
        </w:numPr>
        <w:rPr>
          <w:rFonts w:ascii="Arial" w:cs="Arial" w:eastAsia="Arial" w:hAnsi="Arial"/>
          <w:sz w:val="19"/>
          <w:szCs w:val="19"/>
          <w:color w:val="auto"/>
        </w:rPr>
      </w:pPr>
      <w:r>
        <w:rPr>
          <w:rFonts w:ascii="Arial" w:cs="Arial" w:eastAsia="Arial" w:hAnsi="Arial"/>
          <w:sz w:val="19"/>
          <w:szCs w:val="19"/>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08" w:lineRule="exact"/>
        <w:rPr>
          <w:rFonts w:ascii="Arial" w:cs="Arial" w:eastAsia="Arial" w:hAnsi="Arial"/>
          <w:sz w:val="19"/>
          <w:szCs w:val="19"/>
          <w:color w:val="auto"/>
        </w:rPr>
      </w:pPr>
    </w:p>
    <w:p>
      <w:pPr>
        <w:jc w:val="both"/>
        <w:ind w:left="802" w:hanging="403"/>
        <w:spacing w:after="0" w:line="245" w:lineRule="auto"/>
        <w:tabs>
          <w:tab w:leader="none" w:pos="802" w:val="left"/>
        </w:tabs>
        <w:numPr>
          <w:ilvl w:val="1"/>
          <w:numId w:val="55"/>
        </w:numPr>
        <w:rPr>
          <w:rFonts w:ascii="Arial" w:cs="Arial" w:eastAsia="Arial" w:hAnsi="Arial"/>
          <w:sz w:val="20"/>
          <w:szCs w:val="20"/>
          <w:color w:val="auto"/>
        </w:rPr>
      </w:pPr>
      <w:r>
        <w:rPr>
          <w:rFonts w:ascii="Arial" w:cs="Arial" w:eastAsia="Arial" w:hAnsi="Arial"/>
          <w:sz w:val="20"/>
          <w:szCs w:val="20"/>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22" w:lineRule="exact"/>
        <w:rPr>
          <w:rFonts w:ascii="Arial" w:cs="Arial" w:eastAsia="Arial" w:hAnsi="Arial"/>
          <w:sz w:val="20"/>
          <w:szCs w:val="20"/>
          <w:color w:val="auto"/>
        </w:rPr>
      </w:pPr>
    </w:p>
    <w:p>
      <w:pPr>
        <w:jc w:val="both"/>
        <w:ind w:left="802" w:hanging="403"/>
        <w:spacing w:after="0" w:line="246" w:lineRule="auto"/>
        <w:tabs>
          <w:tab w:leader="none" w:pos="802" w:val="left"/>
        </w:tabs>
        <w:numPr>
          <w:ilvl w:val="1"/>
          <w:numId w:val="55"/>
        </w:numPr>
        <w:rPr>
          <w:rFonts w:ascii="Arial" w:cs="Arial" w:eastAsia="Arial" w:hAnsi="Arial"/>
          <w:sz w:val="20"/>
          <w:szCs w:val="20"/>
          <w:color w:val="auto"/>
        </w:rPr>
      </w:pPr>
      <w:r>
        <w:rPr>
          <w:rFonts w:ascii="Arial" w:cs="Arial" w:eastAsia="Arial" w:hAnsi="Arial"/>
          <w:sz w:val="20"/>
          <w:szCs w:val="20"/>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22" w:lineRule="exact"/>
        <w:rPr>
          <w:rFonts w:ascii="Arial" w:cs="Arial" w:eastAsia="Arial" w:hAnsi="Arial"/>
          <w:sz w:val="20"/>
          <w:szCs w:val="20"/>
          <w:color w:val="auto"/>
        </w:rPr>
      </w:pPr>
    </w:p>
    <w:p>
      <w:pPr>
        <w:ind w:left="402" w:hanging="402"/>
        <w:spacing w:after="0"/>
        <w:tabs>
          <w:tab w:leader="none" w:pos="402" w:val="left"/>
        </w:tabs>
        <w:numPr>
          <w:ilvl w:val="0"/>
          <w:numId w:val="55"/>
        </w:numPr>
        <w:rPr>
          <w:rFonts w:ascii="Arial" w:cs="Arial" w:eastAsia="Arial" w:hAnsi="Arial"/>
          <w:sz w:val="20"/>
          <w:szCs w:val="20"/>
          <w:color w:val="auto"/>
        </w:rPr>
      </w:pPr>
      <w:r>
        <w:rPr>
          <w:rFonts w:ascii="Arial" w:cs="Arial" w:eastAsia="Arial" w:hAnsi="Arial"/>
          <w:sz w:val="20"/>
          <w:szCs w:val="20"/>
          <w:i w:val="1"/>
          <w:iCs w:val="1"/>
          <w:u w:val="single" w:color="auto"/>
          <w:color w:val="auto"/>
        </w:rPr>
        <w:t>Transferability</w:t>
      </w:r>
      <w:r>
        <w:rPr>
          <w:rFonts w:ascii="Arial" w:cs="Arial" w:eastAsia="Arial" w:hAnsi="Arial"/>
          <w:sz w:val="20"/>
          <w:szCs w:val="20"/>
          <w:color w:val="auto"/>
        </w:rPr>
        <w:t>.</w:t>
      </w:r>
    </w:p>
    <w:p>
      <w:pPr>
        <w:spacing w:after="0" w:line="128" w:lineRule="exact"/>
        <w:rPr>
          <w:sz w:val="20"/>
          <w:szCs w:val="20"/>
          <w:color w:val="auto"/>
        </w:rPr>
      </w:pPr>
    </w:p>
    <w:p>
      <w:pPr>
        <w:ind w:left="2"/>
        <w:spacing w:after="0" w:line="247" w:lineRule="auto"/>
        <w:rPr>
          <w:sz w:val="20"/>
          <w:szCs w:val="20"/>
          <w:color w:val="auto"/>
        </w:rPr>
      </w:pPr>
      <w:r>
        <w:rPr>
          <w:rFonts w:ascii="Arial" w:cs="Arial" w:eastAsia="Arial" w:hAnsi="Arial"/>
          <w:sz w:val="20"/>
          <w:szCs w:val="20"/>
          <w:color w:val="auto"/>
        </w:rPr>
        <w:t>Options to purchase Common Stock granted under the Plan are not transferable, in any manner, by a Participant and are exercisable only by the Participant.</w:t>
      </w:r>
    </w:p>
    <w:p>
      <w:pPr>
        <w:spacing w:after="0" w:line="121" w:lineRule="exact"/>
        <w:rPr>
          <w:sz w:val="20"/>
          <w:szCs w:val="20"/>
          <w:color w:val="auto"/>
        </w:rPr>
      </w:pPr>
    </w:p>
    <w:p>
      <w:pPr>
        <w:ind w:left="402" w:hanging="402"/>
        <w:spacing w:after="0"/>
        <w:tabs>
          <w:tab w:leader="none" w:pos="402" w:val="left"/>
        </w:tabs>
        <w:numPr>
          <w:ilvl w:val="0"/>
          <w:numId w:val="56"/>
        </w:numPr>
        <w:rPr>
          <w:rFonts w:ascii="Arial" w:cs="Arial" w:eastAsia="Arial" w:hAnsi="Arial"/>
          <w:sz w:val="20"/>
          <w:szCs w:val="20"/>
          <w:color w:val="auto"/>
        </w:rPr>
      </w:pPr>
      <w:r>
        <w:rPr>
          <w:rFonts w:ascii="Arial" w:cs="Arial" w:eastAsia="Arial" w:hAnsi="Arial"/>
          <w:sz w:val="20"/>
          <w:szCs w:val="20"/>
          <w:i w:val="1"/>
          <w:iCs w:val="1"/>
          <w:u w:val="single" w:color="auto"/>
          <w:color w:val="auto"/>
        </w:rPr>
        <w:t>Reports</w:t>
      </w:r>
      <w:r>
        <w:rPr>
          <w:rFonts w:ascii="Arial" w:cs="Arial" w:eastAsia="Arial" w:hAnsi="Arial"/>
          <w:sz w:val="20"/>
          <w:szCs w:val="20"/>
          <w:color w:val="auto"/>
        </w:rPr>
        <w:t>.</w:t>
      </w:r>
    </w:p>
    <w:p>
      <w:pPr>
        <w:spacing w:after="0" w:line="128" w:lineRule="exact"/>
        <w:rPr>
          <w:sz w:val="20"/>
          <w:szCs w:val="20"/>
          <w:color w:val="auto"/>
        </w:rPr>
      </w:pPr>
    </w:p>
    <w:p>
      <w:pPr>
        <w:jc w:val="both"/>
        <w:ind w:left="2"/>
        <w:spacing w:after="0" w:line="247" w:lineRule="auto"/>
        <w:rPr>
          <w:sz w:val="20"/>
          <w:szCs w:val="20"/>
          <w:color w:val="auto"/>
        </w:rPr>
      </w:pPr>
      <w:r>
        <w:rPr>
          <w:rFonts w:ascii="Arial" w:cs="Arial" w:eastAsia="Arial" w:hAnsi="Arial"/>
          <w:sz w:val="20"/>
          <w:szCs w:val="20"/>
          <w:color w:val="auto"/>
        </w:rPr>
        <w:t>Individual notional accounts will be maintained for each Participant in the Plan. Following each Exercise Date, Participants who have purchased shares under Section 9 may access a summary of their purchases in the manner determined by the Committee.</w:t>
      </w:r>
    </w:p>
    <w:p>
      <w:pPr>
        <w:spacing w:after="0" w:line="122" w:lineRule="exact"/>
        <w:rPr>
          <w:sz w:val="20"/>
          <w:szCs w:val="20"/>
          <w:color w:val="auto"/>
        </w:rPr>
      </w:pPr>
    </w:p>
    <w:p>
      <w:pPr>
        <w:ind w:left="402" w:hanging="402"/>
        <w:spacing w:after="0"/>
        <w:tabs>
          <w:tab w:leader="none" w:pos="402" w:val="left"/>
        </w:tabs>
        <w:numPr>
          <w:ilvl w:val="0"/>
          <w:numId w:val="57"/>
        </w:numPr>
        <w:rPr>
          <w:rFonts w:ascii="Arial" w:cs="Arial" w:eastAsia="Arial" w:hAnsi="Arial"/>
          <w:sz w:val="20"/>
          <w:szCs w:val="20"/>
          <w:color w:val="auto"/>
        </w:rPr>
      </w:pPr>
      <w:r>
        <w:rPr>
          <w:rFonts w:ascii="Arial" w:cs="Arial" w:eastAsia="Arial" w:hAnsi="Arial"/>
          <w:sz w:val="20"/>
          <w:szCs w:val="20"/>
          <w:i w:val="1"/>
          <w:iCs w:val="1"/>
          <w:u w:val="single" w:color="auto"/>
          <w:color w:val="auto"/>
        </w:rPr>
        <w:t>Adjustments Upon Changes in Capitalization</w:t>
      </w:r>
      <w:r>
        <w:rPr>
          <w:rFonts w:ascii="Arial" w:cs="Arial" w:eastAsia="Arial" w:hAnsi="Arial"/>
          <w:sz w:val="20"/>
          <w:szCs w:val="20"/>
          <w:color w:val="auto"/>
        </w:rPr>
        <w:t>.</w:t>
      </w:r>
    </w:p>
    <w:p>
      <w:pPr>
        <w:spacing w:after="0" w:line="127" w:lineRule="exact"/>
        <w:rPr>
          <w:rFonts w:ascii="Arial" w:cs="Arial" w:eastAsia="Arial" w:hAnsi="Arial"/>
          <w:sz w:val="20"/>
          <w:szCs w:val="20"/>
          <w:color w:val="auto"/>
        </w:rPr>
      </w:pPr>
    </w:p>
    <w:p>
      <w:pPr>
        <w:jc w:val="both"/>
        <w:ind w:left="802" w:hanging="403"/>
        <w:spacing w:after="0" w:line="247" w:lineRule="auto"/>
        <w:tabs>
          <w:tab w:leader="none" w:pos="802"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124" w:lineRule="exact"/>
        <w:rPr>
          <w:rFonts w:ascii="Arial" w:cs="Arial" w:eastAsia="Arial" w:hAnsi="Arial"/>
          <w:sz w:val="20"/>
          <w:szCs w:val="20"/>
          <w:color w:val="auto"/>
        </w:rPr>
      </w:pPr>
    </w:p>
    <w:p>
      <w:pPr>
        <w:jc w:val="both"/>
        <w:ind w:left="802" w:hanging="403"/>
        <w:spacing w:after="0" w:line="278" w:lineRule="auto"/>
        <w:tabs>
          <w:tab w:leader="none" w:pos="8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w:t>
      </w:r>
    </w:p>
    <w:p>
      <w:pPr>
        <w:spacing w:after="0" w:line="400"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auto"/>
        </w:rPr>
        <w:t>A-4</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81">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-87630</wp:posOffset>
            </wp:positionV>
            <wp:extent cx="4254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82">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75" w:right="920" w:bottom="315" w:gutter="0" w:footer="0" w:header="0"/>
        </w:sectPr>
      </w:pPr>
    </w:p>
    <w:bookmarkStart w:id="80" w:name="page81"/>
    <w:bookmarkEnd w:id="80"/>
    <w:p>
      <w:pPr>
        <w:ind w:left="802"/>
        <w:spacing w:after="0" w:line="268" w:lineRule="auto"/>
        <w:rPr>
          <w:sz w:val="20"/>
          <w:szCs w:val="20"/>
          <w:color w:val="auto"/>
        </w:rPr>
      </w:pPr>
      <w:r>
        <w:rPr>
          <w:rFonts w:ascii="Arial" w:cs="Arial" w:eastAsia="Arial" w:hAnsi="Arial"/>
          <w:sz w:val="19"/>
          <w:szCs w:val="19"/>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shall notify the Participant that the option shall be fully exercisable for a stated period, which shall not be less than 10 days from the date of such notice, and the option will terminate upon the expiration of such period.</w:t>
      </w:r>
    </w:p>
    <w:p>
      <w:pPr>
        <w:spacing w:after="0" w:line="99" w:lineRule="exact"/>
        <w:rPr>
          <w:sz w:val="20"/>
          <w:szCs w:val="20"/>
          <w:color w:val="auto"/>
        </w:rPr>
      </w:pPr>
    </w:p>
    <w:p>
      <w:pPr>
        <w:jc w:val="both"/>
        <w:ind w:left="802" w:hanging="403"/>
        <w:spacing w:after="0" w:line="243" w:lineRule="auto"/>
        <w:tabs>
          <w:tab w:leader="none" w:pos="802"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21" w:lineRule="exact"/>
        <w:rPr>
          <w:rFonts w:ascii="Arial" w:cs="Arial" w:eastAsia="Arial" w:hAnsi="Arial"/>
          <w:sz w:val="20"/>
          <w:szCs w:val="20"/>
          <w:color w:val="auto"/>
        </w:rPr>
      </w:pPr>
    </w:p>
    <w:p>
      <w:pPr>
        <w:ind w:left="402" w:hanging="402"/>
        <w:spacing w:after="0"/>
        <w:tabs>
          <w:tab w:leader="none" w:pos="402" w:val="left"/>
        </w:tabs>
        <w:numPr>
          <w:ilvl w:val="0"/>
          <w:numId w:val="59"/>
        </w:numPr>
        <w:rPr>
          <w:rFonts w:ascii="Arial" w:cs="Arial" w:eastAsia="Arial" w:hAnsi="Arial"/>
          <w:sz w:val="20"/>
          <w:szCs w:val="20"/>
          <w:color w:val="auto"/>
        </w:rPr>
      </w:pPr>
      <w:r>
        <w:rPr>
          <w:rFonts w:ascii="Arial" w:cs="Arial" w:eastAsia="Arial" w:hAnsi="Arial"/>
          <w:sz w:val="20"/>
          <w:szCs w:val="20"/>
          <w:i w:val="1"/>
          <w:iCs w:val="1"/>
          <w:u w:val="single" w:color="auto"/>
          <w:color w:val="auto"/>
        </w:rPr>
        <w:t>Amendment of the Plan</w:t>
      </w:r>
      <w:r>
        <w:rPr>
          <w:rFonts w:ascii="Arial" w:cs="Arial" w:eastAsia="Arial" w:hAnsi="Arial"/>
          <w:sz w:val="20"/>
          <w:szCs w:val="20"/>
          <w:color w:val="auto"/>
        </w:rPr>
        <w:t>.</w:t>
      </w:r>
    </w:p>
    <w:p>
      <w:pPr>
        <w:spacing w:after="0" w:line="124"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The Company may at any time, or from time to time, amend the Plan in any respect through action of the Board or, for any amendment that does not require shareholder approval, through action of the Plan Sponsor Committee of the Waste Management Employee Benefit Plans;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08" w:lineRule="exact"/>
        <w:rPr>
          <w:sz w:val="20"/>
          <w:szCs w:val="20"/>
          <w:color w:val="auto"/>
        </w:rPr>
      </w:pPr>
    </w:p>
    <w:p>
      <w:pPr>
        <w:ind w:left="402" w:hanging="402"/>
        <w:spacing w:after="0"/>
        <w:tabs>
          <w:tab w:leader="none" w:pos="402" w:val="left"/>
        </w:tabs>
        <w:numPr>
          <w:ilvl w:val="0"/>
          <w:numId w:val="60"/>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the Plan</w:t>
      </w:r>
      <w:r>
        <w:rPr>
          <w:rFonts w:ascii="Arial" w:cs="Arial" w:eastAsia="Arial" w:hAnsi="Arial"/>
          <w:sz w:val="20"/>
          <w:szCs w:val="20"/>
          <w:color w:val="auto"/>
        </w:rPr>
        <w:t>.</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Plan and all rights of Eligible Employees hereunder shall terminate at any time, at the discretion of the Board.</w:t>
      </w:r>
    </w:p>
    <w:p>
      <w:pPr>
        <w:spacing w:after="0" w:line="123" w:lineRule="exact"/>
        <w:rPr>
          <w:sz w:val="20"/>
          <w:szCs w:val="20"/>
          <w:color w:val="auto"/>
        </w:rPr>
      </w:pPr>
    </w:p>
    <w:p>
      <w:pPr>
        <w:ind w:left="402" w:hanging="402"/>
        <w:spacing w:after="0"/>
        <w:tabs>
          <w:tab w:leader="none" w:pos="402" w:val="left"/>
        </w:tabs>
        <w:numPr>
          <w:ilvl w:val="0"/>
          <w:numId w:val="61"/>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Notices</w:t>
      </w:r>
      <w:r>
        <w:rPr>
          <w:rFonts w:ascii="Arial" w:cs="Arial" w:eastAsia="Arial" w:hAnsi="Arial"/>
          <w:sz w:val="20"/>
          <w:szCs w:val="20"/>
          <w:color w:val="auto"/>
        </w:rPr>
        <w:t>.</w:t>
      </w:r>
    </w:p>
    <w:p>
      <w:pPr>
        <w:spacing w:after="0" w:line="124"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1" w:lineRule="exact"/>
        <w:rPr>
          <w:sz w:val="20"/>
          <w:szCs w:val="20"/>
          <w:color w:val="auto"/>
        </w:rPr>
      </w:pPr>
    </w:p>
    <w:p>
      <w:pPr>
        <w:ind w:left="402" w:hanging="402"/>
        <w:spacing w:after="0"/>
        <w:tabs>
          <w:tab w:leader="none" w:pos="402" w:val="left"/>
        </w:tabs>
        <w:numPr>
          <w:ilvl w:val="0"/>
          <w:numId w:val="62"/>
        </w:numPr>
        <w:rPr>
          <w:rFonts w:ascii="Arial" w:cs="Arial" w:eastAsia="Arial" w:hAnsi="Arial"/>
          <w:sz w:val="20"/>
          <w:szCs w:val="20"/>
          <w:color w:val="auto"/>
        </w:rPr>
      </w:pPr>
      <w:r>
        <w:rPr>
          <w:rFonts w:ascii="Arial" w:cs="Arial" w:eastAsia="Arial" w:hAnsi="Arial"/>
          <w:sz w:val="20"/>
          <w:szCs w:val="20"/>
          <w:i w:val="1"/>
          <w:iCs w:val="1"/>
          <w:u w:val="single" w:color="auto"/>
          <w:color w:val="auto"/>
        </w:rPr>
        <w:t>Shareholder Approval</w:t>
      </w:r>
      <w:r>
        <w:rPr>
          <w:rFonts w:ascii="Arial" w:cs="Arial" w:eastAsia="Arial" w:hAnsi="Arial"/>
          <w:sz w:val="20"/>
          <w:szCs w:val="20"/>
          <w:color w:val="auto"/>
        </w:rPr>
        <w:t>.</w:t>
      </w:r>
    </w:p>
    <w:p>
      <w:pPr>
        <w:spacing w:after="0" w:line="124" w:lineRule="exact"/>
        <w:rPr>
          <w:sz w:val="20"/>
          <w:szCs w:val="20"/>
          <w:color w:val="auto"/>
        </w:rPr>
      </w:pPr>
    </w:p>
    <w:p>
      <w:pPr>
        <w:ind w:left="2"/>
        <w:spacing w:after="0" w:line="243" w:lineRule="auto"/>
        <w:rPr>
          <w:sz w:val="20"/>
          <w:szCs w:val="20"/>
          <w:color w:val="auto"/>
        </w:rPr>
      </w:pPr>
      <w:r>
        <w:rPr>
          <w:rFonts w:ascii="Arial" w:cs="Arial" w:eastAsia="Arial" w:hAnsi="Arial"/>
          <w:sz w:val="20"/>
          <w:szCs w:val="20"/>
          <w:color w:val="auto"/>
        </w:rPr>
        <w:t>This amended and restated the Plan shall be subject to approval by the shareholders of the Company within twelve months after the date the amended and restated Plan is adopted by the Board of Directors.</w:t>
      </w:r>
    </w:p>
    <w:p>
      <w:pPr>
        <w:spacing w:after="0" w:line="121" w:lineRule="exact"/>
        <w:rPr>
          <w:sz w:val="20"/>
          <w:szCs w:val="20"/>
          <w:color w:val="auto"/>
        </w:rPr>
      </w:pPr>
    </w:p>
    <w:p>
      <w:pPr>
        <w:ind w:left="402" w:hanging="402"/>
        <w:spacing w:after="0"/>
        <w:tabs>
          <w:tab w:leader="none" w:pos="402" w:val="left"/>
        </w:tabs>
        <w:numPr>
          <w:ilvl w:val="0"/>
          <w:numId w:val="63"/>
        </w:numPr>
        <w:rPr>
          <w:rFonts w:ascii="Arial" w:cs="Arial" w:eastAsia="Arial" w:hAnsi="Arial"/>
          <w:sz w:val="20"/>
          <w:szCs w:val="20"/>
          <w:color w:val="auto"/>
        </w:rPr>
      </w:pPr>
      <w:r>
        <w:rPr>
          <w:rFonts w:ascii="Arial" w:cs="Arial" w:eastAsia="Arial" w:hAnsi="Arial"/>
          <w:sz w:val="20"/>
          <w:szCs w:val="20"/>
          <w:i w:val="1"/>
          <w:iCs w:val="1"/>
          <w:u w:val="single" w:color="auto"/>
          <w:color w:val="auto"/>
        </w:rPr>
        <w:t>Conditions Upon Issuance of Shares</w:t>
      </w:r>
      <w:r>
        <w:rPr>
          <w:rFonts w:ascii="Arial" w:cs="Arial" w:eastAsia="Arial" w:hAnsi="Arial"/>
          <w:sz w:val="20"/>
          <w:szCs w:val="20"/>
          <w:color w:val="auto"/>
        </w:rPr>
        <w:t>.</w:t>
      </w:r>
    </w:p>
    <w:p>
      <w:pPr>
        <w:spacing w:after="0" w:line="123" w:lineRule="exact"/>
        <w:rPr>
          <w:rFonts w:ascii="Arial" w:cs="Arial" w:eastAsia="Arial" w:hAnsi="Arial"/>
          <w:sz w:val="20"/>
          <w:szCs w:val="20"/>
          <w:color w:val="auto"/>
        </w:rPr>
      </w:pPr>
    </w:p>
    <w:p>
      <w:pPr>
        <w:jc w:val="both"/>
        <w:ind w:left="802" w:hanging="403"/>
        <w:spacing w:after="0" w:line="270" w:lineRule="auto"/>
        <w:tabs>
          <w:tab w:leader="none" w:pos="8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w:t>
      </w:r>
    </w:p>
    <w:p>
      <w:pPr>
        <w:spacing w:after="0" w:line="3" w:lineRule="exact"/>
        <w:rPr>
          <w:rFonts w:ascii="Arial" w:cs="Arial" w:eastAsia="Arial" w:hAnsi="Arial"/>
          <w:sz w:val="18"/>
          <w:szCs w:val="18"/>
          <w:color w:val="auto"/>
        </w:rPr>
      </w:pPr>
    </w:p>
    <w:p>
      <w:pPr>
        <w:jc w:val="both"/>
        <w:ind w:left="802"/>
        <w:spacing w:after="0" w:line="243" w:lineRule="auto"/>
        <w:rPr>
          <w:rFonts w:ascii="Arial" w:cs="Arial" w:eastAsia="Arial" w:hAnsi="Arial"/>
          <w:sz w:val="18"/>
          <w:szCs w:val="18"/>
          <w:color w:val="auto"/>
        </w:rPr>
      </w:pPr>
      <w:r>
        <w:rPr>
          <w:rFonts w:ascii="Arial" w:cs="Arial" w:eastAsia="Arial" w:hAnsi="Arial"/>
          <w:sz w:val="20"/>
          <w:szCs w:val="20"/>
          <w:color w:val="auto"/>
        </w:rPr>
        <w:t>(i)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121" w:lineRule="exact"/>
        <w:rPr>
          <w:rFonts w:ascii="Arial" w:cs="Arial" w:eastAsia="Arial" w:hAnsi="Arial"/>
          <w:sz w:val="18"/>
          <w:szCs w:val="18"/>
          <w:color w:val="auto"/>
        </w:rPr>
      </w:pPr>
    </w:p>
    <w:p>
      <w:pPr>
        <w:jc w:val="both"/>
        <w:ind w:left="802" w:hanging="403"/>
        <w:spacing w:after="0" w:line="243" w:lineRule="auto"/>
        <w:tabs>
          <w:tab w:leader="none" w:pos="8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22" w:lineRule="exact"/>
        <w:rPr>
          <w:rFonts w:ascii="Arial" w:cs="Arial" w:eastAsia="Arial" w:hAnsi="Arial"/>
          <w:sz w:val="20"/>
          <w:szCs w:val="20"/>
          <w:color w:val="auto"/>
        </w:rPr>
      </w:pPr>
    </w:p>
    <w:p>
      <w:pPr>
        <w:ind w:left="402" w:hanging="402"/>
        <w:spacing w:after="0"/>
        <w:tabs>
          <w:tab w:leader="none" w:pos="402" w:val="left"/>
        </w:tabs>
        <w:numPr>
          <w:ilvl w:val="0"/>
          <w:numId w:val="63"/>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 Provisions</w:t>
      </w:r>
      <w:r>
        <w:rPr>
          <w:rFonts w:ascii="Arial" w:cs="Arial" w:eastAsia="Arial" w:hAnsi="Arial"/>
          <w:sz w:val="20"/>
          <w:szCs w:val="20"/>
          <w:color w:val="auto"/>
        </w:rPr>
        <w:t>.</w:t>
      </w:r>
    </w:p>
    <w:p>
      <w:pPr>
        <w:spacing w:after="0" w:line="124" w:lineRule="exact"/>
        <w:rPr>
          <w:rFonts w:ascii="Arial" w:cs="Arial" w:eastAsia="Arial" w:hAnsi="Arial"/>
          <w:sz w:val="20"/>
          <w:szCs w:val="20"/>
          <w:color w:val="auto"/>
        </w:rPr>
      </w:pPr>
    </w:p>
    <w:p>
      <w:pPr>
        <w:ind w:left="802" w:hanging="403"/>
        <w:spacing w:after="0" w:line="268" w:lineRule="auto"/>
        <w:tabs>
          <w:tab w:leader="none" w:pos="802" w:val="left"/>
        </w:tabs>
        <w:numPr>
          <w:ilvl w:val="1"/>
          <w:numId w:val="63"/>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and in accordance with Section 423 of the Code, all Eligible Employees who are granted options under the Plan shall have the same rights and privileges.</w:t>
      </w:r>
    </w:p>
    <w:p>
      <w:pPr>
        <w:spacing w:after="0" w:line="98" w:lineRule="exact"/>
        <w:rPr>
          <w:rFonts w:ascii="Arial" w:cs="Arial" w:eastAsia="Arial" w:hAnsi="Arial"/>
          <w:sz w:val="19"/>
          <w:szCs w:val="19"/>
          <w:color w:val="auto"/>
        </w:rPr>
      </w:pPr>
    </w:p>
    <w:p>
      <w:pPr>
        <w:ind w:left="802" w:hanging="403"/>
        <w:spacing w:after="0" w:line="243" w:lineRule="auto"/>
        <w:tabs>
          <w:tab w:leader="none" w:pos="8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Neither the Plan nor any compensation paid hereunder will confer on any Participant the right to continue as an employee or in any other capacity.</w:t>
      </w:r>
    </w:p>
    <w:p>
      <w:pPr>
        <w:spacing w:after="0" w:line="121" w:lineRule="exact"/>
        <w:rPr>
          <w:rFonts w:ascii="Arial" w:cs="Arial" w:eastAsia="Arial" w:hAnsi="Arial"/>
          <w:sz w:val="20"/>
          <w:szCs w:val="20"/>
          <w:color w:val="auto"/>
        </w:rPr>
      </w:pPr>
    </w:p>
    <w:p>
      <w:pPr>
        <w:jc w:val="both"/>
        <w:ind w:left="802" w:hanging="403"/>
        <w:spacing w:after="0" w:line="245" w:lineRule="auto"/>
        <w:tabs>
          <w:tab w:leader="none" w:pos="8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A Participant will become a stockholder with respect to the shares of Common Stock that are purchased pursuant to options granted under the Plan only when the shares are issued to the Participant in accordance with the terms of the Plan. A Participant will have no rights as a stockholder with respect to shares of Common Stock for which an election to participate in an Offering Period has been made until such Participant becomes a stockholder as provided above.</w:t>
      </w:r>
    </w:p>
    <w:p>
      <w:pPr>
        <w:spacing w:after="0" w:line="122" w:lineRule="exact"/>
        <w:rPr>
          <w:rFonts w:ascii="Arial" w:cs="Arial" w:eastAsia="Arial" w:hAnsi="Arial"/>
          <w:sz w:val="20"/>
          <w:szCs w:val="20"/>
          <w:color w:val="auto"/>
        </w:rPr>
      </w:pPr>
    </w:p>
    <w:p>
      <w:pPr>
        <w:ind w:left="802" w:hanging="403"/>
        <w:spacing w:after="0"/>
        <w:tabs>
          <w:tab w:leader="none" w:pos="8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Plan shall be binding on the Company and its successors and assigns.</w:t>
      </w:r>
    </w:p>
    <w:p>
      <w:pPr>
        <w:spacing w:after="0" w:line="200" w:lineRule="exact"/>
        <w:rPr>
          <w:sz w:val="20"/>
          <w:szCs w:val="20"/>
          <w:color w:val="auto"/>
        </w:rPr>
      </w:pPr>
    </w:p>
    <w:p>
      <w:pPr>
        <w:spacing w:after="0" w:line="227"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-207010</wp:posOffset>
            </wp:positionV>
            <wp:extent cx="538480" cy="161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8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975" w:right="920" w:bottom="315" w:gutter="0" w:footer="0" w:header="0"/>
        </w:sectPr>
      </w:pPr>
    </w:p>
    <w:bookmarkStart w:id="81" w:name="page82"/>
    <w:bookmarkEnd w:id="81"/>
    <w:p>
      <w:pPr>
        <w:ind w:left="800" w:hanging="403"/>
        <w:spacing w:after="0" w:line="249" w:lineRule="auto"/>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t>This Plan constitutes the entire plan with respect to the subject matter hereof and supersedes all prior plans with respect to the subject matter hereof.</w:t>
      </w:r>
    </w:p>
    <w:p>
      <w:pPr>
        <w:spacing w:after="0" w:line="121" w:lineRule="exact"/>
        <w:rPr>
          <w:rFonts w:ascii="Arial" w:cs="Arial" w:eastAsia="Arial" w:hAnsi="Arial"/>
          <w:sz w:val="20"/>
          <w:szCs w:val="20"/>
          <w:color w:val="auto"/>
        </w:rPr>
      </w:pPr>
    </w:p>
    <w:p>
      <w:pPr>
        <w:jc w:val="both"/>
        <w:ind w:left="800" w:hanging="403"/>
        <w:spacing w:after="0" w:line="249" w:lineRule="auto"/>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Plan and all rights hereunder shall be subject to and interpreted in accordance with the laws of the State of Texas, without reference to the principles of conflicts of laws, and to applicable Federal or other securities laws.</w:t>
      </w:r>
    </w:p>
    <w:p>
      <w:pPr>
        <w:sectPr>
          <w:pgSz w:w="11880" w:h="15480" w:orient="portrait"/>
          <w:cols w:equalWidth="0" w:num="1">
            <w:col w:w="10060"/>
          </w:cols>
          <w:pgMar w:left="900" w:top="975"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A-6</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8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-87630</wp:posOffset>
            </wp:positionV>
            <wp:extent cx="4254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8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975" w:right="920" w:bottom="315" w:gutter="0" w:footer="0" w:header="0"/>
          <w:type w:val="continuous"/>
        </w:sectPr>
      </w:pPr>
    </w:p>
    <w:bookmarkStart w:id="82" w:name="page83"/>
    <w:bookmarkEnd w:id="82"/>
    <w:p>
      <w:pPr>
        <w:spacing w:after="0"/>
        <w:rPr>
          <w:sz w:val="20"/>
          <w:szCs w:val="20"/>
          <w:color w:val="auto"/>
        </w:rPr>
      </w:pPr>
      <w:r>
        <w:rPr>
          <w:rFonts w:ascii="Arial" w:cs="Arial" w:eastAsia="Arial" w:hAnsi="Arial"/>
          <w:sz w:val="40"/>
          <w:szCs w:val="40"/>
          <w:b w:val="1"/>
          <w:bCs w:val="1"/>
          <w:color w:val="0C3D25"/>
        </w:rPr>
        <w:t>APPENDIX B</w:t>
      </w:r>
    </w:p>
    <w:p>
      <w:pPr>
        <w:spacing w:after="0" w:line="165"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Incentive compensation measures presented in this proxy statement are defined differently than corresponding measures reported in the Company’s quarterly earnings press release. See below for reconciliations of Operating EBITDA, Margin performance measure and Cash Flow Generation to the most comparable GAAP measures. Non-GAAP measures should not be considered a substitute for financial measures presented in accordance with GAAP.</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CERTAIN NON-GAAP MEASURES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(In Millions)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41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0C3D25"/>
              </w:rPr>
              <w:t>Twelve Months Ended December 31, 2025</w:t>
            </w:r>
          </w:p>
        </w:tc>
      </w:tr>
      <w:tr>
        <w:trPr>
          <w:trHeight w:val="42"/>
        </w:trPr>
        <w:tc>
          <w:tcPr>
            <w:tcW w:w="5920" w:type="dxa"/>
            <w:vAlign w:val="bottom"/>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c>
          <w:tcPr>
            <w:tcW w:w="20" w:type="dxa"/>
            <w:vAlign w:val="bottom"/>
            <w:tcBorders>
              <w:bottom w:val="single" w:sz="8" w:color="0C3D25"/>
            </w:tcBorders>
          </w:tcPr>
          <w:p>
            <w:pPr>
              <w:spacing w:after="0"/>
              <w:rPr>
                <w:sz w:val="3"/>
                <w:szCs w:val="3"/>
                <w:color w:val="auto"/>
              </w:rPr>
            </w:pPr>
          </w:p>
        </w:tc>
      </w:tr>
      <w:tr>
        <w:trPr>
          <w:trHeight w:val="190"/>
        </w:trPr>
        <w:tc>
          <w:tcPr>
            <w:tcW w:w="5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0C3D25"/>
              </w:rPr>
              <w:t>Depreciation,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Income from</w:t>
            </w:r>
          </w:p>
        </w:tc>
        <w:tc>
          <w:tcPr>
            <w:tcW w:w="12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C3D25"/>
              </w:rPr>
              <w:t>Depletion and</w:t>
            </w: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6"/>
                <w:szCs w:val="16"/>
                <w:b w:val="1"/>
                <w:bCs w:val="1"/>
                <w:color w:val="0C3D25"/>
              </w:rPr>
              <w:t>Operating</w:t>
            </w:r>
          </w:p>
        </w:tc>
      </w:tr>
      <w:tr>
        <w:trPr>
          <w:trHeight w:val="184"/>
        </w:trPr>
        <w:tc>
          <w:tcPr>
            <w:tcW w:w="59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b w:val="1"/>
                <w:bCs w:val="1"/>
                <w:color w:val="0C3D25"/>
              </w:rPr>
              <w:t>Revenue</w:t>
            </w:r>
          </w:p>
        </w:tc>
        <w:tc>
          <w:tcPr>
            <w:tcW w:w="1140" w:type="dxa"/>
            <w:vAlign w:val="bottom"/>
          </w:tcPr>
          <w:p>
            <w:pPr>
              <w:jc w:val="right"/>
              <w:ind w:right="25"/>
              <w:spacing w:after="0"/>
              <w:rPr>
                <w:sz w:val="20"/>
                <w:szCs w:val="20"/>
                <w:color w:val="auto"/>
              </w:rPr>
            </w:pPr>
            <w:r>
              <w:rPr>
                <w:rFonts w:ascii="Arial" w:cs="Arial" w:eastAsia="Arial" w:hAnsi="Arial"/>
                <w:sz w:val="16"/>
                <w:szCs w:val="16"/>
                <w:b w:val="1"/>
                <w:bCs w:val="1"/>
                <w:color w:val="0C3D25"/>
              </w:rPr>
              <w:t>Operations</w:t>
            </w: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0C3D25"/>
              </w:rPr>
              <w:t>Amortization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0C3D25"/>
              </w:rPr>
              <w:t>EBITDA</w:t>
            </w:r>
          </w:p>
        </w:tc>
      </w:tr>
      <w:tr>
        <w:trPr>
          <w:trHeight w:val="42"/>
        </w:trPr>
        <w:tc>
          <w:tcPr>
            <w:tcW w:w="5920" w:type="dxa"/>
            <w:vAlign w:val="bottom"/>
            <w:tcBorders>
              <w:bottom w:val="single" w:sz="8" w:color="0C3D25"/>
            </w:tcBorders>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92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$25,204</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$4,308</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$2,863</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$7,171</w:t>
            </w:r>
          </w:p>
        </w:tc>
        <w:tc>
          <w:tcPr>
            <w:tcW w:w="20" w:type="dxa"/>
            <w:vAlign w:val="bottom"/>
          </w:tcPr>
          <w:p>
            <w:pPr>
              <w:spacing w:after="0"/>
              <w:rPr>
                <w:sz w:val="22"/>
                <w:szCs w:val="22"/>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691</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38</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LESS: Contributions from wildfire volumes that exceeded the</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920" w:type="dxa"/>
            <w:vAlign w:val="bottom"/>
          </w:tcPr>
          <w:p>
            <w:pPr>
              <w:ind w:left="460"/>
              <w:spacing w:after="0"/>
              <w:rPr>
                <w:sz w:val="20"/>
                <w:szCs w:val="20"/>
                <w:color w:val="auto"/>
              </w:rPr>
            </w:pPr>
            <w:r>
              <w:rPr>
                <w:rFonts w:ascii="Arial" w:cs="Arial" w:eastAsia="Arial" w:hAnsi="Arial"/>
                <w:sz w:val="20"/>
                <w:szCs w:val="20"/>
                <w:color w:val="auto"/>
              </w:rPr>
              <w:t>estimate used when setting performance measures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12</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33</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4</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0"/>
                <w:szCs w:val="20"/>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ADD: “Restructuring” and “(Gain) Loss from Divestitures, Asset</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92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299</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299</w:t>
            </w:r>
          </w:p>
        </w:tc>
        <w:tc>
          <w:tcPr>
            <w:tcW w:w="20" w:type="dxa"/>
            <w:vAlign w:val="bottom"/>
          </w:tcPr>
          <w:p>
            <w:pPr>
              <w:spacing w:after="0"/>
              <w:rPr>
                <w:sz w:val="20"/>
                <w:szCs w:val="20"/>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2"/>
        </w:trPr>
        <w:tc>
          <w:tcPr>
            <w:tcW w:w="5920" w:type="dxa"/>
            <w:vAlign w:val="bottom"/>
          </w:tcPr>
          <w:p>
            <w:pPr>
              <w:ind w:left="260"/>
              <w:spacing w:after="0"/>
              <w:rPr>
                <w:sz w:val="20"/>
                <w:szCs w:val="20"/>
                <w:color w:val="auto"/>
              </w:rPr>
            </w:pPr>
            <w:r>
              <w:rPr>
                <w:rFonts w:ascii="Arial" w:cs="Arial" w:eastAsia="Arial" w:hAnsi="Arial"/>
                <w:sz w:val="20"/>
                <w:szCs w:val="20"/>
                <w:color w:val="auto"/>
              </w:rPr>
              <w:t>ADD: Stericycle integration costs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45</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45</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79"/>
        </w:trPr>
        <w:tc>
          <w:tcPr>
            <w:tcW w:w="5920" w:type="dxa"/>
            <w:vAlign w:val="bottom"/>
            <w:tcBorders>
              <w:bottom w:val="single" w:sz="8" w:color="0C3D25"/>
            </w:tcBorders>
          </w:tcPr>
          <w:p>
            <w:pPr>
              <w:ind w:left="260"/>
              <w:spacing w:after="0" w:line="280" w:lineRule="exact"/>
              <w:rPr>
                <w:sz w:val="20"/>
                <w:szCs w:val="20"/>
                <w:color w:val="auto"/>
              </w:rPr>
            </w:pPr>
            <w:r>
              <w:rPr>
                <w:rFonts w:ascii="Arial" w:cs="Arial" w:eastAsia="Arial" w:hAnsi="Arial"/>
                <w:sz w:val="20"/>
                <w:szCs w:val="20"/>
                <w:color w:val="auto"/>
              </w:rPr>
              <w:t>LESS: Accrual adjustment</w:t>
            </w:r>
            <w:r>
              <w:rPr>
                <w:rFonts w:ascii="Arial" w:cs="Arial" w:eastAsia="Arial" w:hAnsi="Arial"/>
                <w:sz w:val="25"/>
                <w:szCs w:val="25"/>
                <w:color w:val="auto"/>
                <w:vertAlign w:val="superscript"/>
              </w:rPr>
              <w:t>(a)</w:t>
            </w:r>
          </w:p>
        </w:tc>
        <w:tc>
          <w:tcPr>
            <w:tcW w:w="92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2</w:t>
            </w:r>
          </w:p>
        </w:tc>
        <w:tc>
          <w:tcPr>
            <w:tcW w:w="1200" w:type="dxa"/>
            <w:vAlign w:val="bottom"/>
            <w:tcBorders>
              <w:bottom w:val="single" w:sz="8" w:color="0C3D25"/>
            </w:tcBorders>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52"/>
        </w:trPr>
        <w:tc>
          <w:tcPr>
            <w:tcW w:w="592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$24,501</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$4,579</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$2,859</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$7,438</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5920" w:type="dxa"/>
            <w:vAlign w:val="bottom"/>
          </w:tcPr>
          <w:p>
            <w:pPr>
              <w:ind w:left="60"/>
              <w:spacing w:after="0" w:line="284" w:lineRule="exact"/>
              <w:rPr>
                <w:sz w:val="20"/>
                <w:szCs w:val="20"/>
                <w:color w:val="auto"/>
              </w:rPr>
            </w:pPr>
            <w:r>
              <w:rPr>
                <w:rFonts w:ascii="Arial" w:cs="Arial" w:eastAsia="Arial" w:hAnsi="Arial"/>
                <w:sz w:val="20"/>
                <w:szCs w:val="20"/>
                <w:b w:val="1"/>
                <w:bCs w:val="1"/>
                <w:color w:val="auto"/>
              </w:rPr>
              <w:t>Margin Performance Measure</w:t>
            </w:r>
            <w:r>
              <w:rPr>
                <w:rFonts w:ascii="Arial" w:cs="Arial" w:eastAsia="Arial" w:hAnsi="Arial"/>
                <w:sz w:val="25"/>
                <w:szCs w:val="25"/>
                <w:b w:val="1"/>
                <w:bCs w:val="1"/>
                <w:color w:val="auto"/>
                <w:vertAlign w:val="superscript"/>
              </w:rPr>
              <w:t>(b)</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30.4%</w:t>
            </w:r>
          </w:p>
        </w:tc>
      </w:tr>
      <w:tr>
        <w:trPr>
          <w:trHeight w:val="473"/>
        </w:trPr>
        <w:tc>
          <w:tcPr>
            <w:tcW w:w="5920" w:type="dxa"/>
            <w:vAlign w:val="bottom"/>
            <w:tcBorders>
              <w:top w:val="single" w:sz="8" w:color="0C3D25"/>
            </w:tcBorders>
          </w:tcPr>
          <w:p>
            <w:pPr>
              <w:spacing w:after="0"/>
              <w:rPr>
                <w:sz w:val="24"/>
                <w:szCs w:val="24"/>
                <w:color w:val="auto"/>
              </w:rPr>
            </w:pPr>
          </w:p>
        </w:tc>
        <w:tc>
          <w:tcPr>
            <w:tcW w:w="4140" w:type="dxa"/>
            <w:vAlign w:val="bottom"/>
            <w:tcBorders>
              <w:top w:val="single" w:sz="8" w:color="0C3D25"/>
            </w:tcBorders>
            <w:gridSpan w:val="4"/>
          </w:tcPr>
          <w:p>
            <w:pPr>
              <w:jc w:val="right"/>
              <w:ind w:right="465"/>
              <w:spacing w:after="0"/>
              <w:rPr>
                <w:sz w:val="20"/>
                <w:szCs w:val="20"/>
                <w:color w:val="auto"/>
              </w:rPr>
            </w:pPr>
            <w:r>
              <w:rPr>
                <w:rFonts w:ascii="Arial" w:cs="Arial" w:eastAsia="Arial" w:hAnsi="Arial"/>
                <w:sz w:val="16"/>
                <w:szCs w:val="16"/>
                <w:b w:val="1"/>
                <w:bCs w:val="1"/>
                <w:color w:val="0C3D25"/>
              </w:rPr>
              <w:t>Twelve Months Ended December 31, 2024</w:t>
            </w:r>
          </w:p>
        </w:tc>
        <w:tc>
          <w:tcPr>
            <w:tcW w:w="20" w:type="dxa"/>
            <w:vAlign w:val="bottom"/>
          </w:tcPr>
          <w:p>
            <w:pPr>
              <w:spacing w:after="0"/>
              <w:rPr>
                <w:sz w:val="24"/>
                <w:szCs w:val="24"/>
                <w:color w:val="auto"/>
              </w:rPr>
            </w:pPr>
          </w:p>
        </w:tc>
      </w:tr>
      <w:tr>
        <w:trPr>
          <w:trHeight w:val="42"/>
        </w:trPr>
        <w:tc>
          <w:tcPr>
            <w:tcW w:w="5920" w:type="dxa"/>
            <w:vAlign w:val="bottom"/>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c>
          <w:tcPr>
            <w:tcW w:w="20" w:type="dxa"/>
            <w:vAlign w:val="bottom"/>
            <w:tcBorders>
              <w:bottom w:val="single" w:sz="8" w:color="0C3D25"/>
            </w:tcBorders>
          </w:tcPr>
          <w:p>
            <w:pPr>
              <w:spacing w:after="0"/>
              <w:rPr>
                <w:sz w:val="3"/>
                <w:szCs w:val="3"/>
                <w:color w:val="auto"/>
              </w:rPr>
            </w:pPr>
          </w:p>
        </w:tc>
      </w:tr>
      <w:tr>
        <w:trPr>
          <w:trHeight w:val="190"/>
        </w:trPr>
        <w:tc>
          <w:tcPr>
            <w:tcW w:w="5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0C3D25"/>
              </w:rPr>
              <w:t>Depreciation,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Income from</w:t>
            </w:r>
          </w:p>
        </w:tc>
        <w:tc>
          <w:tcPr>
            <w:tcW w:w="12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C3D25"/>
              </w:rPr>
              <w:t>Depletion and</w:t>
            </w: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6"/>
                <w:szCs w:val="16"/>
                <w:b w:val="1"/>
                <w:bCs w:val="1"/>
                <w:color w:val="0C3D25"/>
              </w:rPr>
              <w:t>Operating</w:t>
            </w:r>
          </w:p>
        </w:tc>
      </w:tr>
      <w:tr>
        <w:trPr>
          <w:trHeight w:val="184"/>
        </w:trPr>
        <w:tc>
          <w:tcPr>
            <w:tcW w:w="59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b w:val="1"/>
                <w:bCs w:val="1"/>
                <w:color w:val="0C3D25"/>
              </w:rPr>
              <w:t>Revenue</w:t>
            </w:r>
          </w:p>
        </w:tc>
        <w:tc>
          <w:tcPr>
            <w:tcW w:w="1140" w:type="dxa"/>
            <w:vAlign w:val="bottom"/>
          </w:tcPr>
          <w:p>
            <w:pPr>
              <w:jc w:val="right"/>
              <w:ind w:right="25"/>
              <w:spacing w:after="0"/>
              <w:rPr>
                <w:sz w:val="20"/>
                <w:szCs w:val="20"/>
                <w:color w:val="auto"/>
              </w:rPr>
            </w:pPr>
            <w:r>
              <w:rPr>
                <w:rFonts w:ascii="Arial" w:cs="Arial" w:eastAsia="Arial" w:hAnsi="Arial"/>
                <w:sz w:val="16"/>
                <w:szCs w:val="16"/>
                <w:b w:val="1"/>
                <w:bCs w:val="1"/>
                <w:color w:val="0C3D25"/>
              </w:rPr>
              <w:t>Operations</w:t>
            </w: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0C3D25"/>
              </w:rPr>
              <w:t>Amortization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0C3D25"/>
              </w:rPr>
              <w:t>EBITDA</w:t>
            </w:r>
          </w:p>
        </w:tc>
      </w:tr>
      <w:tr>
        <w:trPr>
          <w:trHeight w:val="42"/>
        </w:trPr>
        <w:tc>
          <w:tcPr>
            <w:tcW w:w="5920" w:type="dxa"/>
            <w:vAlign w:val="bottom"/>
            <w:tcBorders>
              <w:bottom w:val="single" w:sz="8" w:color="0C3D25"/>
            </w:tcBorders>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92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$22,063</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$4,063</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$2,267</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$6,330</w:t>
            </w:r>
          </w:p>
        </w:tc>
        <w:tc>
          <w:tcPr>
            <w:tcW w:w="20" w:type="dxa"/>
            <w:vAlign w:val="bottom"/>
          </w:tcPr>
          <w:p>
            <w:pPr>
              <w:spacing w:after="0"/>
              <w:rPr>
                <w:sz w:val="22"/>
                <w:szCs w:val="22"/>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795</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28</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28</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LESS: Post-closing contributions from Stericycle acquisition</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403</w:t>
            </w: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(69)</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73</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ADD: “Restructuring” and “(Gain) Loss from Divestitures, Asset</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92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86</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86</w:t>
            </w:r>
          </w:p>
        </w:tc>
        <w:tc>
          <w:tcPr>
            <w:tcW w:w="20" w:type="dxa"/>
            <w:vAlign w:val="bottom"/>
          </w:tcPr>
          <w:p>
            <w:pPr>
              <w:spacing w:after="0"/>
              <w:rPr>
                <w:sz w:val="20"/>
                <w:szCs w:val="20"/>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ADD: Stericycle transaction and integration costs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88</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88</w:t>
            </w:r>
          </w:p>
        </w:tc>
        <w:tc>
          <w:tcPr>
            <w:tcW w:w="2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r>
        <w:trPr>
          <w:trHeight w:val="253"/>
        </w:trPr>
        <w:tc>
          <w:tcPr>
            <w:tcW w:w="592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$20,865</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$4,278</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$2,194</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$6,472</w:t>
            </w:r>
          </w:p>
        </w:tc>
        <w:tc>
          <w:tcPr>
            <w:tcW w:w="20" w:type="dxa"/>
            <w:vAlign w:val="bottom"/>
          </w:tcPr>
          <w:p>
            <w:pPr>
              <w:spacing w:after="0"/>
              <w:rPr>
                <w:sz w:val="21"/>
                <w:szCs w:val="21"/>
                <w:color w:val="auto"/>
              </w:rPr>
            </w:pPr>
          </w:p>
        </w:tc>
      </w:tr>
      <w:tr>
        <w:trPr>
          <w:trHeight w:val="32"/>
        </w:trPr>
        <w:tc>
          <w:tcPr>
            <w:tcW w:w="5920" w:type="dxa"/>
            <w:vAlign w:val="bottom"/>
            <w:tcBorders>
              <w:bottom w:val="single" w:sz="8" w:color="0C3D25"/>
            </w:tcBorders>
          </w:tcPr>
          <w:p>
            <w:pPr>
              <w:spacing w:after="0"/>
              <w:rPr>
                <w:sz w:val="2"/>
                <w:szCs w:val="2"/>
                <w:color w:val="auto"/>
              </w:rPr>
            </w:pPr>
          </w:p>
        </w:tc>
        <w:tc>
          <w:tcPr>
            <w:tcW w:w="4140" w:type="dxa"/>
            <w:vAlign w:val="bottom"/>
            <w:tcBorders>
              <w:bottom w:val="single" w:sz="8" w:color="0C3D25"/>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473"/>
        </w:trPr>
        <w:tc>
          <w:tcPr>
            <w:tcW w:w="5920" w:type="dxa"/>
            <w:vAlign w:val="bottom"/>
          </w:tcPr>
          <w:p>
            <w:pPr>
              <w:spacing w:after="0"/>
              <w:rPr>
                <w:sz w:val="24"/>
                <w:szCs w:val="24"/>
                <w:color w:val="auto"/>
              </w:rPr>
            </w:pPr>
          </w:p>
        </w:tc>
        <w:tc>
          <w:tcPr>
            <w:tcW w:w="41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0C3D25"/>
              </w:rPr>
              <w:t>Twelve Months Ended December 31, 2023</w:t>
            </w:r>
          </w:p>
        </w:tc>
      </w:tr>
      <w:tr>
        <w:trPr>
          <w:trHeight w:val="22"/>
        </w:trPr>
        <w:tc>
          <w:tcPr>
            <w:tcW w:w="5920" w:type="dxa"/>
            <w:vAlign w:val="bottom"/>
          </w:tcPr>
          <w:p>
            <w:pPr>
              <w:spacing w:after="0" w:line="20" w:lineRule="exact"/>
              <w:rPr>
                <w:sz w:val="1"/>
                <w:szCs w:val="1"/>
                <w:color w:val="auto"/>
              </w:rPr>
            </w:pPr>
          </w:p>
        </w:tc>
        <w:tc>
          <w:tcPr>
            <w:tcW w:w="920" w:type="dxa"/>
            <w:vAlign w:val="bottom"/>
            <w:tcBorders>
              <w:bottom w:val="single" w:sz="8" w:color="0C3D25"/>
            </w:tcBorders>
          </w:tcPr>
          <w:p>
            <w:pPr>
              <w:spacing w:after="0" w:line="20" w:lineRule="exact"/>
              <w:rPr>
                <w:sz w:val="1"/>
                <w:szCs w:val="1"/>
                <w:color w:val="auto"/>
              </w:rPr>
            </w:pPr>
          </w:p>
        </w:tc>
        <w:tc>
          <w:tcPr>
            <w:tcW w:w="1140" w:type="dxa"/>
            <w:vAlign w:val="bottom"/>
            <w:tcBorders>
              <w:bottom w:val="single" w:sz="8" w:color="0C3D25"/>
            </w:tcBorders>
          </w:tcPr>
          <w:p>
            <w:pPr>
              <w:spacing w:after="0" w:line="20" w:lineRule="exact"/>
              <w:rPr>
                <w:sz w:val="1"/>
                <w:szCs w:val="1"/>
                <w:color w:val="auto"/>
              </w:rPr>
            </w:pPr>
          </w:p>
        </w:tc>
        <w:tc>
          <w:tcPr>
            <w:tcW w:w="1200" w:type="dxa"/>
            <w:vAlign w:val="bottom"/>
            <w:tcBorders>
              <w:bottom w:val="single" w:sz="8" w:color="0C3D25"/>
            </w:tcBorders>
          </w:tcPr>
          <w:p>
            <w:pPr>
              <w:spacing w:after="0" w:line="20" w:lineRule="exact"/>
              <w:rPr>
                <w:sz w:val="1"/>
                <w:szCs w:val="1"/>
                <w:color w:val="auto"/>
              </w:rPr>
            </w:pPr>
          </w:p>
        </w:tc>
        <w:tc>
          <w:tcPr>
            <w:tcW w:w="880" w:type="dxa"/>
            <w:vAlign w:val="bottom"/>
            <w:tcBorders>
              <w:bottom w:val="single" w:sz="8" w:color="0C3D25"/>
            </w:tcBorders>
          </w:tcPr>
          <w:p>
            <w:pPr>
              <w:spacing w:after="0" w:line="20" w:lineRule="exact"/>
              <w:rPr>
                <w:sz w:val="1"/>
                <w:szCs w:val="1"/>
                <w:color w:val="auto"/>
              </w:rPr>
            </w:pPr>
          </w:p>
        </w:tc>
        <w:tc>
          <w:tcPr>
            <w:tcW w:w="20" w:type="dxa"/>
            <w:vAlign w:val="bottom"/>
            <w:tcBorders>
              <w:bottom w:val="single" w:sz="8" w:color="0C3D25"/>
            </w:tcBorders>
          </w:tcPr>
          <w:p>
            <w:pPr>
              <w:spacing w:after="0" w:line="20" w:lineRule="exact"/>
              <w:rPr>
                <w:sz w:val="1"/>
                <w:szCs w:val="1"/>
                <w:color w:val="auto"/>
              </w:rPr>
            </w:pPr>
          </w:p>
        </w:tc>
      </w:tr>
      <w:tr>
        <w:trPr>
          <w:trHeight w:val="170"/>
        </w:trPr>
        <w:tc>
          <w:tcPr>
            <w:tcW w:w="5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27"/>
              <w:spacing w:after="0" w:line="170" w:lineRule="exact"/>
              <w:rPr>
                <w:sz w:val="20"/>
                <w:szCs w:val="20"/>
                <w:color w:val="auto"/>
              </w:rPr>
            </w:pPr>
            <w:r>
              <w:rPr>
                <w:rFonts w:ascii="Arial" w:cs="Arial" w:eastAsia="Arial" w:hAnsi="Arial"/>
                <w:sz w:val="16"/>
                <w:szCs w:val="16"/>
                <w:b w:val="1"/>
                <w:bCs w:val="1"/>
                <w:color w:val="0C3D25"/>
              </w:rPr>
              <w:t>Depreciation,</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C3D25"/>
              </w:rPr>
              <w:t>Income from</w:t>
            </w:r>
          </w:p>
        </w:tc>
        <w:tc>
          <w:tcPr>
            <w:tcW w:w="12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C3D25"/>
              </w:rPr>
              <w:t>Depletion and</w:t>
            </w: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6"/>
                <w:szCs w:val="16"/>
                <w:b w:val="1"/>
                <w:bCs w:val="1"/>
                <w:color w:val="0C3D25"/>
              </w:rPr>
              <w:t>Operating</w:t>
            </w:r>
          </w:p>
        </w:tc>
      </w:tr>
      <w:tr>
        <w:trPr>
          <w:trHeight w:val="184"/>
        </w:trPr>
        <w:tc>
          <w:tcPr>
            <w:tcW w:w="59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b w:val="1"/>
                <w:bCs w:val="1"/>
                <w:color w:val="0C3D25"/>
              </w:rPr>
              <w:t>Revenue</w:t>
            </w:r>
          </w:p>
        </w:tc>
        <w:tc>
          <w:tcPr>
            <w:tcW w:w="1140" w:type="dxa"/>
            <w:vAlign w:val="bottom"/>
          </w:tcPr>
          <w:p>
            <w:pPr>
              <w:jc w:val="right"/>
              <w:ind w:right="25"/>
              <w:spacing w:after="0"/>
              <w:rPr>
                <w:sz w:val="20"/>
                <w:szCs w:val="20"/>
                <w:color w:val="auto"/>
              </w:rPr>
            </w:pPr>
            <w:r>
              <w:rPr>
                <w:rFonts w:ascii="Arial" w:cs="Arial" w:eastAsia="Arial" w:hAnsi="Arial"/>
                <w:sz w:val="16"/>
                <w:szCs w:val="16"/>
                <w:b w:val="1"/>
                <w:bCs w:val="1"/>
                <w:color w:val="0C3D25"/>
              </w:rPr>
              <w:t>Operations</w:t>
            </w: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0C3D25"/>
              </w:rPr>
              <w:t>Amortization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0C3D25"/>
              </w:rPr>
              <w:t>EBITDA</w:t>
            </w:r>
          </w:p>
        </w:tc>
      </w:tr>
      <w:tr>
        <w:trPr>
          <w:trHeight w:val="22"/>
        </w:trPr>
        <w:tc>
          <w:tcPr>
            <w:tcW w:w="5920" w:type="dxa"/>
            <w:vAlign w:val="bottom"/>
            <w:tcBorders>
              <w:bottom w:val="single" w:sz="8" w:color="0C3D25"/>
            </w:tcBorders>
          </w:tcPr>
          <w:p>
            <w:pPr>
              <w:spacing w:after="0" w:line="20" w:lineRule="exact"/>
              <w:rPr>
                <w:sz w:val="1"/>
                <w:szCs w:val="1"/>
                <w:color w:val="auto"/>
              </w:rPr>
            </w:pPr>
          </w:p>
        </w:tc>
        <w:tc>
          <w:tcPr>
            <w:tcW w:w="920" w:type="dxa"/>
            <w:vAlign w:val="bottom"/>
            <w:tcBorders>
              <w:bottom w:val="single" w:sz="8" w:color="0C3D25"/>
            </w:tcBorders>
          </w:tcPr>
          <w:p>
            <w:pPr>
              <w:spacing w:after="0" w:line="20" w:lineRule="exact"/>
              <w:rPr>
                <w:sz w:val="1"/>
                <w:szCs w:val="1"/>
                <w:color w:val="auto"/>
              </w:rPr>
            </w:pPr>
          </w:p>
        </w:tc>
        <w:tc>
          <w:tcPr>
            <w:tcW w:w="1140" w:type="dxa"/>
            <w:vAlign w:val="bottom"/>
            <w:tcBorders>
              <w:bottom w:val="single" w:sz="8" w:color="0C3D25"/>
            </w:tcBorders>
          </w:tcPr>
          <w:p>
            <w:pPr>
              <w:spacing w:after="0" w:line="20" w:lineRule="exact"/>
              <w:rPr>
                <w:sz w:val="1"/>
                <w:szCs w:val="1"/>
                <w:color w:val="auto"/>
              </w:rPr>
            </w:pPr>
          </w:p>
        </w:tc>
        <w:tc>
          <w:tcPr>
            <w:tcW w:w="1200" w:type="dxa"/>
            <w:vAlign w:val="bottom"/>
            <w:tcBorders>
              <w:bottom w:val="single" w:sz="8" w:color="0C3D25"/>
            </w:tcBorders>
          </w:tcPr>
          <w:p>
            <w:pPr>
              <w:spacing w:after="0" w:line="20" w:lineRule="exact"/>
              <w:rPr>
                <w:sz w:val="1"/>
                <w:szCs w:val="1"/>
                <w:color w:val="auto"/>
              </w:rPr>
            </w:pPr>
          </w:p>
        </w:tc>
        <w:tc>
          <w:tcPr>
            <w:tcW w:w="880" w:type="dxa"/>
            <w:vAlign w:val="bottom"/>
            <w:tcBorders>
              <w:bottom w:val="single" w:sz="8" w:color="0C3D2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59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$20,426</w:t>
            </w:r>
          </w:p>
        </w:tc>
        <w:tc>
          <w:tcPr>
            <w:tcW w:w="114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$3,575</w:t>
            </w:r>
          </w:p>
        </w:tc>
        <w:tc>
          <w:tcPr>
            <w:tcW w:w="1200" w:type="dxa"/>
            <w:vAlign w:val="bottom"/>
            <w:tcBorders>
              <w:bottom w:val="single" w:sz="8" w:color="0C3D25"/>
            </w:tcBorders>
          </w:tcPr>
          <w:p>
            <w:pPr>
              <w:jc w:val="right"/>
              <w:ind w:right="227"/>
              <w:spacing w:after="0"/>
              <w:rPr>
                <w:sz w:val="20"/>
                <w:szCs w:val="20"/>
                <w:color w:val="auto"/>
              </w:rPr>
            </w:pPr>
            <w:r>
              <w:rPr>
                <w:rFonts w:ascii="Arial" w:cs="Arial" w:eastAsia="Arial" w:hAnsi="Arial"/>
                <w:sz w:val="20"/>
                <w:szCs w:val="20"/>
                <w:color w:val="auto"/>
              </w:rPr>
              <w:t>$2,071</w:t>
            </w:r>
          </w:p>
        </w:tc>
        <w:tc>
          <w:tcPr>
            <w:tcW w:w="88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$5,646</w:t>
            </w:r>
          </w:p>
        </w:tc>
        <w:tc>
          <w:tcPr>
            <w:tcW w:w="20" w:type="dxa"/>
            <w:vAlign w:val="bottom"/>
          </w:tcPr>
          <w:p>
            <w:pPr>
              <w:spacing w:after="0"/>
              <w:rPr>
                <w:sz w:val="21"/>
                <w:szCs w:val="21"/>
                <w:color w:val="auto"/>
              </w:rPr>
            </w:pPr>
          </w:p>
        </w:tc>
      </w:tr>
      <w:tr>
        <w:trPr>
          <w:trHeight w:val="239"/>
        </w:trPr>
        <w:tc>
          <w:tcPr>
            <w:tcW w:w="5920" w:type="dxa"/>
            <w:vAlign w:val="bottom"/>
            <w:tcBorders>
              <w:bottom w:val="single" w:sz="8" w:color="0C3D25"/>
            </w:tcBorders>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Borders>
              <w:bottom w:val="single" w:sz="8" w:color="0C3D25"/>
            </w:tcBorders>
          </w:tcPr>
          <w:p>
            <w:pPr>
              <w:spacing w:after="0"/>
              <w:rPr>
                <w:sz w:val="20"/>
                <w:szCs w:val="20"/>
                <w:color w:val="auto"/>
              </w:rPr>
            </w:pPr>
          </w:p>
        </w:tc>
        <w:tc>
          <w:tcPr>
            <w:tcW w:w="1140" w:type="dxa"/>
            <w:vAlign w:val="bottom"/>
            <w:tcBorders>
              <w:bottom w:val="single" w:sz="8" w:color="0C3D25"/>
            </w:tcBorders>
          </w:tcPr>
          <w:p>
            <w:pPr>
              <w:spacing w:after="0"/>
              <w:rPr>
                <w:sz w:val="20"/>
                <w:szCs w:val="20"/>
                <w:color w:val="auto"/>
              </w:rPr>
            </w:pPr>
          </w:p>
        </w:tc>
        <w:tc>
          <w:tcPr>
            <w:tcW w:w="1200" w:type="dxa"/>
            <w:vAlign w:val="bottom"/>
            <w:tcBorders>
              <w:bottom w:val="single" w:sz="8" w:color="0C3D25"/>
            </w:tcBorders>
          </w:tcPr>
          <w:p>
            <w:pPr>
              <w:spacing w:after="0"/>
              <w:rPr>
                <w:sz w:val="20"/>
                <w:szCs w:val="20"/>
                <w:color w:val="auto"/>
              </w:rPr>
            </w:pPr>
          </w:p>
        </w:tc>
        <w:tc>
          <w:tcPr>
            <w:tcW w:w="880" w:type="dxa"/>
            <w:vAlign w:val="bottom"/>
            <w:tcBorders>
              <w:bottom w:val="single" w:sz="8" w:color="0C3D25"/>
            </w:tcBorders>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920" w:type="dxa"/>
            <w:vAlign w:val="bottom"/>
            <w:tcBorders>
              <w:bottom w:val="single" w:sz="8" w:color="0C3D25"/>
            </w:tcBorders>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622</w:t>
            </w:r>
          </w:p>
        </w:tc>
        <w:tc>
          <w:tcPr>
            <w:tcW w:w="114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0C3D25"/>
            </w:tcBorders>
          </w:tcPr>
          <w:p>
            <w:pPr>
              <w:jc w:val="right"/>
              <w:ind w:right="227"/>
              <w:spacing w:after="0"/>
              <w:rPr>
                <w:sz w:val="20"/>
                <w:szCs w:val="20"/>
                <w:color w:val="auto"/>
              </w:rPr>
            </w:pPr>
            <w:r>
              <w:rPr>
                <w:rFonts w:ascii="Arial" w:cs="Arial" w:eastAsia="Arial" w:hAnsi="Arial"/>
                <w:sz w:val="20"/>
                <w:szCs w:val="20"/>
                <w:color w:val="auto"/>
              </w:rPr>
              <w:t>1</w:t>
            </w:r>
          </w:p>
        </w:tc>
        <w:tc>
          <w:tcPr>
            <w:tcW w:w="88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36"/>
        </w:trPr>
        <w:tc>
          <w:tcPr>
            <w:tcW w:w="5920" w:type="dxa"/>
            <w:vAlign w:val="bottom"/>
          </w:tcPr>
          <w:p>
            <w:pPr>
              <w:ind w:left="260"/>
              <w:spacing w:after="0"/>
              <w:rPr>
                <w:sz w:val="20"/>
                <w:szCs w:val="20"/>
                <w:color w:val="auto"/>
              </w:rPr>
            </w:pPr>
            <w:r>
              <w:rPr>
                <w:rFonts w:ascii="Arial" w:cs="Arial" w:eastAsia="Arial" w:hAnsi="Arial"/>
                <w:sz w:val="20"/>
                <w:szCs w:val="20"/>
                <w:color w:val="auto"/>
              </w:rPr>
              <w:t>ADD: “Restructuring” and “(Gain) Loss from Divestitures, Asset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920" w:type="dxa"/>
            <w:vAlign w:val="bottom"/>
            <w:tcBorders>
              <w:bottom w:val="single" w:sz="8" w:color="0C3D25"/>
            </w:tcBorders>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C3D25"/>
            </w:tcBorders>
          </w:tcPr>
          <w:p>
            <w:pPr>
              <w:jc w:val="right"/>
              <w:ind w:right="185"/>
              <w:spacing w:after="0"/>
              <w:rPr>
                <w:sz w:val="20"/>
                <w:szCs w:val="20"/>
                <w:color w:val="auto"/>
              </w:rPr>
            </w:pPr>
            <w:r>
              <w:rPr>
                <w:rFonts w:ascii="Arial" w:cs="Arial" w:eastAsia="Arial" w:hAnsi="Arial"/>
                <w:sz w:val="20"/>
                <w:szCs w:val="20"/>
                <w:color w:val="auto"/>
              </w:rPr>
              <w:t>247</w:t>
            </w:r>
          </w:p>
        </w:tc>
        <w:tc>
          <w:tcPr>
            <w:tcW w:w="1200" w:type="dxa"/>
            <w:vAlign w:val="bottom"/>
            <w:tcBorders>
              <w:bottom w:val="single" w:sz="8" w:color="0C3D25"/>
            </w:tcBorders>
          </w:tcPr>
          <w:p>
            <w:pPr>
              <w:jc w:val="right"/>
              <w:ind w:right="227"/>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C3D25"/>
            </w:tcBorders>
          </w:tcPr>
          <w:p>
            <w:pPr>
              <w:jc w:val="right"/>
              <w:ind w:right="25"/>
              <w:spacing w:after="0"/>
              <w:rPr>
                <w:sz w:val="20"/>
                <w:szCs w:val="20"/>
                <w:color w:val="auto"/>
              </w:rPr>
            </w:pPr>
            <w:r>
              <w:rPr>
                <w:rFonts w:ascii="Arial" w:cs="Arial" w:eastAsia="Arial" w:hAnsi="Arial"/>
                <w:sz w:val="20"/>
                <w:szCs w:val="20"/>
                <w:color w:val="auto"/>
              </w:rPr>
              <w:t>247</w:t>
            </w:r>
          </w:p>
        </w:tc>
        <w:tc>
          <w:tcPr>
            <w:tcW w:w="20" w:type="dxa"/>
            <w:vAlign w:val="bottom"/>
          </w:tcPr>
          <w:p>
            <w:pPr>
              <w:spacing w:after="0"/>
              <w:rPr>
                <w:sz w:val="21"/>
                <w:szCs w:val="21"/>
                <w:color w:val="auto"/>
              </w:rPr>
            </w:pPr>
          </w:p>
        </w:tc>
      </w:tr>
      <w:tr>
        <w:trPr>
          <w:trHeight w:val="236"/>
        </w:trPr>
        <w:tc>
          <w:tcPr>
            <w:tcW w:w="592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$19,804</w:t>
            </w:r>
          </w:p>
        </w:tc>
        <w:tc>
          <w:tcPr>
            <w:tcW w:w="1140" w:type="dxa"/>
            <w:vAlign w:val="bottom"/>
          </w:tcPr>
          <w:p>
            <w:pPr>
              <w:jc w:val="right"/>
              <w:ind w:right="185"/>
              <w:spacing w:after="0"/>
              <w:rPr>
                <w:sz w:val="20"/>
                <w:szCs w:val="20"/>
                <w:color w:val="auto"/>
              </w:rPr>
            </w:pPr>
            <w:r>
              <w:rPr>
                <w:rFonts w:ascii="Arial" w:cs="Arial" w:eastAsia="Arial" w:hAnsi="Arial"/>
                <w:sz w:val="20"/>
                <w:szCs w:val="20"/>
                <w:color w:val="auto"/>
              </w:rPr>
              <w:t>$3,822</w:t>
            </w:r>
          </w:p>
        </w:tc>
        <w:tc>
          <w:tcPr>
            <w:tcW w:w="1200" w:type="dxa"/>
            <w:vAlign w:val="bottom"/>
          </w:tcPr>
          <w:p>
            <w:pPr>
              <w:jc w:val="right"/>
              <w:ind w:right="227"/>
              <w:spacing w:after="0"/>
              <w:rPr>
                <w:sz w:val="20"/>
                <w:szCs w:val="20"/>
                <w:color w:val="auto"/>
              </w:rPr>
            </w:pPr>
            <w:r>
              <w:rPr>
                <w:rFonts w:ascii="Arial" w:cs="Arial" w:eastAsia="Arial" w:hAnsi="Arial"/>
                <w:sz w:val="20"/>
                <w:szCs w:val="20"/>
                <w:color w:val="auto"/>
              </w:rPr>
              <w:t>$2,070</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$5,892</w:t>
            </w:r>
          </w:p>
        </w:tc>
        <w:tc>
          <w:tcPr>
            <w:tcW w:w="20" w:type="dxa"/>
            <w:vAlign w:val="bottom"/>
          </w:tcPr>
          <w:p>
            <w:pPr>
              <w:spacing w:after="0"/>
              <w:rPr>
                <w:sz w:val="20"/>
                <w:szCs w:val="20"/>
                <w:color w:val="auto"/>
              </w:rPr>
            </w:pPr>
          </w:p>
        </w:tc>
      </w:tr>
      <w:tr>
        <w:trPr>
          <w:trHeight w:val="32"/>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080"/>
          </w:cols>
          <w:pgMar w:left="900" w:top="909" w:right="900" w:bottom="315" w:gutter="0" w:footer="0" w:header="0"/>
        </w:sectPr>
      </w:pPr>
    </w:p>
    <w:p>
      <w:pPr>
        <w:spacing w:after="0" w:line="319" w:lineRule="exact"/>
        <w:rPr>
          <w:sz w:val="20"/>
          <w:szCs w:val="20"/>
          <w:color w:val="auto"/>
        </w:rPr>
      </w:pPr>
    </w:p>
    <w:p>
      <w:pPr>
        <w:ind w:left="7420"/>
        <w:spacing w:after="0"/>
        <w:tabs>
          <w:tab w:leader="none" w:pos="9460" w:val="left"/>
        </w:tabs>
        <w:rPr>
          <w:sz w:val="20"/>
          <w:szCs w:val="20"/>
          <w:color w:val="auto"/>
        </w:rPr>
      </w:pPr>
      <w:r>
        <w:rPr>
          <w:rFonts w:ascii="Arial" w:cs="Arial" w:eastAsia="Arial" w:hAnsi="Arial"/>
          <w:sz w:val="20"/>
          <w:szCs w:val="20"/>
          <w:color w:val="auto"/>
        </w:rPr>
        <w:t>2026 Proxy Statement</w:t>
      </w:r>
      <w:r>
        <w:rPr>
          <w:sz w:val="20"/>
          <w:szCs w:val="20"/>
          <w:color w:val="auto"/>
        </w:rPr>
        <w:tab/>
      </w:r>
      <w:r>
        <w:rPr>
          <w:rFonts w:ascii="Arial" w:cs="Arial" w:eastAsia="Arial" w:hAnsi="Arial"/>
          <w:sz w:val="36"/>
          <w:szCs w:val="36"/>
          <w:b w:val="1"/>
          <w:bCs w:val="1"/>
          <w:color w:val="0C3D25"/>
        </w:rPr>
        <w:t xml:space="preserve">| </w:t>
      </w:r>
      <w:r>
        <w:rPr>
          <w:rFonts w:ascii="Arial" w:cs="Arial" w:eastAsia="Arial" w:hAnsi="Arial"/>
          <w:sz w:val="19"/>
          <w:szCs w:val="19"/>
          <w:color w:val="00000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-207010</wp:posOffset>
            </wp:positionV>
            <wp:extent cx="538480" cy="161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8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80"/>
          </w:cols>
          <w:pgMar w:left="900" w:top="909" w:right="900" w:bottom="315" w:gutter="0" w:footer="0" w:header="0"/>
          <w:type w:val="continuous"/>
        </w:sectPr>
      </w:pPr>
    </w:p>
    <w:bookmarkStart w:id="83" w:name="page84"/>
    <w:bookmarkEnd w:id="83"/>
    <w:tbl>
      <w:tblPr>
        <w:tblLayout w:type="fixed"/>
        <w:tblInd w:w="2"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4140" w:type="dxa"/>
            <w:vAlign w:val="bottom"/>
            <w:gridSpan w:val="4"/>
          </w:tcPr>
          <w:p>
            <w:pPr>
              <w:jc w:val="right"/>
              <w:ind w:right="466"/>
              <w:spacing w:after="0"/>
              <w:rPr>
                <w:sz w:val="20"/>
                <w:szCs w:val="20"/>
                <w:color w:val="auto"/>
              </w:rPr>
            </w:pPr>
            <w:r>
              <w:rPr>
                <w:rFonts w:ascii="Arial" w:cs="Arial" w:eastAsia="Arial" w:hAnsi="Arial"/>
                <w:sz w:val="16"/>
                <w:szCs w:val="16"/>
                <w:b w:val="1"/>
                <w:bCs w:val="1"/>
                <w:color w:val="0C3D25"/>
              </w:rPr>
              <w:t>Twelve Months Ended December 31, 2022</w:t>
            </w:r>
          </w:p>
        </w:tc>
      </w:tr>
      <w:tr>
        <w:trPr>
          <w:trHeight w:val="42"/>
        </w:trPr>
        <w:tc>
          <w:tcPr>
            <w:tcW w:w="5920" w:type="dxa"/>
            <w:vAlign w:val="bottom"/>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r>
      <w:tr>
        <w:trPr>
          <w:trHeight w:val="190"/>
        </w:trPr>
        <w:tc>
          <w:tcPr>
            <w:tcW w:w="5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6"/>
                <w:szCs w:val="16"/>
                <w:b w:val="1"/>
                <w:bCs w:val="1"/>
                <w:color w:val="0C3D25"/>
              </w:rPr>
              <w:t>Depreciation,</w:t>
            </w:r>
          </w:p>
        </w:tc>
        <w:tc>
          <w:tcPr>
            <w:tcW w:w="880" w:type="dxa"/>
            <w:vAlign w:val="bottom"/>
          </w:tcPr>
          <w:p>
            <w:pPr>
              <w:spacing w:after="0"/>
              <w:rPr>
                <w:sz w:val="16"/>
                <w:szCs w:val="16"/>
                <w:color w:val="auto"/>
              </w:rPr>
            </w:pPr>
          </w:p>
        </w:tc>
      </w:tr>
      <w:tr>
        <w:trPr>
          <w:trHeight w:val="160"/>
        </w:trPr>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Income from</w:t>
            </w:r>
          </w:p>
        </w:tc>
        <w:tc>
          <w:tcPr>
            <w:tcW w:w="12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Depletion and</w:t>
            </w:r>
          </w:p>
        </w:tc>
        <w:tc>
          <w:tcPr>
            <w:tcW w:w="88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Operating</w:t>
            </w:r>
          </w:p>
        </w:tc>
      </w:tr>
      <w:tr>
        <w:trPr>
          <w:trHeight w:val="184"/>
        </w:trPr>
        <w:tc>
          <w:tcPr>
            <w:tcW w:w="592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C3D25"/>
              </w:rPr>
              <w:t>Revenue</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0C3D25"/>
              </w:rPr>
              <w:t>Operations</w:t>
            </w:r>
          </w:p>
        </w:tc>
        <w:tc>
          <w:tcPr>
            <w:tcW w:w="1200" w:type="dxa"/>
            <w:vAlign w:val="bottom"/>
          </w:tcPr>
          <w:p>
            <w:pPr>
              <w:jc w:val="right"/>
              <w:ind w:right="28"/>
              <w:spacing w:after="0"/>
              <w:rPr>
                <w:sz w:val="20"/>
                <w:szCs w:val="20"/>
                <w:color w:val="auto"/>
              </w:rPr>
            </w:pPr>
            <w:r>
              <w:rPr>
                <w:rFonts w:ascii="Arial" w:cs="Arial" w:eastAsia="Arial" w:hAnsi="Arial"/>
                <w:sz w:val="16"/>
                <w:szCs w:val="16"/>
                <w:b w:val="1"/>
                <w:bCs w:val="1"/>
                <w:color w:val="0C3D25"/>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C3D25"/>
              </w:rPr>
              <w:t>EBITDA</w:t>
            </w:r>
          </w:p>
        </w:tc>
      </w:tr>
      <w:tr>
        <w:trPr>
          <w:trHeight w:val="42"/>
        </w:trPr>
        <w:tc>
          <w:tcPr>
            <w:tcW w:w="5920" w:type="dxa"/>
            <w:vAlign w:val="bottom"/>
            <w:tcBorders>
              <w:bottom w:val="single" w:sz="8" w:color="0C3D25"/>
            </w:tcBorders>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r>
      <w:tr>
        <w:trPr>
          <w:trHeight w:val="263"/>
        </w:trPr>
        <w:tc>
          <w:tcPr>
            <w:tcW w:w="592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$19,698</w:t>
            </w:r>
          </w:p>
        </w:tc>
        <w:tc>
          <w:tcPr>
            <w:tcW w:w="1140" w:type="dxa"/>
            <w:vAlign w:val="bottom"/>
          </w:tcPr>
          <w:p>
            <w:pPr>
              <w:jc w:val="right"/>
              <w:ind w:right="186"/>
              <w:spacing w:after="0"/>
              <w:rPr>
                <w:sz w:val="20"/>
                <w:szCs w:val="20"/>
                <w:color w:val="auto"/>
              </w:rPr>
            </w:pPr>
            <w:r>
              <w:rPr>
                <w:rFonts w:ascii="Arial" w:cs="Arial" w:eastAsia="Arial" w:hAnsi="Arial"/>
                <w:sz w:val="20"/>
                <w:szCs w:val="20"/>
                <w:color w:val="auto"/>
              </w:rPr>
              <w:t>$3,365</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$2,038</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$5,403</w:t>
            </w: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53"/>
        </w:trPr>
        <w:tc>
          <w:tcPr>
            <w:tcW w:w="592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779</w:t>
            </w:r>
          </w:p>
        </w:tc>
        <w:tc>
          <w:tcPr>
            <w:tcW w:w="1140" w:type="dxa"/>
            <w:vAlign w:val="bottom"/>
          </w:tcPr>
          <w:p>
            <w:pPr>
              <w:jc w:val="right"/>
              <w:ind w:right="146"/>
              <w:spacing w:after="0"/>
              <w:rPr>
                <w:sz w:val="20"/>
                <w:szCs w:val="20"/>
                <w:color w:val="auto"/>
              </w:rPr>
            </w:pPr>
            <w:r>
              <w:rPr>
                <w:rFonts w:ascii="Arial" w:cs="Arial" w:eastAsia="Arial" w:hAnsi="Arial"/>
                <w:sz w:val="20"/>
                <w:szCs w:val="20"/>
                <w:color w:val="auto"/>
              </w:rPr>
              <w:t>(9)</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2</w:t>
            </w: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ADD: “Restructuring” and “(Gain) Loss from Divestitures, Asset</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92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6"/>
              <w:spacing w:after="0"/>
              <w:rPr>
                <w:sz w:val="20"/>
                <w:szCs w:val="20"/>
                <w:color w:val="auto"/>
              </w:rPr>
            </w:pPr>
            <w:r>
              <w:rPr>
                <w:rFonts w:ascii="Arial" w:cs="Arial" w:eastAsia="Arial" w:hAnsi="Arial"/>
                <w:sz w:val="20"/>
                <w:szCs w:val="20"/>
                <w:color w:val="auto"/>
              </w:rPr>
              <w:t>63</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63</w:t>
            </w: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79"/>
        </w:trPr>
        <w:tc>
          <w:tcPr>
            <w:tcW w:w="5920" w:type="dxa"/>
            <w:vAlign w:val="bottom"/>
            <w:tcBorders>
              <w:bottom w:val="single" w:sz="8" w:color="0C3D25"/>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(a)</w:t>
            </w:r>
          </w:p>
        </w:tc>
        <w:tc>
          <w:tcPr>
            <w:tcW w:w="920" w:type="dxa"/>
            <w:vAlign w:val="bottom"/>
            <w:tcBorders>
              <w:bottom w:val="single" w:sz="8" w:color="0C3D25"/>
            </w:tcBorders>
          </w:tcPr>
          <w:p>
            <w:pPr>
              <w:jc w:val="right"/>
              <w:ind w:right="26"/>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C3D25"/>
            </w:tcBorders>
          </w:tcPr>
          <w:p>
            <w:pPr>
              <w:jc w:val="right"/>
              <w:ind w:right="186"/>
              <w:spacing w:after="0"/>
              <w:rPr>
                <w:sz w:val="20"/>
                <w:szCs w:val="20"/>
                <w:color w:val="auto"/>
              </w:rPr>
            </w:pPr>
            <w:r>
              <w:rPr>
                <w:rFonts w:ascii="Arial" w:cs="Arial" w:eastAsia="Arial" w:hAnsi="Arial"/>
                <w:sz w:val="20"/>
                <w:szCs w:val="20"/>
                <w:color w:val="auto"/>
              </w:rPr>
              <w:t>2</w:t>
            </w:r>
          </w:p>
        </w:tc>
        <w:tc>
          <w:tcPr>
            <w:tcW w:w="1200" w:type="dxa"/>
            <w:vAlign w:val="bottom"/>
            <w:tcBorders>
              <w:bottom w:val="single" w:sz="8" w:color="0C3D25"/>
            </w:tcBorders>
          </w:tcPr>
          <w:p>
            <w:pPr>
              <w:jc w:val="right"/>
              <w:ind w:right="228"/>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C3D25"/>
            </w:tcBorders>
          </w:tcPr>
          <w:p>
            <w:pPr>
              <w:jc w:val="right"/>
              <w:ind w:right="26"/>
              <w:spacing w:after="0"/>
              <w:rPr>
                <w:sz w:val="20"/>
                <w:szCs w:val="20"/>
                <w:color w:val="auto"/>
              </w:rPr>
            </w:pPr>
            <w:r>
              <w:rPr>
                <w:rFonts w:ascii="Arial" w:cs="Arial" w:eastAsia="Arial" w:hAnsi="Arial"/>
                <w:sz w:val="20"/>
                <w:szCs w:val="20"/>
                <w:color w:val="auto"/>
              </w:rPr>
              <w:t>2</w:t>
            </w:r>
          </w:p>
        </w:tc>
      </w:tr>
      <w:tr>
        <w:trPr>
          <w:trHeight w:val="252"/>
        </w:trPr>
        <w:tc>
          <w:tcPr>
            <w:tcW w:w="592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$18,919</w:t>
            </w:r>
          </w:p>
        </w:tc>
        <w:tc>
          <w:tcPr>
            <w:tcW w:w="1140" w:type="dxa"/>
            <w:vAlign w:val="bottom"/>
          </w:tcPr>
          <w:p>
            <w:pPr>
              <w:jc w:val="right"/>
              <w:ind w:right="186"/>
              <w:spacing w:after="0"/>
              <w:rPr>
                <w:sz w:val="20"/>
                <w:szCs w:val="20"/>
                <w:color w:val="auto"/>
              </w:rPr>
            </w:pPr>
            <w:r>
              <w:rPr>
                <w:rFonts w:ascii="Arial" w:cs="Arial" w:eastAsia="Arial" w:hAnsi="Arial"/>
                <w:sz w:val="20"/>
                <w:szCs w:val="20"/>
                <w:color w:val="auto"/>
              </w:rPr>
              <w:t>$3,439</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$2,036</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$5,475</w:t>
            </w:r>
          </w:p>
        </w:tc>
      </w:tr>
      <w:tr>
        <w:trPr>
          <w:trHeight w:val="32"/>
        </w:trPr>
        <w:tc>
          <w:tcPr>
            <w:tcW w:w="5920" w:type="dxa"/>
            <w:vAlign w:val="bottom"/>
            <w:tcBorders>
              <w:bottom w:val="single" w:sz="8" w:color="0C3D25"/>
            </w:tcBorders>
          </w:tcPr>
          <w:p>
            <w:pPr>
              <w:spacing w:after="0"/>
              <w:rPr>
                <w:sz w:val="2"/>
                <w:szCs w:val="2"/>
                <w:color w:val="auto"/>
              </w:rPr>
            </w:pPr>
          </w:p>
        </w:tc>
        <w:tc>
          <w:tcPr>
            <w:tcW w:w="4140" w:type="dxa"/>
            <w:vAlign w:val="bottom"/>
            <w:tcBorders>
              <w:bottom w:val="single" w:sz="8" w:color="0C3D25"/>
            </w:tcBorders>
            <w:gridSpan w:val="4"/>
          </w:tcPr>
          <w:p>
            <w:pPr>
              <w:spacing w:after="0"/>
              <w:rPr>
                <w:sz w:val="2"/>
                <w:szCs w:val="2"/>
                <w:color w:val="auto"/>
              </w:rPr>
            </w:pPr>
          </w:p>
        </w:tc>
      </w:tr>
      <w:tr>
        <w:trPr>
          <w:trHeight w:val="473"/>
        </w:trPr>
        <w:tc>
          <w:tcPr>
            <w:tcW w:w="5920" w:type="dxa"/>
            <w:vAlign w:val="bottom"/>
          </w:tcPr>
          <w:p>
            <w:pPr>
              <w:spacing w:after="0"/>
              <w:rPr>
                <w:sz w:val="24"/>
                <w:szCs w:val="24"/>
                <w:color w:val="auto"/>
              </w:rPr>
            </w:pPr>
          </w:p>
        </w:tc>
        <w:tc>
          <w:tcPr>
            <w:tcW w:w="4140" w:type="dxa"/>
            <w:vAlign w:val="bottom"/>
            <w:gridSpan w:val="4"/>
          </w:tcPr>
          <w:p>
            <w:pPr>
              <w:jc w:val="right"/>
              <w:ind w:right="466"/>
              <w:spacing w:after="0"/>
              <w:rPr>
                <w:sz w:val="20"/>
                <w:szCs w:val="20"/>
                <w:color w:val="auto"/>
              </w:rPr>
            </w:pPr>
            <w:r>
              <w:rPr>
                <w:rFonts w:ascii="Arial" w:cs="Arial" w:eastAsia="Arial" w:hAnsi="Arial"/>
                <w:sz w:val="16"/>
                <w:szCs w:val="16"/>
                <w:b w:val="1"/>
                <w:bCs w:val="1"/>
                <w:color w:val="0C3D25"/>
              </w:rPr>
              <w:t>Twelve Months Ended December 31, 2021</w:t>
            </w:r>
          </w:p>
        </w:tc>
      </w:tr>
      <w:tr>
        <w:trPr>
          <w:trHeight w:val="42"/>
        </w:trPr>
        <w:tc>
          <w:tcPr>
            <w:tcW w:w="5920" w:type="dxa"/>
            <w:vAlign w:val="bottom"/>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r>
      <w:tr>
        <w:trPr>
          <w:trHeight w:val="190"/>
        </w:trPr>
        <w:tc>
          <w:tcPr>
            <w:tcW w:w="5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6"/>
                <w:szCs w:val="16"/>
                <w:b w:val="1"/>
                <w:bCs w:val="1"/>
                <w:color w:val="0C3D25"/>
              </w:rPr>
              <w:t>Depreciation,</w:t>
            </w:r>
          </w:p>
        </w:tc>
        <w:tc>
          <w:tcPr>
            <w:tcW w:w="880" w:type="dxa"/>
            <w:vAlign w:val="bottom"/>
          </w:tcPr>
          <w:p>
            <w:pPr>
              <w:spacing w:after="0"/>
              <w:rPr>
                <w:sz w:val="16"/>
                <w:szCs w:val="16"/>
                <w:color w:val="auto"/>
              </w:rPr>
            </w:pPr>
          </w:p>
        </w:tc>
      </w:tr>
      <w:tr>
        <w:trPr>
          <w:trHeight w:val="160"/>
        </w:trPr>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C3D25"/>
              </w:rPr>
              <w:t>Income from</w:t>
            </w:r>
          </w:p>
        </w:tc>
        <w:tc>
          <w:tcPr>
            <w:tcW w:w="12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C3D25"/>
              </w:rPr>
              <w:t>Depletion and</w:t>
            </w:r>
          </w:p>
        </w:tc>
        <w:tc>
          <w:tcPr>
            <w:tcW w:w="880" w:type="dxa"/>
            <w:vAlign w:val="bottom"/>
          </w:tcPr>
          <w:p>
            <w:pPr>
              <w:jc w:val="right"/>
              <w:spacing w:after="0" w:line="160" w:lineRule="exact"/>
              <w:rPr>
                <w:sz w:val="20"/>
                <w:szCs w:val="20"/>
                <w:color w:val="auto"/>
              </w:rPr>
            </w:pPr>
            <w:r>
              <w:rPr>
                <w:rFonts w:ascii="Arial" w:cs="Arial" w:eastAsia="Arial" w:hAnsi="Arial"/>
                <w:sz w:val="16"/>
                <w:szCs w:val="16"/>
                <w:b w:val="1"/>
                <w:bCs w:val="1"/>
                <w:color w:val="0C3D25"/>
              </w:rPr>
              <w:t>Operating</w:t>
            </w:r>
          </w:p>
        </w:tc>
      </w:tr>
      <w:tr>
        <w:trPr>
          <w:trHeight w:val="184"/>
        </w:trPr>
        <w:tc>
          <w:tcPr>
            <w:tcW w:w="592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C3D25"/>
              </w:rPr>
              <w:t>Revenue</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0C3D25"/>
              </w:rPr>
              <w:t>Operations</w:t>
            </w:r>
          </w:p>
        </w:tc>
        <w:tc>
          <w:tcPr>
            <w:tcW w:w="1200" w:type="dxa"/>
            <w:vAlign w:val="bottom"/>
          </w:tcPr>
          <w:p>
            <w:pPr>
              <w:jc w:val="right"/>
              <w:ind w:right="28"/>
              <w:spacing w:after="0"/>
              <w:rPr>
                <w:sz w:val="20"/>
                <w:szCs w:val="20"/>
                <w:color w:val="auto"/>
              </w:rPr>
            </w:pPr>
            <w:r>
              <w:rPr>
                <w:rFonts w:ascii="Arial" w:cs="Arial" w:eastAsia="Arial" w:hAnsi="Arial"/>
                <w:sz w:val="16"/>
                <w:szCs w:val="16"/>
                <w:b w:val="1"/>
                <w:bCs w:val="1"/>
                <w:color w:val="0C3D25"/>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C3D25"/>
              </w:rPr>
              <w:t>EBITDA</w:t>
            </w:r>
          </w:p>
        </w:tc>
      </w:tr>
      <w:tr>
        <w:trPr>
          <w:trHeight w:val="42"/>
        </w:trPr>
        <w:tc>
          <w:tcPr>
            <w:tcW w:w="5920" w:type="dxa"/>
            <w:vAlign w:val="bottom"/>
            <w:tcBorders>
              <w:bottom w:val="single" w:sz="8" w:color="0C3D25"/>
            </w:tcBorders>
          </w:tcPr>
          <w:p>
            <w:pPr>
              <w:spacing w:after="0"/>
              <w:rPr>
                <w:sz w:val="3"/>
                <w:szCs w:val="3"/>
                <w:color w:val="auto"/>
              </w:rPr>
            </w:pPr>
          </w:p>
        </w:tc>
        <w:tc>
          <w:tcPr>
            <w:tcW w:w="920" w:type="dxa"/>
            <w:vAlign w:val="bottom"/>
            <w:tcBorders>
              <w:bottom w:val="single" w:sz="8" w:color="0C3D25"/>
            </w:tcBorders>
          </w:tcPr>
          <w:p>
            <w:pPr>
              <w:spacing w:after="0"/>
              <w:rPr>
                <w:sz w:val="3"/>
                <w:szCs w:val="3"/>
                <w:color w:val="auto"/>
              </w:rPr>
            </w:pPr>
          </w:p>
        </w:tc>
        <w:tc>
          <w:tcPr>
            <w:tcW w:w="1140" w:type="dxa"/>
            <w:vAlign w:val="bottom"/>
            <w:tcBorders>
              <w:bottom w:val="single" w:sz="8" w:color="0C3D25"/>
            </w:tcBorders>
          </w:tcPr>
          <w:p>
            <w:pPr>
              <w:spacing w:after="0"/>
              <w:rPr>
                <w:sz w:val="3"/>
                <w:szCs w:val="3"/>
                <w:color w:val="auto"/>
              </w:rPr>
            </w:pPr>
          </w:p>
        </w:tc>
        <w:tc>
          <w:tcPr>
            <w:tcW w:w="1200" w:type="dxa"/>
            <w:vAlign w:val="bottom"/>
            <w:tcBorders>
              <w:bottom w:val="single" w:sz="8" w:color="0C3D25"/>
            </w:tcBorders>
          </w:tcPr>
          <w:p>
            <w:pPr>
              <w:spacing w:after="0"/>
              <w:rPr>
                <w:sz w:val="3"/>
                <w:szCs w:val="3"/>
                <w:color w:val="auto"/>
              </w:rPr>
            </w:pPr>
          </w:p>
        </w:tc>
        <w:tc>
          <w:tcPr>
            <w:tcW w:w="880" w:type="dxa"/>
            <w:vAlign w:val="bottom"/>
            <w:tcBorders>
              <w:bottom w:val="single" w:sz="8" w:color="0C3D25"/>
            </w:tcBorders>
          </w:tcPr>
          <w:p>
            <w:pPr>
              <w:spacing w:after="0"/>
              <w:rPr>
                <w:sz w:val="3"/>
                <w:szCs w:val="3"/>
                <w:color w:val="auto"/>
              </w:rPr>
            </w:pPr>
          </w:p>
        </w:tc>
      </w:tr>
      <w:tr>
        <w:trPr>
          <w:trHeight w:val="263"/>
        </w:trPr>
        <w:tc>
          <w:tcPr>
            <w:tcW w:w="592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$17,931</w:t>
            </w:r>
          </w:p>
        </w:tc>
        <w:tc>
          <w:tcPr>
            <w:tcW w:w="1140" w:type="dxa"/>
            <w:vAlign w:val="bottom"/>
          </w:tcPr>
          <w:p>
            <w:pPr>
              <w:jc w:val="right"/>
              <w:ind w:right="186"/>
              <w:spacing w:after="0"/>
              <w:rPr>
                <w:sz w:val="20"/>
                <w:szCs w:val="20"/>
                <w:color w:val="auto"/>
              </w:rPr>
            </w:pPr>
            <w:r>
              <w:rPr>
                <w:rFonts w:ascii="Arial" w:cs="Arial" w:eastAsia="Arial" w:hAnsi="Arial"/>
                <w:sz w:val="20"/>
                <w:szCs w:val="20"/>
                <w:color w:val="auto"/>
              </w:rPr>
              <w:t>$2,965</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$4,964</w:t>
            </w: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53"/>
        </w:trPr>
        <w:tc>
          <w:tcPr>
            <w:tcW w:w="592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53"/>
        </w:trPr>
        <w:tc>
          <w:tcPr>
            <w:tcW w:w="5920" w:type="dxa"/>
            <w:vAlign w:val="bottom"/>
          </w:tcPr>
          <w:p>
            <w:pPr>
              <w:ind w:left="260"/>
              <w:spacing w:after="0"/>
              <w:rPr>
                <w:sz w:val="20"/>
                <w:szCs w:val="20"/>
                <w:color w:val="auto"/>
              </w:rPr>
            </w:pPr>
            <w:r>
              <w:rPr>
                <w:rFonts w:ascii="Arial" w:cs="Arial" w:eastAsia="Arial" w:hAnsi="Arial"/>
                <w:sz w:val="20"/>
                <w:szCs w:val="20"/>
                <w:color w:val="auto"/>
              </w:rPr>
              <w:t>ADD: “Restructuring” and “(Gain) Loss from Divestitures, Asset</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92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6"/>
              <w:spacing w:after="0"/>
              <w:rPr>
                <w:sz w:val="20"/>
                <w:szCs w:val="20"/>
                <w:color w:val="auto"/>
              </w:rPr>
            </w:pPr>
            <w:r>
              <w:rPr>
                <w:rFonts w:ascii="Arial" w:cs="Arial" w:eastAsia="Arial" w:hAnsi="Arial"/>
                <w:sz w:val="20"/>
                <w:szCs w:val="20"/>
                <w:color w:val="auto"/>
              </w:rPr>
              <w:t>(8)</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7"/>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r>
        <w:trPr>
          <w:trHeight w:val="279"/>
        </w:trPr>
        <w:tc>
          <w:tcPr>
            <w:tcW w:w="5920" w:type="dxa"/>
            <w:vAlign w:val="bottom"/>
            <w:tcBorders>
              <w:bottom w:val="single" w:sz="8" w:color="0C3D25"/>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(a)</w:t>
            </w:r>
          </w:p>
        </w:tc>
        <w:tc>
          <w:tcPr>
            <w:tcW w:w="920" w:type="dxa"/>
            <w:vAlign w:val="bottom"/>
            <w:tcBorders>
              <w:bottom w:val="single" w:sz="8" w:color="0C3D25"/>
            </w:tcBorders>
          </w:tcPr>
          <w:p>
            <w:pPr>
              <w:jc w:val="right"/>
              <w:ind w:right="26"/>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C3D25"/>
            </w:tcBorders>
          </w:tcPr>
          <w:p>
            <w:pPr>
              <w:jc w:val="right"/>
              <w:ind w:right="186"/>
              <w:spacing w:after="0"/>
              <w:rPr>
                <w:sz w:val="20"/>
                <w:szCs w:val="20"/>
                <w:color w:val="auto"/>
              </w:rPr>
            </w:pPr>
            <w:r>
              <w:rPr>
                <w:rFonts w:ascii="Arial" w:cs="Arial" w:eastAsia="Arial" w:hAnsi="Arial"/>
                <w:sz w:val="20"/>
                <w:szCs w:val="20"/>
                <w:color w:val="auto"/>
              </w:rPr>
              <w:t>5</w:t>
            </w:r>
          </w:p>
        </w:tc>
        <w:tc>
          <w:tcPr>
            <w:tcW w:w="1200" w:type="dxa"/>
            <w:vAlign w:val="bottom"/>
            <w:tcBorders>
              <w:bottom w:val="single" w:sz="8" w:color="0C3D25"/>
            </w:tcBorders>
          </w:tcPr>
          <w:p>
            <w:pPr>
              <w:jc w:val="right"/>
              <w:ind w:right="228"/>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C3D25"/>
            </w:tcBorders>
          </w:tcPr>
          <w:p>
            <w:pPr>
              <w:jc w:val="right"/>
              <w:ind w:right="26"/>
              <w:spacing w:after="0"/>
              <w:rPr>
                <w:sz w:val="20"/>
                <w:szCs w:val="20"/>
                <w:color w:val="auto"/>
              </w:rPr>
            </w:pPr>
            <w:r>
              <w:rPr>
                <w:rFonts w:ascii="Arial" w:cs="Arial" w:eastAsia="Arial" w:hAnsi="Arial"/>
                <w:sz w:val="20"/>
                <w:szCs w:val="20"/>
                <w:color w:val="auto"/>
              </w:rPr>
              <w:t>5</w:t>
            </w:r>
          </w:p>
        </w:tc>
      </w:tr>
      <w:tr>
        <w:trPr>
          <w:trHeight w:val="252"/>
        </w:trPr>
        <w:tc>
          <w:tcPr>
            <w:tcW w:w="592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$17,931</w:t>
            </w:r>
          </w:p>
        </w:tc>
        <w:tc>
          <w:tcPr>
            <w:tcW w:w="1140" w:type="dxa"/>
            <w:vAlign w:val="bottom"/>
          </w:tcPr>
          <w:p>
            <w:pPr>
              <w:jc w:val="right"/>
              <w:ind w:right="186"/>
              <w:spacing w:after="0"/>
              <w:rPr>
                <w:sz w:val="20"/>
                <w:szCs w:val="20"/>
                <w:color w:val="auto"/>
              </w:rPr>
            </w:pPr>
            <w:r>
              <w:rPr>
                <w:rFonts w:ascii="Arial" w:cs="Arial" w:eastAsia="Arial" w:hAnsi="Arial"/>
                <w:sz w:val="20"/>
                <w:szCs w:val="20"/>
                <w:color w:val="auto"/>
              </w:rPr>
              <w:t>$2,962</w:t>
            </w:r>
          </w:p>
        </w:tc>
        <w:tc>
          <w:tcPr>
            <w:tcW w:w="1200" w:type="dxa"/>
            <w:vAlign w:val="bottom"/>
          </w:tcPr>
          <w:p>
            <w:pPr>
              <w:jc w:val="right"/>
              <w:ind w:right="228"/>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$4,961</w:t>
            </w:r>
          </w:p>
        </w:tc>
      </w:tr>
      <w:tr>
        <w:trPr>
          <w:trHeight w:val="32"/>
        </w:trPr>
        <w:tc>
          <w:tcPr>
            <w:tcW w:w="5920" w:type="dxa"/>
            <w:vAlign w:val="bottom"/>
            <w:tcBorders>
              <w:bottom w:val="single" w:sz="8" w:color="0C3D25"/>
            </w:tcBorders>
          </w:tcPr>
          <w:p>
            <w:pPr>
              <w:spacing w:after="0"/>
              <w:rPr>
                <w:sz w:val="2"/>
                <w:szCs w:val="2"/>
                <w:color w:val="auto"/>
              </w:rPr>
            </w:pPr>
          </w:p>
        </w:tc>
        <w:tc>
          <w:tcPr>
            <w:tcW w:w="920" w:type="dxa"/>
            <w:vAlign w:val="bottom"/>
            <w:tcBorders>
              <w:bottom w:val="single" w:sz="8" w:color="0C3D25"/>
            </w:tcBorders>
          </w:tcPr>
          <w:p>
            <w:pPr>
              <w:spacing w:after="0"/>
              <w:rPr>
                <w:sz w:val="2"/>
                <w:szCs w:val="2"/>
                <w:color w:val="auto"/>
              </w:rPr>
            </w:pPr>
          </w:p>
        </w:tc>
        <w:tc>
          <w:tcPr>
            <w:tcW w:w="1140" w:type="dxa"/>
            <w:vAlign w:val="bottom"/>
            <w:tcBorders>
              <w:bottom w:val="single" w:sz="8" w:color="0C3D25"/>
            </w:tcBorders>
          </w:tcPr>
          <w:p>
            <w:pPr>
              <w:spacing w:after="0"/>
              <w:rPr>
                <w:sz w:val="2"/>
                <w:szCs w:val="2"/>
                <w:color w:val="auto"/>
              </w:rPr>
            </w:pPr>
          </w:p>
        </w:tc>
        <w:tc>
          <w:tcPr>
            <w:tcW w:w="1200" w:type="dxa"/>
            <w:vAlign w:val="bottom"/>
            <w:tcBorders>
              <w:bottom w:val="single" w:sz="8" w:color="0C3D25"/>
            </w:tcBorders>
          </w:tcPr>
          <w:p>
            <w:pPr>
              <w:spacing w:after="0"/>
              <w:rPr>
                <w:sz w:val="2"/>
                <w:szCs w:val="2"/>
                <w:color w:val="auto"/>
              </w:rPr>
            </w:pPr>
          </w:p>
        </w:tc>
        <w:tc>
          <w:tcPr>
            <w:tcW w:w="880" w:type="dxa"/>
            <w:vAlign w:val="bottom"/>
            <w:tcBorders>
              <w:bottom w:val="single" w:sz="8" w:color="0C3D25"/>
            </w:tcBorders>
          </w:tcPr>
          <w:p>
            <w:pPr>
              <w:spacing w:after="0"/>
              <w:rPr>
                <w:sz w:val="2"/>
                <w:szCs w:val="2"/>
                <w:color w:val="auto"/>
              </w:rPr>
            </w:pPr>
          </w:p>
        </w:tc>
      </w:tr>
    </w:tbl>
    <w:p>
      <w:pPr>
        <w:spacing w:after="0" w:line="29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C3D25"/>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C3D25" strokeweight="0.998pt">
                <w10:wrap anchorx="page" anchory="page"/>
              </v:line>
            </w:pict>
          </mc:Fallback>
        </mc:AlternateContent>
      </w:r>
    </w:p>
    <w:tbl>
      <w:tblPr>
        <w:tblLayout w:type="fixed"/>
        <w:tblInd w:w="2"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4860" w:type="dxa"/>
            <w:vAlign w:val="bottom"/>
            <w:gridSpan w:val="3"/>
          </w:tcPr>
          <w:p>
            <w:pPr>
              <w:jc w:val="right"/>
              <w:ind w:right="444"/>
              <w:spacing w:after="0"/>
              <w:rPr>
                <w:sz w:val="20"/>
                <w:szCs w:val="20"/>
                <w:color w:val="auto"/>
              </w:rPr>
            </w:pPr>
            <w:r>
              <w:rPr>
                <w:rFonts w:ascii="Arial" w:cs="Arial" w:eastAsia="Arial" w:hAnsi="Arial"/>
                <w:sz w:val="16"/>
                <w:szCs w:val="16"/>
                <w:b w:val="1"/>
                <w:bCs w:val="1"/>
                <w:color w:val="0C3D25"/>
              </w:rPr>
              <w:t>Three Years Ended December 31, 2025</w:t>
            </w:r>
          </w:p>
        </w:tc>
        <w:tc>
          <w:tcPr>
            <w:tcW w:w="960" w:type="dxa"/>
            <w:vAlign w:val="bottom"/>
          </w:tcPr>
          <w:p>
            <w:pPr>
              <w:spacing w:after="0"/>
              <w:rPr>
                <w:sz w:val="16"/>
                <w:szCs w:val="16"/>
                <w:color w:val="auto"/>
              </w:rPr>
            </w:pPr>
          </w:p>
        </w:tc>
      </w:tr>
      <w:tr>
        <w:trPr>
          <w:trHeight w:val="42"/>
        </w:trPr>
        <w:tc>
          <w:tcPr>
            <w:tcW w:w="4240" w:type="dxa"/>
            <w:vAlign w:val="bottom"/>
          </w:tcPr>
          <w:p>
            <w:pPr>
              <w:spacing w:after="0"/>
              <w:rPr>
                <w:sz w:val="3"/>
                <w:szCs w:val="3"/>
                <w:color w:val="auto"/>
              </w:rPr>
            </w:pPr>
          </w:p>
        </w:tc>
        <w:tc>
          <w:tcPr>
            <w:tcW w:w="1840" w:type="dxa"/>
            <w:vAlign w:val="bottom"/>
            <w:tcBorders>
              <w:bottom w:val="single" w:sz="8" w:color="0C3D25"/>
            </w:tcBorders>
          </w:tcPr>
          <w:p>
            <w:pPr>
              <w:spacing w:after="0"/>
              <w:rPr>
                <w:sz w:val="3"/>
                <w:szCs w:val="3"/>
                <w:color w:val="auto"/>
              </w:rPr>
            </w:pPr>
          </w:p>
        </w:tc>
        <w:tc>
          <w:tcPr>
            <w:tcW w:w="1180" w:type="dxa"/>
            <w:vAlign w:val="bottom"/>
            <w:tcBorders>
              <w:bottom w:val="single" w:sz="8" w:color="0C3D25"/>
            </w:tcBorders>
          </w:tcPr>
          <w:p>
            <w:pPr>
              <w:spacing w:after="0"/>
              <w:rPr>
                <w:sz w:val="3"/>
                <w:szCs w:val="3"/>
                <w:color w:val="auto"/>
              </w:rPr>
            </w:pPr>
          </w:p>
        </w:tc>
        <w:tc>
          <w:tcPr>
            <w:tcW w:w="1840" w:type="dxa"/>
            <w:vAlign w:val="bottom"/>
            <w:tcBorders>
              <w:bottom w:val="single" w:sz="8" w:color="0C3D25"/>
            </w:tcBorders>
          </w:tcPr>
          <w:p>
            <w:pPr>
              <w:spacing w:after="0"/>
              <w:rPr>
                <w:sz w:val="3"/>
                <w:szCs w:val="3"/>
                <w:color w:val="auto"/>
              </w:rPr>
            </w:pPr>
          </w:p>
        </w:tc>
        <w:tc>
          <w:tcPr>
            <w:tcW w:w="960" w:type="dxa"/>
            <w:vAlign w:val="bottom"/>
            <w:tcBorders>
              <w:bottom w:val="single" w:sz="8" w:color="0C3D25"/>
            </w:tcBorders>
          </w:tcPr>
          <w:p>
            <w:pPr>
              <w:spacing w:after="0"/>
              <w:rPr>
                <w:sz w:val="3"/>
                <w:szCs w:val="3"/>
                <w:color w:val="auto"/>
              </w:rPr>
            </w:pPr>
          </w:p>
        </w:tc>
      </w:tr>
      <w:tr>
        <w:trPr>
          <w:trHeight w:val="190"/>
        </w:trPr>
        <w:tc>
          <w:tcPr>
            <w:tcW w:w="4240" w:type="dxa"/>
            <w:vAlign w:val="bottom"/>
          </w:tcPr>
          <w:p>
            <w:pPr>
              <w:spacing w:after="0"/>
              <w:rPr>
                <w:sz w:val="16"/>
                <w:szCs w:val="16"/>
                <w:color w:val="auto"/>
              </w:rPr>
            </w:pPr>
          </w:p>
        </w:tc>
        <w:tc>
          <w:tcPr>
            <w:tcW w:w="1840" w:type="dxa"/>
            <w:vAlign w:val="bottom"/>
          </w:tcPr>
          <w:p>
            <w:pPr>
              <w:jc w:val="right"/>
              <w:ind w:right="25"/>
              <w:spacing w:after="0"/>
              <w:rPr>
                <w:sz w:val="20"/>
                <w:szCs w:val="20"/>
                <w:color w:val="auto"/>
              </w:rPr>
            </w:pPr>
            <w:r>
              <w:rPr>
                <w:rFonts w:ascii="Arial" w:cs="Arial" w:eastAsia="Arial" w:hAnsi="Arial"/>
                <w:sz w:val="16"/>
                <w:szCs w:val="16"/>
                <w:b w:val="1"/>
                <w:bCs w:val="1"/>
                <w:color w:val="0C3D25"/>
              </w:rPr>
              <w:t>Net Cash Provided</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0C3D25"/>
              </w:rPr>
              <w:t>Capital</w:t>
            </w:r>
          </w:p>
        </w:tc>
        <w:tc>
          <w:tcPr>
            <w:tcW w:w="1840" w:type="dxa"/>
            <w:vAlign w:val="bottom"/>
          </w:tcPr>
          <w:p>
            <w:pPr>
              <w:jc w:val="right"/>
              <w:ind w:right="24"/>
              <w:spacing w:after="0"/>
              <w:rPr>
                <w:sz w:val="20"/>
                <w:szCs w:val="20"/>
                <w:color w:val="auto"/>
              </w:rPr>
            </w:pPr>
            <w:r>
              <w:rPr>
                <w:rFonts w:ascii="Arial" w:cs="Arial" w:eastAsia="Arial" w:hAnsi="Arial"/>
                <w:sz w:val="16"/>
                <w:szCs w:val="16"/>
                <w:b w:val="1"/>
                <w:bCs w:val="1"/>
                <w:color w:val="0C3D25"/>
                <w:w w:val="99"/>
              </w:rPr>
              <w:t>Proceeds from Normal</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C3D25"/>
              </w:rPr>
              <w:t>Cash Flow</w:t>
            </w:r>
          </w:p>
        </w:tc>
      </w:tr>
      <w:tr>
        <w:trPr>
          <w:trHeight w:val="184"/>
        </w:trPr>
        <w:tc>
          <w:tcPr>
            <w:tcW w:w="4240" w:type="dxa"/>
            <w:vAlign w:val="bottom"/>
          </w:tcPr>
          <w:p>
            <w:pPr>
              <w:spacing w:after="0"/>
              <w:rPr>
                <w:sz w:val="15"/>
                <w:szCs w:val="15"/>
                <w:color w:val="auto"/>
              </w:rPr>
            </w:pPr>
          </w:p>
        </w:tc>
        <w:tc>
          <w:tcPr>
            <w:tcW w:w="1840" w:type="dxa"/>
            <w:vAlign w:val="bottom"/>
          </w:tcPr>
          <w:p>
            <w:pPr>
              <w:jc w:val="right"/>
              <w:ind w:right="25"/>
              <w:spacing w:after="0"/>
              <w:rPr>
                <w:sz w:val="20"/>
                <w:szCs w:val="20"/>
                <w:color w:val="auto"/>
              </w:rPr>
            </w:pPr>
            <w:r>
              <w:rPr>
                <w:rFonts w:ascii="Arial" w:cs="Arial" w:eastAsia="Arial" w:hAnsi="Arial"/>
                <w:sz w:val="16"/>
                <w:szCs w:val="16"/>
                <w:b w:val="1"/>
                <w:bCs w:val="1"/>
                <w:color w:val="0C3D25"/>
                <w:w w:val="97"/>
              </w:rPr>
              <w:t>by Operating Activities</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0C3D25"/>
              </w:rPr>
              <w:t>Expenditures</w:t>
            </w:r>
          </w:p>
        </w:tc>
        <w:tc>
          <w:tcPr>
            <w:tcW w:w="1840" w:type="dxa"/>
            <w:vAlign w:val="bottom"/>
          </w:tcPr>
          <w:p>
            <w:pPr>
              <w:jc w:val="right"/>
              <w:ind w:right="24"/>
              <w:spacing w:after="0"/>
              <w:rPr>
                <w:sz w:val="20"/>
                <w:szCs w:val="20"/>
                <w:color w:val="auto"/>
              </w:rPr>
            </w:pPr>
            <w:r>
              <w:rPr>
                <w:rFonts w:ascii="Arial" w:cs="Arial" w:eastAsia="Arial" w:hAnsi="Arial"/>
                <w:sz w:val="16"/>
                <w:szCs w:val="16"/>
                <w:b w:val="1"/>
                <w:bCs w:val="1"/>
                <w:color w:val="0C3D25"/>
              </w:rPr>
              <w:t>Course Divestitures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C3D25"/>
              </w:rPr>
              <w:t>Generation</w:t>
            </w:r>
          </w:p>
        </w:tc>
      </w:tr>
      <w:tr>
        <w:trPr>
          <w:trHeight w:val="42"/>
        </w:trPr>
        <w:tc>
          <w:tcPr>
            <w:tcW w:w="4240" w:type="dxa"/>
            <w:vAlign w:val="bottom"/>
            <w:tcBorders>
              <w:bottom w:val="single" w:sz="8" w:color="0C3D25"/>
            </w:tcBorders>
          </w:tcPr>
          <w:p>
            <w:pPr>
              <w:spacing w:after="0"/>
              <w:rPr>
                <w:sz w:val="3"/>
                <w:szCs w:val="3"/>
                <w:color w:val="auto"/>
              </w:rPr>
            </w:pPr>
          </w:p>
        </w:tc>
        <w:tc>
          <w:tcPr>
            <w:tcW w:w="1840" w:type="dxa"/>
            <w:vAlign w:val="bottom"/>
            <w:tcBorders>
              <w:bottom w:val="single" w:sz="8" w:color="0C3D25"/>
            </w:tcBorders>
          </w:tcPr>
          <w:p>
            <w:pPr>
              <w:spacing w:after="0"/>
              <w:rPr>
                <w:sz w:val="3"/>
                <w:szCs w:val="3"/>
                <w:color w:val="auto"/>
              </w:rPr>
            </w:pPr>
          </w:p>
        </w:tc>
        <w:tc>
          <w:tcPr>
            <w:tcW w:w="1180" w:type="dxa"/>
            <w:vAlign w:val="bottom"/>
            <w:tcBorders>
              <w:bottom w:val="single" w:sz="8" w:color="0C3D25"/>
            </w:tcBorders>
          </w:tcPr>
          <w:p>
            <w:pPr>
              <w:spacing w:after="0"/>
              <w:rPr>
                <w:sz w:val="3"/>
                <w:szCs w:val="3"/>
                <w:color w:val="auto"/>
              </w:rPr>
            </w:pPr>
          </w:p>
        </w:tc>
        <w:tc>
          <w:tcPr>
            <w:tcW w:w="1840" w:type="dxa"/>
            <w:vAlign w:val="bottom"/>
            <w:tcBorders>
              <w:bottom w:val="single" w:sz="8" w:color="0C3D25"/>
            </w:tcBorders>
          </w:tcPr>
          <w:p>
            <w:pPr>
              <w:spacing w:after="0"/>
              <w:rPr>
                <w:sz w:val="3"/>
                <w:szCs w:val="3"/>
                <w:color w:val="auto"/>
              </w:rPr>
            </w:pPr>
          </w:p>
        </w:tc>
        <w:tc>
          <w:tcPr>
            <w:tcW w:w="960" w:type="dxa"/>
            <w:vAlign w:val="bottom"/>
            <w:tcBorders>
              <w:bottom w:val="single" w:sz="8" w:color="0C3D25"/>
            </w:tcBorders>
          </w:tcPr>
          <w:p>
            <w:pPr>
              <w:spacing w:after="0"/>
              <w:rPr>
                <w:sz w:val="3"/>
                <w:szCs w:val="3"/>
                <w:color w:val="auto"/>
              </w:rPr>
            </w:pPr>
          </w:p>
        </w:tc>
      </w:tr>
      <w:tr>
        <w:trPr>
          <w:trHeight w:val="263"/>
        </w:trPr>
        <w:tc>
          <w:tcPr>
            <w:tcW w:w="424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1840" w:type="dxa"/>
            <w:vAlign w:val="bottom"/>
          </w:tcPr>
          <w:p>
            <w:pPr>
              <w:jc w:val="right"/>
              <w:ind w:right="485"/>
              <w:spacing w:after="0"/>
              <w:rPr>
                <w:sz w:val="20"/>
                <w:szCs w:val="20"/>
                <w:color w:val="auto"/>
              </w:rPr>
            </w:pPr>
            <w:r>
              <w:rPr>
                <w:rFonts w:ascii="Arial" w:cs="Arial" w:eastAsia="Arial" w:hAnsi="Arial"/>
                <w:sz w:val="20"/>
                <w:szCs w:val="20"/>
                <w:color w:val="auto"/>
              </w:rPr>
              <w:t>$16,152</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$9,353</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$357</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$7,156</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53"/>
        </w:trPr>
        <w:tc>
          <w:tcPr>
            <w:tcW w:w="424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Costs associated with labor disruptions and</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multiemployer plan withdrawal</w:t>
            </w:r>
          </w:p>
        </w:tc>
        <w:tc>
          <w:tcPr>
            <w:tcW w:w="1840" w:type="dxa"/>
            <w:vAlign w:val="bottom"/>
          </w:tcPr>
          <w:p>
            <w:pPr>
              <w:jc w:val="right"/>
              <w:ind w:right="485"/>
              <w:spacing w:after="0"/>
              <w:rPr>
                <w:sz w:val="20"/>
                <w:szCs w:val="20"/>
                <w:color w:val="auto"/>
              </w:rPr>
            </w:pPr>
            <w:r>
              <w:rPr>
                <w:rFonts w:ascii="Arial" w:cs="Arial" w:eastAsia="Arial" w:hAnsi="Arial"/>
                <w:sz w:val="20"/>
                <w:szCs w:val="20"/>
                <w:color w:val="auto"/>
              </w:rPr>
              <w:t>10</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10</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Restructuring</w:t>
            </w:r>
          </w:p>
        </w:tc>
        <w:tc>
          <w:tcPr>
            <w:tcW w:w="1840" w:type="dxa"/>
            <w:vAlign w:val="bottom"/>
          </w:tcPr>
          <w:p>
            <w:pPr>
              <w:jc w:val="right"/>
              <w:ind w:right="485"/>
              <w:spacing w:after="0"/>
              <w:rPr>
                <w:sz w:val="20"/>
                <w:szCs w:val="20"/>
                <w:color w:val="auto"/>
              </w:rPr>
            </w:pPr>
            <w:r>
              <w:rPr>
                <w:rFonts w:ascii="Arial" w:cs="Arial" w:eastAsia="Arial" w:hAnsi="Arial"/>
                <w:sz w:val="20"/>
                <w:szCs w:val="20"/>
                <w:color w:val="auto"/>
              </w:rPr>
              <w:t>23</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23</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Transaction and integration costs incurred in</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support of strategic acquisitions, including</w:t>
            </w: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Stericycle</w:t>
            </w:r>
          </w:p>
        </w:tc>
        <w:tc>
          <w:tcPr>
            <w:tcW w:w="1840" w:type="dxa"/>
            <w:vAlign w:val="bottom"/>
          </w:tcPr>
          <w:p>
            <w:pPr>
              <w:jc w:val="right"/>
              <w:ind w:right="485"/>
              <w:spacing w:after="0"/>
              <w:rPr>
                <w:sz w:val="20"/>
                <w:szCs w:val="20"/>
                <w:color w:val="auto"/>
              </w:rPr>
            </w:pPr>
            <w:r>
              <w:rPr>
                <w:rFonts w:ascii="Arial" w:cs="Arial" w:eastAsia="Arial" w:hAnsi="Arial"/>
                <w:sz w:val="20"/>
                <w:szCs w:val="20"/>
                <w:color w:val="auto"/>
              </w:rPr>
              <w:t>110</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110</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Post-closing contributions from the</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Stericycle acquisition and tax impact</w:t>
            </w:r>
          </w:p>
        </w:tc>
        <w:tc>
          <w:tcPr>
            <w:tcW w:w="1840" w:type="dxa"/>
            <w:vAlign w:val="bottom"/>
          </w:tcPr>
          <w:p>
            <w:pPr>
              <w:jc w:val="right"/>
              <w:ind w:right="425"/>
              <w:spacing w:after="0"/>
              <w:rPr>
                <w:sz w:val="20"/>
                <w:szCs w:val="20"/>
                <w:color w:val="auto"/>
              </w:rPr>
            </w:pPr>
            <w:r>
              <w:rPr>
                <w:rFonts w:ascii="Arial" w:cs="Arial" w:eastAsia="Arial" w:hAnsi="Arial"/>
                <w:sz w:val="20"/>
                <w:szCs w:val="20"/>
                <w:color w:val="auto"/>
              </w:rPr>
              <w:t>(359)</w:t>
            </w:r>
          </w:p>
        </w:tc>
        <w:tc>
          <w:tcPr>
            <w:tcW w:w="1180" w:type="dxa"/>
            <w:vAlign w:val="bottom"/>
          </w:tcPr>
          <w:p>
            <w:pPr>
              <w:jc w:val="right"/>
              <w:ind w:right="164"/>
              <w:spacing w:after="0"/>
              <w:rPr>
                <w:sz w:val="20"/>
                <w:szCs w:val="20"/>
                <w:color w:val="auto"/>
              </w:rPr>
            </w:pPr>
            <w:r>
              <w:rPr>
                <w:rFonts w:ascii="Arial" w:cs="Arial" w:eastAsia="Arial" w:hAnsi="Arial"/>
                <w:sz w:val="20"/>
                <w:szCs w:val="20"/>
                <w:color w:val="auto"/>
              </w:rPr>
              <w:t>(221)</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4"/>
              <w:spacing w:after="0"/>
              <w:rPr>
                <w:sz w:val="20"/>
                <w:szCs w:val="20"/>
                <w:color w:val="auto"/>
              </w:rPr>
            </w:pPr>
            <w:r>
              <w:rPr>
                <w:rFonts w:ascii="Arial" w:cs="Arial" w:eastAsia="Arial" w:hAnsi="Arial"/>
                <w:sz w:val="20"/>
                <w:szCs w:val="20"/>
                <w:color w:val="auto"/>
              </w:rPr>
              <w:t>(138)</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42"/>
        </w:trPr>
        <w:tc>
          <w:tcPr>
            <w:tcW w:w="4240" w:type="dxa"/>
            <w:vAlign w:val="bottom"/>
          </w:tcPr>
          <w:p>
            <w:pPr>
              <w:ind w:left="260"/>
              <w:spacing w:after="0"/>
              <w:rPr>
                <w:sz w:val="20"/>
                <w:szCs w:val="20"/>
                <w:color w:val="auto"/>
              </w:rPr>
            </w:pPr>
            <w:r>
              <w:rPr>
                <w:rFonts w:ascii="Arial" w:cs="Arial" w:eastAsia="Arial" w:hAnsi="Arial"/>
                <w:sz w:val="20"/>
                <w:szCs w:val="20"/>
                <w:color w:val="auto"/>
              </w:rPr>
              <w:t>Incremental sustainability growth capital</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4240" w:type="dxa"/>
            <w:vAlign w:val="bottom"/>
            <w:tcBorders>
              <w:bottom w:val="single" w:sz="8" w:color="0C3D25"/>
            </w:tcBorders>
          </w:tcPr>
          <w:p>
            <w:pPr>
              <w:ind w:left="460"/>
              <w:spacing w:after="0" w:line="277" w:lineRule="exact"/>
              <w:rPr>
                <w:sz w:val="20"/>
                <w:szCs w:val="20"/>
                <w:color w:val="auto"/>
              </w:rPr>
            </w:pPr>
            <w:r>
              <w:rPr>
                <w:rFonts w:ascii="Arial" w:cs="Arial" w:eastAsia="Arial" w:hAnsi="Arial"/>
                <w:sz w:val="20"/>
                <w:szCs w:val="20"/>
                <w:color w:val="auto"/>
              </w:rPr>
              <w:t>investments</w:t>
            </w:r>
            <w:r>
              <w:rPr>
                <w:rFonts w:ascii="Arial" w:cs="Arial" w:eastAsia="Arial" w:hAnsi="Arial"/>
                <w:sz w:val="25"/>
                <w:szCs w:val="25"/>
                <w:color w:val="auto"/>
                <w:vertAlign w:val="superscript"/>
              </w:rPr>
              <w:t>(c)</w:t>
            </w:r>
          </w:p>
        </w:tc>
        <w:tc>
          <w:tcPr>
            <w:tcW w:w="1840" w:type="dxa"/>
            <w:vAlign w:val="bottom"/>
            <w:tcBorders>
              <w:bottom w:val="single" w:sz="8" w:color="0C3D25"/>
            </w:tcBorders>
          </w:tcPr>
          <w:p>
            <w:pPr>
              <w:jc w:val="right"/>
              <w:ind w:right="485"/>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0C3D25"/>
            </w:tcBorders>
          </w:tcPr>
          <w:p>
            <w:pPr>
              <w:jc w:val="right"/>
              <w:ind w:right="164"/>
              <w:spacing w:after="0"/>
              <w:rPr>
                <w:sz w:val="20"/>
                <w:szCs w:val="20"/>
                <w:color w:val="auto"/>
              </w:rPr>
            </w:pPr>
            <w:r>
              <w:rPr>
                <w:rFonts w:ascii="Arial" w:cs="Arial" w:eastAsia="Arial" w:hAnsi="Arial"/>
                <w:sz w:val="20"/>
                <w:szCs w:val="20"/>
                <w:color w:val="auto"/>
              </w:rPr>
              <w:t>(415)</w:t>
            </w:r>
          </w:p>
        </w:tc>
        <w:tc>
          <w:tcPr>
            <w:tcW w:w="1840" w:type="dxa"/>
            <w:vAlign w:val="bottom"/>
            <w:tcBorders>
              <w:bottom w:val="single" w:sz="8" w:color="0C3D25"/>
            </w:tcBorders>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0C3D25"/>
            </w:tcBorders>
          </w:tcPr>
          <w:p>
            <w:pPr>
              <w:jc w:val="right"/>
              <w:ind w:right="64"/>
              <w:spacing w:after="0"/>
              <w:rPr>
                <w:sz w:val="20"/>
                <w:szCs w:val="20"/>
                <w:color w:val="auto"/>
              </w:rPr>
            </w:pPr>
            <w:r>
              <w:rPr>
                <w:rFonts w:ascii="Arial" w:cs="Arial" w:eastAsia="Arial" w:hAnsi="Arial"/>
                <w:sz w:val="20"/>
                <w:szCs w:val="20"/>
                <w:color w:val="auto"/>
              </w:rPr>
              <w:t>415</w:t>
            </w:r>
          </w:p>
        </w:tc>
      </w:tr>
      <w:tr>
        <w:trPr>
          <w:trHeight w:val="252"/>
        </w:trPr>
        <w:tc>
          <w:tcPr>
            <w:tcW w:w="4240" w:type="dxa"/>
            <w:vAlign w:val="bottom"/>
          </w:tcPr>
          <w:p>
            <w:pPr>
              <w:ind w:left="260"/>
              <w:spacing w:after="0"/>
              <w:rPr>
                <w:sz w:val="20"/>
                <w:szCs w:val="20"/>
                <w:color w:val="auto"/>
              </w:rPr>
            </w:pPr>
            <w:r>
              <w:rPr>
                <w:rFonts w:ascii="Arial" w:cs="Arial" w:eastAsia="Arial" w:hAnsi="Arial"/>
                <w:sz w:val="20"/>
                <w:szCs w:val="20"/>
                <w:color w:val="auto"/>
              </w:rPr>
              <w:t>Benefits from bonus depreciation legislation</w:t>
            </w:r>
          </w:p>
        </w:tc>
        <w:tc>
          <w:tcPr>
            <w:tcW w:w="1840" w:type="dxa"/>
            <w:vAlign w:val="bottom"/>
          </w:tcPr>
          <w:p>
            <w:pPr>
              <w:jc w:val="right"/>
              <w:ind w:right="425"/>
              <w:spacing w:after="0"/>
              <w:rPr>
                <w:sz w:val="20"/>
                <w:szCs w:val="20"/>
                <w:color w:val="auto"/>
              </w:rPr>
            </w:pPr>
            <w:r>
              <w:rPr>
                <w:rFonts w:ascii="Arial" w:cs="Arial" w:eastAsia="Arial" w:hAnsi="Arial"/>
                <w:sz w:val="20"/>
                <w:szCs w:val="20"/>
                <w:color w:val="auto"/>
              </w:rPr>
              <w:t>(126)</w:t>
            </w: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jc w:val="right"/>
              <w:ind w:right="24"/>
              <w:spacing w:after="0"/>
              <w:rPr>
                <w:sz w:val="20"/>
                <w:szCs w:val="20"/>
                <w:color w:val="auto"/>
              </w:rPr>
            </w:pPr>
            <w:r>
              <w:rPr>
                <w:rFonts w:ascii="Arial" w:cs="Arial" w:eastAsia="Arial" w:hAnsi="Arial"/>
                <w:sz w:val="20"/>
                <w:szCs w:val="20"/>
                <w:color w:val="auto"/>
              </w:rPr>
              <w:t>(126)</w:t>
            </w:r>
          </w:p>
        </w:tc>
      </w:tr>
      <w:tr>
        <w:trPr>
          <w:trHeight w:val="27"/>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r>
        <w:trPr>
          <w:trHeight w:val="279"/>
        </w:trPr>
        <w:tc>
          <w:tcPr>
            <w:tcW w:w="4240" w:type="dxa"/>
            <w:vAlign w:val="bottom"/>
            <w:tcBorders>
              <w:bottom w:val="single" w:sz="8" w:color="0C3D25"/>
            </w:tcBorders>
          </w:tcPr>
          <w:p>
            <w:pPr>
              <w:ind w:left="260"/>
              <w:spacing w:after="0" w:line="280" w:lineRule="exact"/>
              <w:rPr>
                <w:sz w:val="20"/>
                <w:szCs w:val="20"/>
                <w:color w:val="auto"/>
              </w:rPr>
            </w:pPr>
            <w:r>
              <w:rPr>
                <w:rFonts w:ascii="Arial" w:cs="Arial" w:eastAsia="Arial" w:hAnsi="Arial"/>
                <w:sz w:val="20"/>
                <w:szCs w:val="20"/>
                <w:color w:val="auto"/>
              </w:rPr>
              <w:t>Investment Tax Credits</w:t>
            </w:r>
            <w:r>
              <w:rPr>
                <w:rFonts w:ascii="Arial" w:cs="Arial" w:eastAsia="Arial" w:hAnsi="Arial"/>
                <w:sz w:val="25"/>
                <w:szCs w:val="25"/>
                <w:color w:val="auto"/>
                <w:vertAlign w:val="superscript"/>
              </w:rPr>
              <w:t>(c)</w:t>
            </w:r>
          </w:p>
        </w:tc>
        <w:tc>
          <w:tcPr>
            <w:tcW w:w="1840" w:type="dxa"/>
            <w:vAlign w:val="bottom"/>
            <w:tcBorders>
              <w:bottom w:val="single" w:sz="8" w:color="0C3D25"/>
            </w:tcBorders>
          </w:tcPr>
          <w:p>
            <w:pPr>
              <w:jc w:val="right"/>
              <w:ind w:right="425"/>
              <w:spacing w:after="0"/>
              <w:rPr>
                <w:sz w:val="20"/>
                <w:szCs w:val="20"/>
                <w:color w:val="auto"/>
              </w:rPr>
            </w:pPr>
            <w:r>
              <w:rPr>
                <w:rFonts w:ascii="Arial" w:cs="Arial" w:eastAsia="Arial" w:hAnsi="Arial"/>
                <w:sz w:val="20"/>
                <w:szCs w:val="20"/>
                <w:color w:val="auto"/>
              </w:rPr>
              <w:t>(73)</w:t>
            </w:r>
          </w:p>
        </w:tc>
        <w:tc>
          <w:tcPr>
            <w:tcW w:w="1180" w:type="dxa"/>
            <w:vAlign w:val="bottom"/>
            <w:tcBorders>
              <w:bottom w:val="single" w:sz="8" w:color="0C3D25"/>
            </w:tcBorders>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0C3D25"/>
            </w:tcBorders>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0C3D25"/>
            </w:tcBorders>
          </w:tcPr>
          <w:p>
            <w:pPr>
              <w:jc w:val="right"/>
              <w:ind w:right="24"/>
              <w:spacing w:after="0"/>
              <w:rPr>
                <w:sz w:val="20"/>
                <w:szCs w:val="20"/>
                <w:color w:val="auto"/>
              </w:rPr>
            </w:pPr>
            <w:r>
              <w:rPr>
                <w:rFonts w:ascii="Arial" w:cs="Arial" w:eastAsia="Arial" w:hAnsi="Arial"/>
                <w:sz w:val="20"/>
                <w:szCs w:val="20"/>
                <w:color w:val="auto"/>
              </w:rPr>
              <w:t>(73)</w:t>
            </w:r>
          </w:p>
        </w:tc>
      </w:tr>
      <w:tr>
        <w:trPr>
          <w:trHeight w:val="252"/>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1840" w:type="dxa"/>
            <w:vAlign w:val="bottom"/>
          </w:tcPr>
          <w:p>
            <w:pPr>
              <w:jc w:val="right"/>
              <w:ind w:right="485"/>
              <w:spacing w:after="0"/>
              <w:rPr>
                <w:sz w:val="20"/>
                <w:szCs w:val="20"/>
                <w:color w:val="auto"/>
              </w:rPr>
            </w:pPr>
            <w:r>
              <w:rPr>
                <w:rFonts w:ascii="Arial" w:cs="Arial" w:eastAsia="Arial" w:hAnsi="Arial"/>
                <w:sz w:val="20"/>
                <w:szCs w:val="20"/>
                <w:color w:val="auto"/>
              </w:rPr>
              <w:t>$15,737</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$8,717</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$357</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$7,377</w:t>
            </w:r>
          </w:p>
        </w:tc>
      </w:tr>
      <w:tr>
        <w:trPr>
          <w:trHeight w:val="32"/>
        </w:trPr>
        <w:tc>
          <w:tcPr>
            <w:tcW w:w="424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1180" w:type="dxa"/>
            <w:vAlign w:val="bottom"/>
            <w:tcBorders>
              <w:bottom w:val="single" w:sz="8" w:color="0C3D25"/>
            </w:tcBorders>
          </w:tcPr>
          <w:p>
            <w:pPr>
              <w:spacing w:after="0"/>
              <w:rPr>
                <w:sz w:val="2"/>
                <w:szCs w:val="2"/>
                <w:color w:val="auto"/>
              </w:rPr>
            </w:pPr>
          </w:p>
        </w:tc>
        <w:tc>
          <w:tcPr>
            <w:tcW w:w="1840" w:type="dxa"/>
            <w:vAlign w:val="bottom"/>
            <w:tcBorders>
              <w:bottom w:val="single" w:sz="8" w:color="0C3D25"/>
            </w:tcBorders>
          </w:tcPr>
          <w:p>
            <w:pPr>
              <w:spacing w:after="0"/>
              <w:rPr>
                <w:sz w:val="2"/>
                <w:szCs w:val="2"/>
                <w:color w:val="auto"/>
              </w:rPr>
            </w:pPr>
          </w:p>
        </w:tc>
        <w:tc>
          <w:tcPr>
            <w:tcW w:w="960" w:type="dxa"/>
            <w:vAlign w:val="bottom"/>
            <w:tcBorders>
              <w:bottom w:val="single" w:sz="8" w:color="0C3D25"/>
            </w:tcBorders>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p>
      <w:pPr>
        <w:ind w:left="402" w:hanging="402"/>
        <w:spacing w:after="0"/>
        <w:tabs>
          <w:tab w:leader="none" w:pos="40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Accrual adjustment to true-up recorded accrual amounts against reported financial results.</w:t>
      </w:r>
    </w:p>
    <w:p>
      <w:pPr>
        <w:spacing w:after="0" w:line="129" w:lineRule="exact"/>
        <w:rPr>
          <w:rFonts w:ascii="Arial" w:cs="Arial" w:eastAsia="Arial" w:hAnsi="Arial"/>
          <w:sz w:val="20"/>
          <w:szCs w:val="20"/>
          <w:color w:val="auto"/>
        </w:rPr>
      </w:pPr>
    </w:p>
    <w:p>
      <w:pPr>
        <w:ind w:left="402" w:hanging="402"/>
        <w:spacing w:after="0"/>
        <w:tabs>
          <w:tab w:leader="none" w:pos="40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As reported, Operating EBITDA, divided by revenue, is equal to 28.5%.</w:t>
      </w:r>
    </w:p>
    <w:p>
      <w:pPr>
        <w:spacing w:after="0" w:line="129"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Includes sustainability growth investments and benefits of investment tax credits that were not contemplated at the time this performance measure was established.</w:t>
      </w:r>
    </w:p>
    <w:p>
      <w:pPr>
        <w:sectPr>
          <w:pgSz w:w="11880" w:h="15480" w:orient="portrait"/>
          <w:cols w:equalWidth="0" w:num="1">
            <w:col w:w="10062"/>
          </w:cols>
          <w:pgMar w:left="898" w:top="971"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auto"/>
        </w:rPr>
        <w:t>B-2</w:t>
      </w:r>
      <w:r>
        <w:rPr>
          <w:sz w:val="20"/>
          <w:szCs w:val="20"/>
          <w:color w:val="auto"/>
        </w:rPr>
        <w:tab/>
      </w:r>
      <w:r>
        <w:rPr>
          <w:rFonts w:ascii="Arial" w:cs="Arial" w:eastAsia="Arial" w:hAnsi="Arial"/>
          <w:sz w:val="36"/>
          <w:szCs w:val="36"/>
          <w:b w:val="1"/>
          <w:bCs w:val="1"/>
          <w:color w:val="0C3D25"/>
        </w:rPr>
        <w:t xml:space="preserve">| </w:t>
      </w:r>
      <w:r>
        <w:rPr>
          <w:sz w:val="1"/>
          <w:szCs w:val="1"/>
          <w:color w:val="auto"/>
        </w:rPr>
        <w:drawing>
          <wp:inline distT="0" distB="0" distL="0" distR="0">
            <wp:extent cx="517525" cy="16192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87">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-87630</wp:posOffset>
            </wp:positionV>
            <wp:extent cx="42545"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88">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71" w:right="920" w:bottom="315"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89">
                      <a:extLst>
                        <a:ext uri="{28A0092B-C50C-407E-A947-70E740481C1C}"/>
                      </a:extLst>
                    </a:blip>
                    <a:srcRect/>
                    <a:stretch>
                      <a:fillRect/>
                    </a:stretch>
                  </pic:blipFill>
                  <pic:spPr bwMode="auto">
                    <a:xfrm>
                      <a:off x="0" y="0"/>
                      <a:ext cx="657669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48"/>
          <w:szCs w:val="48"/>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9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85" w:name="page86"/>
    <w:bookmarkEnd w:id="85"/>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249555</wp:posOffset>
                </wp:positionH>
                <wp:positionV relativeFrom="page">
                  <wp:posOffset>299085</wp:posOffset>
                </wp:positionV>
                <wp:extent cx="704405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4055" cy="4763"/>
                        </a:xfrm>
                        <a:prstGeom prst="line">
                          <a:avLst/>
                        </a:prstGeom>
                        <a:solidFill>
                          <a:srgbClr val="FFFFFF"/>
                        </a:solidFill>
                        <a:ln w="37718">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9.65pt,23.55pt" to="574.3pt,23.55pt" o:allowincell="f" strokecolor="#000000" strokeweight="2.9699pt">
                <w10:wrap anchorx="page" anchory="page"/>
              </v:line>
            </w:pict>
          </mc:Fallback>
        </mc:AlternateContent>
        <mc:AlternateContent>
          <mc:Choice Requires="wps">
            <w:drawing>
              <wp:anchor simplePos="0" relativeHeight="251657728" behindDoc="1" locked="0" layoutInCell="0" allowOverlap="1">
                <wp:simplePos x="0" y="0"/>
                <wp:positionH relativeFrom="page">
                  <wp:posOffset>249555</wp:posOffset>
                </wp:positionH>
                <wp:positionV relativeFrom="page">
                  <wp:posOffset>360680</wp:posOffset>
                </wp:positionV>
                <wp:extent cx="704405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4055"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9.65pt,28.4pt" to="574.3pt,28.4pt" o:allowincell="f" strokecolor="#000000" strokeweight="0.4752pt">
                <w10:wrap anchorx="page" anchory="page"/>
              </v:line>
            </w:pict>
          </mc:Fallback>
        </mc:AlternateContent>
        <w:t>UNITED STATES SECURITIES AND EXCHANGE COMMISSION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(Mark One)</w:t>
      </w:r>
    </w:p>
    <w:p>
      <w:pPr>
        <w:spacing w:after="0" w:line="159" w:lineRule="exact"/>
        <w:rPr>
          <w:sz w:val="20"/>
          <w:szCs w:val="20"/>
          <w:color w:val="auto"/>
        </w:rPr>
      </w:pPr>
    </w:p>
    <w:p>
      <w:pPr>
        <w:ind w:left="600" w:right="1340" w:hanging="426"/>
        <w:spacing w:after="0" w:line="354" w:lineRule="auto"/>
        <w:tabs>
          <w:tab w:leader="none" w:pos="609" w:val="left"/>
        </w:tabs>
        <w:numPr>
          <w:ilvl w:val="0"/>
          <w:numId w:val="66"/>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AND EXCHANGE ACT OF 1934 For the fiscal year ended December 31, 2025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600" w:hanging="426"/>
        <w:spacing w:after="0" w:line="196" w:lineRule="auto"/>
        <w:tabs>
          <w:tab w:leader="none" w:pos="600" w:val="left"/>
        </w:tabs>
        <w:numPr>
          <w:ilvl w:val="0"/>
          <w:numId w:val="67"/>
        </w:numPr>
        <w:rPr>
          <w:rFonts w:ascii="MS PGothic" w:cs="MS PGothic" w:eastAsia="MS PGothic" w:hAnsi="MS PGothic"/>
          <w:sz w:val="15"/>
          <w:szCs w:val="15"/>
          <w:color w:val="auto"/>
        </w:rPr>
      </w:pPr>
      <w:r>
        <w:rPr>
          <w:rFonts w:ascii="Times New Roman" w:cs="Times New Roman" w:eastAsia="Times New Roman" w:hAnsi="Times New Roman"/>
          <w:sz w:val="14"/>
          <w:szCs w:val="14"/>
          <w:b w:val="1"/>
          <w:bCs w:val="1"/>
          <w:color w:val="auto"/>
        </w:rPr>
        <w:t>TRANSITION REPORT PURSUANT TO SECTION 13 OR 15(d) OF THE SECURITIES AND EXCHANGE ACT OF 1934</w:t>
      </w:r>
    </w:p>
    <w:p>
      <w:pPr>
        <w:spacing w:after="0" w:line="326" w:lineRule="exact"/>
        <w:rPr>
          <w:sz w:val="20"/>
          <w:szCs w:val="20"/>
          <w:color w:val="auto"/>
        </w:rPr>
      </w:pPr>
    </w:p>
    <w:p>
      <w:pPr>
        <w:ind w:left="60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Waste Management,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2600" w:type="dxa"/>
            <w:vAlign w:val="bottom"/>
            <w:gridSpan w:val="2"/>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tcPr>
          <w:p>
            <w:pPr>
              <w:jc w:val="right"/>
              <w:ind w:right="2037"/>
              <w:spacing w:after="0"/>
              <w:rPr>
                <w:sz w:val="20"/>
                <w:szCs w:val="20"/>
                <w:color w:val="auto"/>
              </w:rPr>
            </w:pPr>
            <w:r>
              <w:rPr>
                <w:rFonts w:ascii="Times New Roman" w:cs="Times New Roman" w:eastAsia="Times New Roman" w:hAnsi="Times New Roman"/>
                <w:sz w:val="16"/>
                <w:szCs w:val="16"/>
                <w:b w:val="1"/>
                <w:bCs w:val="1"/>
                <w:color w:val="auto"/>
                <w:w w:val="98"/>
              </w:rPr>
              <w:t>73-1309529</w:t>
            </w:r>
          </w:p>
        </w:tc>
      </w:tr>
      <w:tr>
        <w:trPr>
          <w:trHeight w:val="182"/>
        </w:trPr>
        <w:tc>
          <w:tcPr>
            <w:tcW w:w="920" w:type="dxa"/>
            <w:vAlign w:val="bottom"/>
          </w:tcPr>
          <w:p>
            <w:pPr>
              <w:spacing w:after="0"/>
              <w:rPr>
                <w:sz w:val="15"/>
                <w:szCs w:val="15"/>
                <w:color w:val="auto"/>
              </w:rPr>
            </w:pPr>
          </w:p>
        </w:tc>
        <w:tc>
          <w:tcPr>
            <w:tcW w:w="2600" w:type="dxa"/>
            <w:vAlign w:val="bottom"/>
            <w:gridSpan w:val="2"/>
          </w:tcPr>
          <w:p>
            <w:pPr>
              <w:jc w:val="center"/>
              <w:ind w:left="461"/>
              <w:spacing w:after="0" w:line="182" w:lineRule="exact"/>
              <w:rPr>
                <w:sz w:val="20"/>
                <w:szCs w:val="20"/>
                <w:color w:val="auto"/>
              </w:rPr>
            </w:pPr>
            <w:r>
              <w:rPr>
                <w:rFonts w:ascii="Times New Roman" w:cs="Times New Roman" w:eastAsia="Times New Roman" w:hAnsi="Times New Roman"/>
                <w:sz w:val="16"/>
                <w:szCs w:val="16"/>
                <w:i w:val="1"/>
                <w:iCs w:val="1"/>
                <w:color w:val="auto"/>
                <w:w w:val="99"/>
              </w:rPr>
              <w:t>(State or other jurisdiction of</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120" w:type="dxa"/>
            <w:vAlign w:val="bottom"/>
            <w:gridSpan w:val="2"/>
          </w:tcPr>
          <w:p>
            <w:pPr>
              <w:jc w:val="center"/>
              <w:ind w:right="1797"/>
              <w:spacing w:after="0" w:line="182" w:lineRule="exact"/>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09"/>
        </w:trPr>
        <w:tc>
          <w:tcPr>
            <w:tcW w:w="920" w:type="dxa"/>
            <w:vAlign w:val="bottom"/>
          </w:tcPr>
          <w:p>
            <w:pPr>
              <w:spacing w:after="0"/>
              <w:rPr>
                <w:sz w:val="18"/>
                <w:szCs w:val="18"/>
                <w:color w:val="auto"/>
              </w:rPr>
            </w:pPr>
          </w:p>
        </w:tc>
        <w:tc>
          <w:tcPr>
            <w:tcW w:w="2600" w:type="dxa"/>
            <w:vAlign w:val="bottom"/>
            <w:gridSpan w:val="2"/>
          </w:tcPr>
          <w:p>
            <w:pPr>
              <w:jc w:val="center"/>
              <w:ind w:left="441"/>
              <w:spacing w:after="0"/>
              <w:rPr>
                <w:sz w:val="20"/>
                <w:szCs w:val="20"/>
                <w:color w:val="auto"/>
              </w:rPr>
            </w:pPr>
            <w:r>
              <w:rPr>
                <w:rFonts w:ascii="Times New Roman" w:cs="Times New Roman" w:eastAsia="Times New Roman" w:hAnsi="Times New Roman"/>
                <w:sz w:val="16"/>
                <w:szCs w:val="16"/>
                <w:i w:val="1"/>
                <w:iCs w:val="1"/>
                <w:color w:val="auto"/>
                <w:w w:val="98"/>
              </w:rPr>
              <w:t>incorporation or organization)</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2"/>
          </w:tcPr>
          <w:p>
            <w:pPr>
              <w:jc w:val="center"/>
              <w:ind w:right="1777"/>
              <w:spacing w:after="0"/>
              <w:rPr>
                <w:sz w:val="20"/>
                <w:szCs w:val="20"/>
                <w:color w:val="auto"/>
              </w:rPr>
            </w:pPr>
            <w:r>
              <w:rPr>
                <w:rFonts w:ascii="Times New Roman" w:cs="Times New Roman" w:eastAsia="Times New Roman" w:hAnsi="Times New Roman"/>
                <w:sz w:val="16"/>
                <w:szCs w:val="16"/>
                <w:i w:val="1"/>
                <w:iCs w:val="1"/>
                <w:color w:val="auto"/>
                <w:w w:val="98"/>
              </w:rPr>
              <w:t>Identification No.)</w:t>
            </w:r>
          </w:p>
        </w:tc>
      </w:tr>
      <w:tr>
        <w:trPr>
          <w:trHeight w:val="240"/>
        </w:trPr>
        <w:tc>
          <w:tcPr>
            <w:tcW w:w="920" w:type="dxa"/>
            <w:vAlign w:val="bottom"/>
          </w:tcPr>
          <w:p>
            <w:pPr>
              <w:spacing w:after="0"/>
              <w:rPr>
                <w:sz w:val="20"/>
                <w:szCs w:val="20"/>
                <w:color w:val="auto"/>
              </w:rPr>
            </w:pPr>
          </w:p>
        </w:tc>
        <w:tc>
          <w:tcPr>
            <w:tcW w:w="2600" w:type="dxa"/>
            <w:vAlign w:val="bottom"/>
            <w:gridSpan w:val="2"/>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rPr>
              <w:t>800 Capitol Street</w:t>
            </w: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2600" w:type="dxa"/>
            <w:vAlign w:val="bottom"/>
            <w:gridSpan w:val="2"/>
          </w:tcPr>
          <w:p>
            <w:pPr>
              <w:jc w:val="center"/>
              <w:ind w:left="461"/>
              <w:spacing w:after="0" w:line="183" w:lineRule="exact"/>
              <w:rPr>
                <w:sz w:val="20"/>
                <w:szCs w:val="20"/>
                <w:color w:val="auto"/>
              </w:rPr>
            </w:pPr>
            <w:r>
              <w:rPr>
                <w:rFonts w:ascii="Times New Roman" w:cs="Times New Roman" w:eastAsia="Times New Roman" w:hAnsi="Times New Roman"/>
                <w:sz w:val="16"/>
                <w:szCs w:val="16"/>
                <w:b w:val="1"/>
                <w:bCs w:val="1"/>
                <w:color w:val="auto"/>
                <w:w w:val="98"/>
              </w:rPr>
              <w:t>Suite 3000</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8"/>
        </w:trPr>
        <w:tc>
          <w:tcPr>
            <w:tcW w:w="920" w:type="dxa"/>
            <w:vAlign w:val="bottom"/>
          </w:tcPr>
          <w:p>
            <w:pPr>
              <w:spacing w:after="0"/>
              <w:rPr>
                <w:sz w:val="16"/>
                <w:szCs w:val="16"/>
                <w:color w:val="auto"/>
              </w:rPr>
            </w:pPr>
          </w:p>
        </w:tc>
        <w:tc>
          <w:tcPr>
            <w:tcW w:w="2600" w:type="dxa"/>
            <w:vAlign w:val="bottom"/>
            <w:gridSpan w:val="2"/>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tcPr>
          <w:p>
            <w:pPr>
              <w:jc w:val="right"/>
              <w:ind w:right="2217"/>
              <w:spacing w:after="0"/>
              <w:rPr>
                <w:sz w:val="20"/>
                <w:szCs w:val="20"/>
                <w:color w:val="auto"/>
              </w:rPr>
            </w:pPr>
            <w:r>
              <w:rPr>
                <w:rFonts w:ascii="Times New Roman" w:cs="Times New Roman" w:eastAsia="Times New Roman" w:hAnsi="Times New Roman"/>
                <w:sz w:val="16"/>
                <w:szCs w:val="16"/>
                <w:b w:val="1"/>
                <w:bCs w:val="1"/>
                <w:color w:val="auto"/>
              </w:rPr>
              <w:t>77002</w:t>
            </w:r>
          </w:p>
        </w:tc>
      </w:tr>
      <w:tr>
        <w:trPr>
          <w:trHeight w:val="209"/>
        </w:trPr>
        <w:tc>
          <w:tcPr>
            <w:tcW w:w="920" w:type="dxa"/>
            <w:vAlign w:val="bottom"/>
          </w:tcPr>
          <w:p>
            <w:pPr>
              <w:spacing w:after="0"/>
              <w:rPr>
                <w:sz w:val="18"/>
                <w:szCs w:val="18"/>
                <w:color w:val="auto"/>
              </w:rPr>
            </w:pPr>
          </w:p>
        </w:tc>
        <w:tc>
          <w:tcPr>
            <w:tcW w:w="6440" w:type="dxa"/>
            <w:vAlign w:val="bottom"/>
            <w:gridSpan w:val="5"/>
          </w:tcPr>
          <w:p>
            <w:pPr>
              <w:jc w:val="center"/>
              <w:ind w:right="3320"/>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w:t>
            </w:r>
          </w:p>
        </w:tc>
        <w:tc>
          <w:tcPr>
            <w:tcW w:w="240" w:type="dxa"/>
            <w:vAlign w:val="bottom"/>
          </w:tcPr>
          <w:p>
            <w:pPr>
              <w:spacing w:after="0"/>
              <w:rPr>
                <w:sz w:val="18"/>
                <w:szCs w:val="18"/>
                <w:color w:val="auto"/>
              </w:rPr>
            </w:pPr>
          </w:p>
        </w:tc>
        <w:tc>
          <w:tcPr>
            <w:tcW w:w="2880" w:type="dxa"/>
            <w:vAlign w:val="bottom"/>
          </w:tcPr>
          <w:p>
            <w:pPr>
              <w:jc w:val="center"/>
              <w:ind w:right="2017"/>
              <w:spacing w:after="0"/>
              <w:rPr>
                <w:sz w:val="20"/>
                <w:szCs w:val="20"/>
                <w:color w:val="auto"/>
              </w:rPr>
            </w:pPr>
            <w:r>
              <w:rPr>
                <w:rFonts w:ascii="Times New Roman" w:cs="Times New Roman" w:eastAsia="Times New Roman" w:hAnsi="Times New Roman"/>
                <w:sz w:val="16"/>
                <w:szCs w:val="16"/>
                <w:i w:val="1"/>
                <w:iCs w:val="1"/>
                <w:color w:val="auto"/>
                <w:w w:val="96"/>
              </w:rPr>
              <w:t>(Zip code)</w:t>
            </w:r>
          </w:p>
        </w:tc>
      </w:tr>
      <w:tr>
        <w:trPr>
          <w:trHeight w:val="270"/>
        </w:trPr>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24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17"/>
        </w:trPr>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80" w:type="dxa"/>
            <w:vAlign w:val="bottom"/>
            <w:gridSpan w:val="2"/>
          </w:tcPr>
          <w:p>
            <w:pPr>
              <w:jc w:val="center"/>
              <w:ind w:left="1081"/>
              <w:spacing w:after="0"/>
              <w:rPr>
                <w:sz w:val="20"/>
                <w:szCs w:val="20"/>
                <w:color w:val="auto"/>
              </w:rPr>
            </w:pPr>
            <w:r>
              <w:rPr>
                <w:rFonts w:ascii="Times New Roman" w:cs="Times New Roman" w:eastAsia="Times New Roman" w:hAnsi="Times New Roman"/>
                <w:sz w:val="16"/>
                <w:szCs w:val="16"/>
                <w:b w:val="1"/>
                <w:bCs w:val="1"/>
                <w:color w:val="auto"/>
                <w:w w:val="99"/>
              </w:rPr>
              <w:t>(713) 512-6200</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66"/>
        </w:trPr>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160" w:type="dxa"/>
            <w:vAlign w:val="bottom"/>
            <w:gridSpan w:val="4"/>
          </w:tcPr>
          <w:p>
            <w:pPr>
              <w:jc w:val="center"/>
              <w:ind w:left="841"/>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24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81"/>
        </w:trPr>
        <w:tc>
          <w:tcPr>
            <w:tcW w:w="92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560" w:type="dxa"/>
            <w:vAlign w:val="bottom"/>
          </w:tcPr>
          <w:p>
            <w:pPr>
              <w:spacing w:after="0"/>
              <w:rPr>
                <w:sz w:val="24"/>
                <w:szCs w:val="24"/>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Common Stock, $0.01 par</w:t>
            </w:r>
          </w:p>
        </w:tc>
        <w:tc>
          <w:tcPr>
            <w:tcW w:w="1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tcPr>
          <w:p>
            <w:pPr>
              <w:spacing w:after="0"/>
              <w:rPr>
                <w:sz w:val="17"/>
                <w:szCs w:val="17"/>
                <w:color w:val="auto"/>
              </w:rPr>
            </w:pPr>
          </w:p>
        </w:tc>
        <w:tc>
          <w:tcPr>
            <w:tcW w:w="2680" w:type="dxa"/>
            <w:vAlign w:val="bottom"/>
            <w:gridSpan w:val="2"/>
          </w:tcPr>
          <w:p>
            <w:pPr>
              <w:jc w:val="center"/>
              <w:ind w:right="1560"/>
              <w:spacing w:after="0"/>
              <w:rPr>
                <w:sz w:val="20"/>
                <w:szCs w:val="20"/>
                <w:color w:val="auto"/>
              </w:rPr>
            </w:pPr>
            <w:r>
              <w:rPr>
                <w:rFonts w:ascii="Times New Roman" w:cs="Times New Roman" w:eastAsia="Times New Roman" w:hAnsi="Times New Roman"/>
                <w:sz w:val="16"/>
                <w:szCs w:val="16"/>
                <w:color w:val="auto"/>
                <w:w w:val="95"/>
              </w:rPr>
              <w:t>WM</w:t>
            </w:r>
          </w:p>
        </w:tc>
        <w:tc>
          <w:tcPr>
            <w:tcW w:w="240" w:type="dxa"/>
            <w:vAlign w:val="bottom"/>
          </w:tcPr>
          <w:p>
            <w:pPr>
              <w:spacing w:after="0"/>
              <w:rPr>
                <w:sz w:val="17"/>
                <w:szCs w:val="17"/>
                <w:color w:val="auto"/>
              </w:rPr>
            </w:pPr>
          </w:p>
        </w:tc>
        <w:tc>
          <w:tcPr>
            <w:tcW w:w="2880" w:type="dxa"/>
            <w:vAlign w:val="bottom"/>
          </w:tcPr>
          <w:p>
            <w:pPr>
              <w:jc w:val="center"/>
              <w:ind w:right="177"/>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84"/>
        </w:trPr>
        <w:tc>
          <w:tcPr>
            <w:tcW w:w="76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by Rule 405 of the Securities Act.</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YesNo</w:t>
            </w:r>
          </w:p>
        </w:tc>
      </w:tr>
      <w:tr>
        <w:trPr>
          <w:trHeight w:val="296"/>
        </w:trPr>
        <w:tc>
          <w:tcPr>
            <w:tcW w:w="760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8"/>
              </w:rPr>
              <w:t>Indicate by check mark if the registrant is not required to file reports pursuant to Section 13 or Section 15(d) of the Act.</w:t>
            </w:r>
          </w:p>
        </w:tc>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YesNo</w:t>
            </w:r>
          </w:p>
        </w:tc>
      </w:tr>
    </w:tbl>
    <w:p>
      <w:pPr>
        <w:spacing w:after="0" w:line="85" w:lineRule="exact"/>
        <w:rPr>
          <w:sz w:val="20"/>
          <w:szCs w:val="20"/>
          <w:color w:val="auto"/>
        </w:rPr>
      </w:pPr>
    </w:p>
    <w:p>
      <w:pPr>
        <w:jc w:val="both"/>
        <w:ind w:left="20" w:right="20" w:firstLine="285"/>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74" w:lineRule="exact"/>
        <w:rPr>
          <w:sz w:val="20"/>
          <w:szCs w:val="20"/>
          <w:color w:val="auto"/>
        </w:rPr>
      </w:pPr>
    </w:p>
    <w:p>
      <w:pPr>
        <w:jc w:val="both"/>
        <w:ind w:left="20" w:right="20" w:firstLine="285"/>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No</w:t>
      </w:r>
    </w:p>
    <w:p>
      <w:pPr>
        <w:spacing w:after="0" w:line="62" w:lineRule="exact"/>
        <w:rPr>
          <w:sz w:val="20"/>
          <w:szCs w:val="20"/>
          <w:color w:val="auto"/>
        </w:rPr>
      </w:pPr>
    </w:p>
    <w:p>
      <w:pPr>
        <w:jc w:val="both"/>
        <w:ind w:left="20" w:right="20" w:firstLine="285"/>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080"/>
          </w:cols>
          <w:pgMar w:left="400" w:top="653" w:right="400" w:bottom="0" w:gutter="0" w:footer="0" w:header="0"/>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5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2" w:lineRule="exact"/>
        <w:rPr>
          <w:sz w:val="20"/>
          <w:szCs w:val="20"/>
          <w:color w:val="auto"/>
        </w:rPr>
      </w:pPr>
    </w:p>
    <w:p>
      <w:pPr>
        <w:sectPr>
          <w:pgSz w:w="11880" w:h="15480" w:orient="portrait"/>
          <w:cols w:equalWidth="0" w:num="2">
            <w:col w:w="8420" w:space="720"/>
            <w:col w:w="1940"/>
          </w:cols>
          <w:pgMar w:left="400" w:top="653" w:right="400" w:bottom="0" w:gutter="0" w:footer="0" w:header="0"/>
          <w:type w:val="continuous"/>
        </w:sectPr>
      </w:pPr>
    </w:p>
    <w:p>
      <w:pPr>
        <w:jc w:val="both"/>
        <w:ind w:left="20" w:right="20" w:firstLine="285"/>
        <w:spacing w:after="0" w:line="25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0"/>
          <w:szCs w:val="20"/>
          <w:color w:val="auto"/>
        </w:rPr>
      </w:pPr>
    </w:p>
    <w:p>
      <w:pPr>
        <w:jc w:val="both"/>
        <w:ind w:left="20" w:right="20" w:firstLine="285"/>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jc w:val="both"/>
        <w:ind w:left="20" w:right="20" w:firstLine="285"/>
        <w:spacing w:after="0" w:line="251"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6" w:lineRule="exact"/>
        <w:rPr>
          <w:sz w:val="20"/>
          <w:szCs w:val="20"/>
          <w:color w:val="auto"/>
        </w:rPr>
      </w:pPr>
    </w:p>
    <w:p>
      <w:pPr>
        <w:jc w:val="both"/>
        <w:ind w:left="20" w:right="20" w:firstLine="285"/>
        <w:spacing w:after="0" w:line="259"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30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0" w:lineRule="exact"/>
        <w:rPr>
          <w:sz w:val="20"/>
          <w:szCs w:val="20"/>
          <w:color w:val="auto"/>
        </w:rPr>
      </w:pPr>
    </w:p>
    <w:p>
      <w:pPr>
        <w:jc w:val="both"/>
        <w:ind w:left="20" w:right="20" w:firstLine="285"/>
        <w:spacing w:after="0" w:line="254"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as of June 30, 2025 was approximately $92.0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The number of shares of Common Stock, $0.01 par value, of the registrant outstanding as of February 5, 2026 was 403,335,781 (excluding treasury shares of 226,946,680).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5"/>
                <w:szCs w:val="15"/>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3140" w:type="dxa"/>
            <w:vAlign w:val="bottom"/>
            <w:gridSpan w:val="2"/>
          </w:tcPr>
          <w:p>
            <w:pPr>
              <w:jc w:val="center"/>
              <w:ind w:left="1801"/>
              <w:spacing w:after="0"/>
              <w:rPr>
                <w:sz w:val="20"/>
                <w:szCs w:val="20"/>
                <w:color w:val="auto"/>
              </w:rPr>
            </w:pPr>
            <w:r>
              <w:rPr>
                <w:rFonts w:ascii="Times New Roman" w:cs="Times New Roman" w:eastAsia="Times New Roman" w:hAnsi="Times New Roman"/>
                <w:sz w:val="16"/>
                <w:szCs w:val="16"/>
                <w:b w:val="1"/>
                <w:bCs w:val="1"/>
                <w:color w:val="auto"/>
                <w:w w:val="99"/>
              </w:rPr>
              <w:t>Incorporated as to</w:t>
            </w:r>
          </w:p>
        </w:tc>
        <w:tc>
          <w:tcPr>
            <w:tcW w:w="2100" w:type="dxa"/>
            <w:vAlign w:val="bottom"/>
          </w:tcPr>
          <w:p>
            <w:pPr>
              <w:spacing w:after="0"/>
              <w:rPr>
                <w:sz w:val="15"/>
                <w:szCs w:val="15"/>
                <w:color w:val="auto"/>
              </w:rPr>
            </w:pPr>
          </w:p>
        </w:tc>
      </w:tr>
      <w:tr>
        <w:trPr>
          <w:trHeight w:val="164"/>
        </w:trPr>
        <w:tc>
          <w:tcPr>
            <w:tcW w:w="2380" w:type="dxa"/>
            <w:vAlign w:val="bottom"/>
          </w:tcPr>
          <w:p>
            <w:pPr>
              <w:ind w:left="1980"/>
              <w:spacing w:after="0" w:line="165" w:lineRule="exact"/>
              <w:rPr>
                <w:sz w:val="20"/>
                <w:szCs w:val="20"/>
                <w:color w:val="auto"/>
              </w:rPr>
            </w:pPr>
            <w:r>
              <w:rPr>
                <w:rFonts w:ascii="Times New Roman" w:cs="Times New Roman" w:eastAsia="Times New Roman" w:hAnsi="Times New Roman"/>
                <w:sz w:val="16"/>
                <w:szCs w:val="16"/>
                <w:color w:val="auto"/>
                <w:w w:val="99"/>
              </w:rPr>
              <w:t>Proxy</w:t>
            </w:r>
          </w:p>
        </w:tc>
        <w:tc>
          <w:tcPr>
            <w:tcW w:w="70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Statement</w:t>
            </w:r>
          </w:p>
        </w:tc>
        <w:tc>
          <w:tcPr>
            <w:tcW w:w="27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for the</w:t>
            </w:r>
          </w:p>
        </w:tc>
        <w:tc>
          <w:tcPr>
            <w:tcW w:w="1880" w:type="dxa"/>
            <w:vAlign w:val="bottom"/>
          </w:tcPr>
          <w:p>
            <w:pPr>
              <w:spacing w:after="0"/>
              <w:rPr>
                <w:sz w:val="14"/>
                <w:szCs w:val="14"/>
                <w:color w:val="auto"/>
              </w:rPr>
            </w:pPr>
          </w:p>
        </w:tc>
        <w:tc>
          <w:tcPr>
            <w:tcW w:w="126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Part III</w:t>
            </w:r>
          </w:p>
        </w:tc>
        <w:tc>
          <w:tcPr>
            <w:tcW w:w="2100" w:type="dxa"/>
            <w:vAlign w:val="bottom"/>
          </w:tcPr>
          <w:p>
            <w:pPr>
              <w:spacing w:after="0"/>
              <w:rPr>
                <w:sz w:val="14"/>
                <w:szCs w:val="14"/>
                <w:color w:val="auto"/>
              </w:rPr>
            </w:pPr>
          </w:p>
        </w:tc>
      </w:tr>
      <w:tr>
        <w:trPr>
          <w:trHeight w:val="211"/>
        </w:trPr>
        <w:tc>
          <w:tcPr>
            <w:tcW w:w="5840" w:type="dxa"/>
            <w:vAlign w:val="bottom"/>
            <w:gridSpan w:val="3"/>
          </w:tcPr>
          <w:p>
            <w:pPr>
              <w:ind w:left="1520"/>
              <w:spacing w:after="0"/>
              <w:rPr>
                <w:sz w:val="20"/>
                <w:szCs w:val="20"/>
                <w:color w:val="auto"/>
              </w:rPr>
            </w:pPr>
            <w:r>
              <w:rPr>
                <w:rFonts w:ascii="Times New Roman" w:cs="Times New Roman" w:eastAsia="Times New Roman" w:hAnsi="Times New Roman"/>
                <w:sz w:val="16"/>
                <w:szCs w:val="16"/>
                <w:color w:val="auto"/>
              </w:rPr>
              <w:t>2026 Annual Meeting of Stockholders</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02"/>
        </w:trPr>
        <w:tc>
          <w:tcPr>
            <w:tcW w:w="2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r>
      <w:tr>
        <w:trPr>
          <w:trHeight w:val="91"/>
        </w:trPr>
        <w:tc>
          <w:tcPr>
            <w:tcW w:w="23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bl>
    <w:p>
      <w:pPr>
        <w:sectPr>
          <w:pgSz w:w="11880" w:h="15480" w:orient="portrait"/>
          <w:cols w:equalWidth="0" w:num="1">
            <w:col w:w="11080"/>
          </w:cols>
          <w:pgMar w:left="400" w:top="653" w:right="400" w:bottom="0" w:gutter="0" w:footer="0" w:header="0"/>
          <w:type w:val="continuous"/>
        </w:sectPr>
      </w:pPr>
    </w:p>
    <w:bookmarkStart w:id="87" w:name="page88"/>
    <w:bookmarkEnd w:id="87"/>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64"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5588000</wp:posOffset>
                </wp:positionH>
                <wp:positionV relativeFrom="paragraph">
                  <wp:posOffset>14605</wp:posOffset>
                </wp:positionV>
                <wp:extent cx="57912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1.15pt" to="485.6pt,1.15pt" o:allowincell="f" strokecolor="#000000" strokeweight="0.4799pt"/>
            </w:pict>
          </mc:Fallback>
        </mc:AlternateContent>
      </w:r>
    </w:p>
    <w:p>
      <w:pPr>
        <w:spacing w:after="0" w:line="16" w:lineRule="exact"/>
        <w:rPr>
          <w:sz w:val="20"/>
          <w:szCs w:val="20"/>
          <w:color w:val="auto"/>
        </w:rPr>
      </w:pPr>
    </w:p>
    <w:p>
      <w:pPr>
        <w:spacing w:after="0"/>
        <w:tabs>
          <w:tab w:leader="none" w:pos="9600" w:val="left"/>
        </w:tabs>
        <w:rPr>
          <w:sz w:val="20"/>
          <w:szCs w:val="20"/>
          <w:color w:val="auto"/>
        </w:rPr>
      </w:pPr>
      <w:r>
        <w:rPr>
          <w:rFonts w:ascii="Times New Roman" w:cs="Times New Roman" w:eastAsia="Times New Roman" w:hAnsi="Times New Roman"/>
          <w:sz w:val="20"/>
          <w:szCs w:val="20"/>
          <w:color w:val="auto"/>
        </w:rPr>
        <w:t>Cautionary Statement on Forward-Looking Statements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line="2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45" w:lineRule="exact"/>
        <w:rPr>
          <w:sz w:val="20"/>
          <w:szCs w:val="20"/>
          <w:color w:val="auto"/>
        </w:rPr>
      </w:pPr>
    </w:p>
    <w:p>
      <w:pPr>
        <w:spacing w:after="0"/>
        <w:tabs>
          <w:tab w:leader="none" w:pos="800" w:val="left"/>
          <w:tab w:leader="none" w:pos="960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spacing w:after="0" w:line="16"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w:t>
      </w:r>
    </w:p>
    <w:p>
      <w:pPr>
        <w:spacing w:after="0" w:line="20"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1B. Unresolved Staff Comments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spacing w:after="0" w:line="21"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1C. Cybersecurity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spacing w:after="0" w:line="20"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20"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3.</w:t>
        <w:tab/>
        <w:t>Legal Proceedings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21"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4.</w:t>
        <w:tab/>
        <w:t>Mine Safety Disclosures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w:t>
      </w:r>
    </w:p>
    <w:p>
      <w:pPr>
        <w:spacing w:after="0" w:line="7" w:lineRule="exact"/>
        <w:rPr>
          <w:sz w:val="20"/>
          <w:szCs w:val="20"/>
          <w:color w:val="auto"/>
        </w:rPr>
      </w:pPr>
    </w:p>
    <w:p>
      <w:pPr>
        <w:ind w:left="960"/>
        <w:spacing w:after="0"/>
        <w:tabs>
          <w:tab w:leader="none" w:pos="9500" w:val="left"/>
        </w:tabs>
        <w:rPr>
          <w:sz w:val="20"/>
          <w:szCs w:val="20"/>
          <w:color w:val="auto"/>
        </w:rPr>
      </w:pPr>
      <w:r>
        <w:rPr>
          <w:rFonts w:ascii="Times New Roman" w:cs="Times New Roman" w:eastAsia="Times New Roman" w:hAnsi="Times New Roman"/>
          <w:sz w:val="20"/>
          <w:szCs w:val="20"/>
          <w:color w:val="auto"/>
        </w:rPr>
        <w:t>Equity Securities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41</w:t>
      </w:r>
    </w:p>
    <w:p>
      <w:pPr>
        <w:spacing w:after="0" w:line="9"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42</w:t>
      </w:r>
    </w:p>
    <w:p>
      <w:pPr>
        <w:spacing w:after="0" w:line="19"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 . . . . . . .</w:t>
      </w:r>
      <w:r>
        <w:rPr>
          <w:sz w:val="20"/>
          <w:szCs w:val="20"/>
          <w:color w:val="auto"/>
        </w:rPr>
        <w:tab/>
      </w:r>
      <w:r>
        <w:rPr>
          <w:rFonts w:ascii="Times New Roman" w:cs="Times New Roman" w:eastAsia="Times New Roman" w:hAnsi="Times New Roman"/>
          <w:sz w:val="20"/>
          <w:szCs w:val="20"/>
          <w:color w:val="auto"/>
        </w:rPr>
        <w:t>42</w:t>
      </w:r>
    </w:p>
    <w:p>
      <w:pPr>
        <w:spacing w:after="0" w:line="20"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21" w:lineRule="exact"/>
        <w:rPr>
          <w:sz w:val="20"/>
          <w:szCs w:val="20"/>
          <w:color w:val="auto"/>
        </w:rPr>
      </w:pPr>
    </w:p>
    <w:p>
      <w:pPr>
        <w:spacing w:after="0"/>
        <w:tabs>
          <w:tab w:leader="none" w:pos="800" w:val="left"/>
          <w:tab w:leader="none" w:pos="95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20" w:lineRule="exact"/>
        <w:rPr>
          <w:sz w:val="20"/>
          <w:szCs w:val="20"/>
          <w:color w:val="auto"/>
        </w:rPr>
      </w:pPr>
    </w:p>
    <w:p>
      <w:pPr>
        <w:spacing w:after="0"/>
        <w:tabs>
          <w:tab w:leader="none" w:pos="800" w:val="left"/>
          <w:tab w:leader="none" w:pos="940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 . . . . . . .</w:t>
      </w:r>
      <w:r>
        <w:rPr>
          <w:sz w:val="20"/>
          <w:szCs w:val="20"/>
          <w:color w:val="auto"/>
        </w:rPr>
        <w:tab/>
      </w:r>
      <w:r>
        <w:rPr>
          <w:rFonts w:ascii="Times New Roman" w:cs="Times New Roman" w:eastAsia="Times New Roman" w:hAnsi="Times New Roman"/>
          <w:sz w:val="20"/>
          <w:szCs w:val="20"/>
          <w:color w:val="auto"/>
        </w:rPr>
        <w:t>133</w:t>
      </w:r>
    </w:p>
    <w:p>
      <w:pPr>
        <w:spacing w:after="0" w:line="20"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133</w:t>
      </w:r>
    </w:p>
    <w:p>
      <w:pPr>
        <w:spacing w:after="0" w:line="21"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9B. Other Information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134</w:t>
      </w:r>
    </w:p>
    <w:p>
      <w:pPr>
        <w:spacing w:after="0" w:line="20"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45"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line="16"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11.  Executive Compensation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p>
      <w:pPr>
        <w:spacing w:after="0" w:line="12" w:lineRule="exact"/>
        <w:rPr>
          <w:sz w:val="20"/>
          <w:szCs w:val="20"/>
          <w:color w:val="auto"/>
        </w:rPr>
      </w:pPr>
    </w:p>
    <w:p>
      <w:pPr>
        <w:ind w:left="820"/>
        <w:spacing w:after="0"/>
        <w:tabs>
          <w:tab w:leader="none" w:pos="940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line="10"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 . . . . . . . . . . . . . . . . . . .</w:t>
      </w:r>
      <w:r>
        <w:rPr>
          <w:sz w:val="20"/>
          <w:szCs w:val="20"/>
          <w:color w:val="auto"/>
        </w:rPr>
        <w:tab/>
      </w:r>
      <w:r>
        <w:rPr>
          <w:rFonts w:ascii="Times New Roman" w:cs="Times New Roman" w:eastAsia="Times New Roman" w:hAnsi="Times New Roman"/>
          <w:sz w:val="20"/>
          <w:szCs w:val="20"/>
          <w:color w:val="auto"/>
        </w:rPr>
        <w:t>135</w:t>
      </w:r>
    </w:p>
    <w:p>
      <w:pPr>
        <w:spacing w:after="0" w:line="20"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14.  Principal Accounting Fees and Services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45"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15.  Exhibits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line="16"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16.  Form 10-K Summary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138</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720"/>
          </w:cols>
          <w:pgMar w:left="1080" w:top="1063" w:right="1080" w:bottom="542"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Cautionary Statement About Forward-Looking Statements</w:t>
      </w:r>
    </w:p>
    <w:p>
      <w:pPr>
        <w:spacing w:after="0" w:line="24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This Annual Report on Form 10- 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including share repurchases; projections, estimates or assumptions relating to our operational or financial performance, including anticipated impacts of the Inflation Reduction Act of 2022 and the One Big Beautiful Bill Act; projections, estimates or assumptions relating to our capital expenditures; or our opinions, views or beliefs about the effects of current or future events, circumstances or performance.</w:t>
      </w:r>
    </w:p>
    <w:p>
      <w:pPr>
        <w:spacing w:after="0" w:line="20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elsewhere in this Annual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720"/>
          </w:cols>
          <w:pgMar w:left="1080" w:top="1063" w:right="1080" w:bottom="542"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7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 -energy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 During 2025, our largest customer represented less than 5% of annual revenues.</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own or operate 257 landfill sites, which is the largest network of landfills throughout the U.S. and Canada. In order to make disposal more practical for larger urban markets, where the distance to landfills is typically farther, we manage 342 transfer stations, excluding those acquired from Stericycle,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20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720"/>
          </w:cols>
          <w:pgMar w:left="1080" w:top="1063" w:right="1080" w:bottom="542" w:gutter="0" w:footer="0" w:header="0"/>
          <w:type w:val="continuous"/>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19"/>
          <w:szCs w:val="19"/>
          <w:color w:val="auto"/>
        </w:rPr>
        <w:t>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investments in our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medical waste, a sector with attractive near- and long-term growth dynamics, and in secure information destruction services to further our leading suite of comprehensive waste and environmental solutions. Furthermore, we continue to evaluate and plan to pursue emerging diversion technologies that may generate additional value.</w:t>
      </w:r>
    </w:p>
    <w:p>
      <w:pPr>
        <w:spacing w:after="0" w:line="18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20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believe that execution of our strategy will deliver shareholder value and leadership in a dynamic industry and in any economic environment. In addition, we intend to continue to return value to our stockholders through dividend payments and share repurchases. In December 2025, we announced that our Board of Directors expects to increase the quarterly dividend from $0.825 to $0.945 per share for dividends declared in 2026, which is a 14.5% increase from the quarterly dividends we declared in 2025. This is an indication of our ability to generate strong and consistent cash flows and marks the 23rd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 Additionally, given the substantial progress already made on leverage reduction following the Stericycle acquisition, we resumed share repurchases in February 2026. Our Board of Directors approved up to $3.0 billion in future share repurchases, exclusive of fees, commissions and taxes. This new authorization supersedes and replaces the remaining authority under the prior Board of Directors’ authorization for share repurchases announced in December 2023. Under this new authorization, we currently expect to repurchase approximately $2.0 billion of shares during 2026, while continuing to prioritize a return to our targeted leverage level during the year.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207"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w:t>
      </w:r>
    </w:p>
    <w:p>
      <w:pPr>
        <w:spacing w:after="0" w:line="19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w:t>
      </w:r>
    </w:p>
    <w:p>
      <w:pPr>
        <w:spacing w:after="0" w:line="18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also provide additional services not managed through our five reportable segments, which are presented as Corporate and Other. For further discussion refer to Note 19 of our Consolidated Financial Statements.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720"/>
          </w:cols>
          <w:pgMar w:left="1080" w:top="1066" w:right="1080" w:bottom="542" w:gutter="0" w:footer="0" w:header="0"/>
          <w:type w:val="continuous"/>
        </w:sectPr>
      </w:pPr>
    </w:p>
    <w:bookmarkStart w:id="91" w:name="page92"/>
    <w:bookmarkEnd w:id="91"/>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Services provided through our Collection and Disposal businesses are described below:</w:t>
      </w:r>
    </w:p>
    <w:p>
      <w:pPr>
        <w:spacing w:after="0" w:line="24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Collection. </w:t>
      </w:r>
      <w:r>
        <w:rPr>
          <w:rFonts w:ascii="Times New Roman" w:cs="Times New Roman" w:eastAsia="Times New Roman" w:hAnsi="Times New Roman"/>
          <w:sz w:val="20"/>
          <w:szCs w:val="20"/>
          <w:color w:val="auto"/>
        </w:rPr>
        <w:t>Our commitment to customers begins with a vast waste collection network. Collection involves picking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 and transporting waste and recyclable, construction and demolition, and organic materials from where it was generated to a transfer station, recycling facility or disposal site. We generally provide collection services under one of two types of arrangements:</w:t>
      </w:r>
    </w:p>
    <w:p>
      <w:pPr>
        <w:spacing w:after="0" w:line="208" w:lineRule="exact"/>
        <w:rPr>
          <w:sz w:val="20"/>
          <w:szCs w:val="20"/>
          <w:color w:val="auto"/>
        </w:rPr>
      </w:pPr>
    </w:p>
    <w:p>
      <w:pPr>
        <w:jc w:val="both"/>
        <w:ind w:left="720" w:hanging="353"/>
        <w:spacing w:after="0" w:line="244"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fuel costs, truck types,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delivered to a disposal site. By using these containers, we can service most of our commercial and industrial customers with trucks operated by only one employee.</w:t>
      </w:r>
    </w:p>
    <w:p>
      <w:pPr>
        <w:spacing w:after="0" w:line="99" w:lineRule="exact"/>
        <w:rPr>
          <w:rFonts w:ascii="Arial" w:cs="Arial" w:eastAsia="Arial" w:hAnsi="Arial"/>
          <w:sz w:val="20"/>
          <w:szCs w:val="20"/>
          <w:color w:val="auto"/>
        </w:rPr>
      </w:pPr>
    </w:p>
    <w:p>
      <w:pPr>
        <w:jc w:val="both"/>
        <w:ind w:left="720" w:hanging="353"/>
        <w:spacing w:after="0" w:line="244"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containerization of waste, improved service delivery to the customer and an overall reduction in the cost to provide services.</w:t>
      </w:r>
    </w:p>
    <w:p>
      <w:pPr>
        <w:spacing w:after="0" w:line="20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Landfill. </w:t>
      </w:r>
      <w:r>
        <w:rPr>
          <w:rFonts w:ascii="Times New Roman" w:cs="Times New Roman" w:eastAsia="Times New Roman" w:hAnsi="Times New Roman"/>
          <w:sz w:val="20"/>
          <w:szCs w:val="20"/>
          <w:color w:val="auto"/>
        </w:rPr>
        <w:t>Landfills are the main depositories for solid waste in North America. As of December 31, 2025, we 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operated 253 solid waste landfills and four hazardous waste landfills, which represents the largest network of landfills throughout the U.S. and Canada. As of December 31, 2025, we owned or controlled the management of 244 sites with remedial activities that are in closure or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and/or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20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720"/>
          </w:cols>
          <w:pgMar w:left="1080" w:top="1067" w:right="1080" w:bottom="542" w:gutter="0" w:footer="0" w:header="0"/>
          <w:type w:val="continuous"/>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auto"/>
        </w:rPr>
        <w:t>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9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renewable identification numbers (“RINs”), electricity and capacity, Renewable Energy Credits (“RECs”) and related environmental attributes from the 86 landfill beneficial use renewable energy projects owned by Renewable Energy on our active landfills, which is eliminated in consolidation.</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Transfer. </w:t>
      </w:r>
      <w:r>
        <w:rPr>
          <w:rFonts w:ascii="Times New Roman" w:cs="Times New Roman" w:eastAsia="Times New Roman" w:hAnsi="Times New Roman"/>
          <w:sz w:val="20"/>
          <w:szCs w:val="20"/>
          <w:color w:val="auto"/>
        </w:rPr>
        <w:t>As of December 31, 2025, we owned or operated 342 transfer stations in the U.S. and Canada. We deposit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waste at these stations, as do other waste haulers. The solid waste is then consolidated and compacted to reduce the volume and increase the density of the waste and transported by transfer trucks, rail or barge to disposal sites.</w:t>
      </w:r>
    </w:p>
    <w:p>
      <w:pPr>
        <w:spacing w:after="0" w:line="186"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6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rail containers or barge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Other businesses providing collection and disposal services include the following:</w:t>
      </w:r>
    </w:p>
    <w:p>
      <w:pPr>
        <w:spacing w:after="0" w:line="2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Strategic Business Solutions (“WMSBS”) </w:t>
      </w:r>
      <w:r>
        <w:rPr>
          <w:rFonts w:ascii="Times New Roman" w:cs="Times New Roman" w:eastAsia="Times New Roman" w:hAnsi="Times New Roman"/>
          <w:sz w:val="20"/>
          <w:szCs w:val="20"/>
          <w:color w:val="auto"/>
        </w:rPr>
        <w:t>— Although many waste management services such as collection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19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Sustainability and Environmental Solutions (“SES”) </w:t>
      </w:r>
      <w:r>
        <w:rPr>
          <w:rFonts w:ascii="Times New Roman" w:cs="Times New Roman" w:eastAsia="Times New Roman" w:hAnsi="Times New Roman"/>
          <w:sz w:val="19"/>
          <w:szCs w:val="19"/>
          <w:color w:val="auto"/>
        </w:rPr>
        <w:t>— Our SES business collaborates with our geographic areas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national accounts sales team to offer our customers end-to-end solutions that help businesses achieve their sustainability, recycling and waste diversion goals while meeting industry-specific compliance requirements and rising environmental demands. These solutions include (i) Sustainability Services, where our employees provide full-service waste management solutions and advisory services, working full-time onsite at our customers’ facilities or through remote-managed programs (this service is managed through our SES business but reflected principally in our collection line of business);</w:t>
      </w:r>
    </w:p>
    <w:p>
      <w:pPr>
        <w:spacing w:after="0" w:line="5" w:lineRule="exact"/>
        <w:rPr>
          <w:sz w:val="20"/>
          <w:szCs w:val="20"/>
          <w:color w:val="auto"/>
        </w:rPr>
      </w:pPr>
    </w:p>
    <w:p>
      <w:pPr>
        <w:jc w:val="both"/>
        <w:ind w:firstLine="7"/>
        <w:spacing w:after="0" w:line="258" w:lineRule="auto"/>
        <w:tabs>
          <w:tab w:leader="none" w:pos="29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technology-enabled infrastructure in recycling, organics and renewable energy give us the ability to help customers reduce the amount of waste they generate, identify recycling</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720"/>
          </w:cols>
          <w:pgMar w:left="1080" w:top="1066" w:right="1080" w:bottom="542" w:gutter="0" w:footer="0" w:header="0"/>
          <w:type w:val="continuous"/>
        </w:sectPr>
      </w:pPr>
    </w:p>
    <w:bookmarkStart w:id="93" w:name="page94"/>
    <w:bookmarkEnd w:id="93"/>
    <w:p>
      <w:pPr>
        <w:jc w:val="both"/>
        <w:spacing w:after="0" w:line="278" w:lineRule="auto"/>
        <w:rPr>
          <w:sz w:val="20"/>
          <w:szCs w:val="20"/>
          <w:color w:val="auto"/>
        </w:rPr>
      </w:pPr>
      <w:r>
        <w:rPr>
          <w:rFonts w:ascii="Times New Roman" w:cs="Times New Roman" w:eastAsia="Times New Roman" w:hAnsi="Times New Roman"/>
          <w:sz w:val="20"/>
          <w:szCs w:val="20"/>
          <w:color w:val="auto"/>
        </w:rPr>
        <w:t>opportunities and determine efficient and environmentally friendly means for waste collection and disposal. Through these services, we aim to help customers increase circularity and accelerate their decarbonization goals.</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process and sell them to manufacturers to be recycled and sold generally within the North American market. Demand for recycled materials is generally growing. Several states have passed minimum-recycled-content mandates, and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program.</w:t>
      </w:r>
    </w:p>
    <w:p>
      <w:pPr>
        <w:spacing w:after="0" w:line="20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cups, tubs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2025 and 2024, we opened eight and three new recycling facilities, respectively, within the U.S. and Canada equipped with advanced recycling technology. We continue to invest in recycling facility automation and new markets across the U.S. and Canada. Our Recycling Processing and Sales segment includes the following:</w:t>
      </w:r>
    </w:p>
    <w:p>
      <w:pPr>
        <w:spacing w:after="0" w:line="205" w:lineRule="exact"/>
        <w:rPr>
          <w:sz w:val="20"/>
          <w:szCs w:val="20"/>
          <w:color w:val="auto"/>
        </w:rPr>
      </w:pPr>
    </w:p>
    <w:p>
      <w:pPr>
        <w:jc w:val="both"/>
        <w:ind w:left="360" w:firstLine="361"/>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Materials processing — </w:t>
      </w:r>
      <w:r>
        <w:rPr>
          <w:rFonts w:ascii="Times New Roman" w:cs="Times New Roman" w:eastAsia="Times New Roman" w:hAnsi="Times New Roman"/>
          <w:sz w:val="20"/>
          <w:szCs w:val="20"/>
          <w:color w:val="auto"/>
        </w:rPr>
        <w:t>Through our collection operations and third-party customer base, we collect recyclable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from residential, commercial and industrial customers and direct these materials to one of our recycling facilities for processing. As of December 31, 2025, we operated 113 recycling facilities, of which 51 are single stream, where cardboard, paper, glass, metals, plastics, construction and demolition materials and other recycling commodities are recovered for resale or redirected for other purposes.</w:t>
      </w:r>
    </w:p>
    <w:p>
      <w:pPr>
        <w:spacing w:after="0" w:line="198" w:lineRule="exact"/>
        <w:rPr>
          <w:sz w:val="20"/>
          <w:szCs w:val="20"/>
          <w:color w:val="auto"/>
        </w:rPr>
      </w:pPr>
    </w:p>
    <w:p>
      <w:pPr>
        <w:jc w:val="both"/>
        <w:ind w:left="36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Recycling commodities — </w:t>
      </w:r>
      <w:r>
        <w:rPr>
          <w:rFonts w:ascii="Times New Roman" w:cs="Times New Roman" w:eastAsia="Times New Roman" w:hAnsi="Times New Roman"/>
          <w:sz w:val="20"/>
          <w:szCs w:val="20"/>
          <w:color w:val="auto"/>
        </w:rPr>
        <w:t>We market and resell recycling commodities globally. We manage the marketing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recycling commodities that are processed in our facilities by continuously analyzing market prices, logistics, market demands and product quality through our dedicated recycling service centers and account managers.</w:t>
      </w:r>
    </w:p>
    <w:p>
      <w:pPr>
        <w:spacing w:after="0" w:line="188" w:lineRule="exact"/>
        <w:rPr>
          <w:sz w:val="20"/>
          <w:szCs w:val="20"/>
          <w:color w:val="auto"/>
        </w:rPr>
      </w:pPr>
    </w:p>
    <w:p>
      <w:pPr>
        <w:jc w:val="both"/>
        <w:ind w:lef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Recycling brokerage services </w:t>
      </w:r>
      <w:r>
        <w:rPr>
          <w:rFonts w:ascii="Times New Roman" w:cs="Times New Roman" w:eastAsia="Times New Roman" w:hAnsi="Times New Roman"/>
          <w:sz w:val="20"/>
          <w:szCs w:val="20"/>
          <w:color w:val="auto"/>
        </w:rPr>
        <w:t>— We also provide recycling brokerage services, which involve managing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pacing w:after="0" w:line="197" w:lineRule="exact"/>
        <w:rPr>
          <w:sz w:val="20"/>
          <w:szCs w:val="20"/>
          <w:color w:val="auto"/>
        </w:rPr>
      </w:pPr>
    </w:p>
    <w:p>
      <w:pPr>
        <w:jc w:val="both"/>
        <w:ind w:lef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Organics processing and sales </w:t>
      </w:r>
      <w:r>
        <w:rPr>
          <w:rFonts w:ascii="Times New Roman" w:cs="Times New Roman" w:eastAsia="Times New Roman" w:hAnsi="Times New Roman"/>
          <w:sz w:val="20"/>
          <w:szCs w:val="20"/>
          <w:color w:val="auto"/>
        </w:rPr>
        <w:t>— We collect recyclable food and yard waste from commercial, residential,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industrial customers, and process these materials through a network of mulching, composting, CORe®, and anaerobic digestion facilities. As of December 31, 2025, we operated 49 organics recycling facilities and also partner with third-party processors. Our network of facilities utilizes, markets and sells products including mulch, compost, soil amendments, and renewable energy.</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720"/>
          </w:cols>
          <w:pgMar w:left="1080" w:top="1066" w:right="1080" w:bottom="542" w:gutter="0" w:footer="0" w:header="0"/>
          <w:type w:val="continuous"/>
        </w:sectPr>
      </w:pPr>
    </w:p>
    <w:bookmarkStart w:id="94" w:name="page95"/>
    <w:bookmarkEnd w:id="94"/>
    <w:p>
      <w:pPr>
        <w:jc w:val="both"/>
        <w:spacing w:after="0" w:line="259" w:lineRule="auto"/>
        <w:rPr>
          <w:sz w:val="20"/>
          <w:szCs w:val="20"/>
          <w:color w:val="auto"/>
        </w:rPr>
      </w:pPr>
      <w:r>
        <w:rPr>
          <w:rFonts w:ascii="Times New Roman" w:cs="Times New Roman" w:eastAsia="Times New Roman" w:hAnsi="Times New Roman"/>
          <w:sz w:val="19"/>
          <w:szCs w:val="19"/>
          <w:color w:val="auto"/>
        </w:rPr>
        <w:t>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 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Renewable Energy</w:t>
      </w:r>
    </w:p>
    <w:p>
      <w:pPr>
        <w:spacing w:after="0" w:line="2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We develop, operate and promote projects for the beneficial use of landfill gas through our Renewable Energy segment.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of these projects are on third -party landfills. The revenues from both WM owned and third-party owned facilities are primarily generated through (i) the sale of captured and converted landfill methane gas; (ii) the sale of RINs under the Renewable Fuel Standard (“RFS”) program implemented by the EPA; (iii) sale of Low Carbon Fuel credits designed to stimulate the use of low-carbon fuels and</w:t>
      </w:r>
    </w:p>
    <w:p>
      <w:pPr>
        <w:jc w:val="both"/>
        <w:ind w:firstLine="7"/>
        <w:spacing w:after="0" w:line="242" w:lineRule="auto"/>
        <w:tabs>
          <w:tab w:leader="none" w:pos="33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energy (electricity and capacity) and associated RECs.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20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Renewable Energy converts landfill gas into several sources of renewable energy, which include RNG, electricity, heat and steam. Renewable Energy also generates RINs under the RFS program, other credits under a variety of state programs associated with the use of RNG in our compressed natural gas fleet and RECs associated with the production of electricity. Additionally, we generate and sell credits in Canadian and European markets through the Clean Fuels Regulations and the International Sustainability and Carbon Certification System, respectively. The RINs, RECs and other credits are sold to counterparties who are obligated under various regulatory programs and have a responsibility to procure RINs, RECs and other credits in order to offset their fossil fuel production and imports.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Healthcare Solutions</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Healthcare Solutions segment, through our subsidiary Stericycle, is primarily a business-to-business company providing RWCS and SID services that protect people and brands, promote health and well- being and safeguard the environment. Healthcare Solutions serves customers in the U.S., Canada and Western Europe with solutions to safely manage materials that could otherwise spread disease, contaminate the environment or compromise one’s identity. Services provided through our Healthcare Solutions segment includes the following:</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Regulated Waste and Compliance Services</w:t>
      </w:r>
    </w:p>
    <w:p>
      <w:pPr>
        <w:spacing w:after="0" w:line="15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Healthcare Solutions includes compliance programs and collection, processing, and disposal of regulated and specialized waste, including medical, pharmaceutical and hazardous waste. RWCS are provided to customers in the U.S., Canada, Ireland and the United Kingdom (“U.K.”).</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720"/>
          </w:cols>
          <w:pgMar w:left="1080" w:top="1066" w:right="1080" w:bottom="542" w:gutter="0" w:footer="0" w:header="0"/>
          <w:type w:val="continuous"/>
        </w:sectPr>
      </w:pPr>
    </w:p>
    <w:bookmarkStart w:id="95" w:name="page96"/>
    <w:bookmarkEnd w:id="95"/>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Regulated waste can be defined as any material subject to government-imposed guidelines for handling the material for transportation or disposal. Examples include medical waste, pathological waste, sharps and pharmaceutical waste.</w:t>
      </w:r>
    </w:p>
    <w:p>
      <w:pPr>
        <w:spacing w:after="0" w:line="12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Collection and Transportation — </w:t>
      </w:r>
      <w:r>
        <w:rPr>
          <w:rFonts w:ascii="Times New Roman" w:cs="Times New Roman" w:eastAsia="Times New Roman" w:hAnsi="Times New Roman"/>
          <w:sz w:val="20"/>
          <w:szCs w:val="20"/>
          <w:color w:val="auto"/>
        </w:rPr>
        <w:t>The collection process for regulated waste streams begins at the customer location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waste segregation. To assure regulatory compliance, we educate our customers and will not accept material from customers unless it complies with our waste acceptance protocols and is properly stored or packaged in containers that we have either supplied or approved and is appropriately labeled.</w:t>
      </w:r>
    </w:p>
    <w:p>
      <w:pPr>
        <w:spacing w:after="0" w:line="15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team members then collect containers at the customer location via our fleet of vehicles. The majority of collected waste is then transported directly to one of our processing facilities or to one of our Healthcare Solutions transfer stations where waste is aggregated until it is transported to a processing facility.</w:t>
      </w:r>
    </w:p>
    <w:p>
      <w:pPr>
        <w:spacing w:after="0" w:line="14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Processing and Disposal of Regulated Waste </w:t>
      </w:r>
      <w:r>
        <w:rPr>
          <w:rFonts w:ascii="Times New Roman" w:cs="Times New Roman" w:eastAsia="Times New Roman" w:hAnsi="Times New Roman"/>
          <w:sz w:val="20"/>
          <w:szCs w:val="20"/>
          <w:color w:val="auto"/>
        </w:rPr>
        <w:t>— Upon arrival at a processing facility, containers or boxes of regulated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waste undergo a quality control process to verify that they do not contain any unacceptable substances. Any container or box that is discovered to contain unacceptable waste goes through a corrective action process which could include redirecting the waste, returning the waste to the customer and/or notifying the appropriate regulatory authorities. From there, regulated waste is processed using one of several treatments or processing technologies, predominantly at one of our facilities:</w:t>
      </w:r>
    </w:p>
    <w:p>
      <w:pPr>
        <w:spacing w:after="0" w:line="175" w:lineRule="exact"/>
        <w:rPr>
          <w:sz w:val="20"/>
          <w:szCs w:val="20"/>
          <w:color w:val="auto"/>
        </w:rPr>
      </w:pPr>
    </w:p>
    <w:p>
      <w:pPr>
        <w:jc w:val="both"/>
        <w:ind w:left="720" w:hanging="352"/>
        <w:spacing w:after="0" w:line="259"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Autoclaving </w:t>
      </w:r>
      <w:r>
        <w:rPr>
          <w:rFonts w:ascii="Times New Roman" w:cs="Times New Roman" w:eastAsia="Times New Roman" w:hAnsi="Times New Roman"/>
          <w:sz w:val="20"/>
          <w:szCs w:val="20"/>
          <w:color w:val="auto"/>
        </w:rPr>
        <w:t>— Autoclaving is the primary method of regulated waste treatment. This process relies on steam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 temperature and pressure to kill pathogens and render materials non-infectious. As of December 31, 2025, we operated 42 autoclave facilities in the U.S. and Canada.</w:t>
      </w:r>
    </w:p>
    <w:p>
      <w:pPr>
        <w:spacing w:after="0" w:line="158" w:lineRule="exact"/>
        <w:rPr>
          <w:rFonts w:ascii="Arial" w:cs="Arial" w:eastAsia="Arial" w:hAnsi="Arial"/>
          <w:sz w:val="20"/>
          <w:szCs w:val="20"/>
          <w:color w:val="auto"/>
        </w:rPr>
      </w:pPr>
    </w:p>
    <w:p>
      <w:pPr>
        <w:jc w:val="both"/>
        <w:ind w:left="720" w:hanging="352"/>
        <w:spacing w:after="0" w:line="247"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Alternative Technologies — </w:t>
      </w:r>
      <w:r>
        <w:rPr>
          <w:rFonts w:ascii="Times New Roman" w:cs="Times New Roman" w:eastAsia="Times New Roman" w:hAnsi="Times New Roman"/>
          <w:sz w:val="20"/>
          <w:szCs w:val="20"/>
          <w:color w:val="auto"/>
        </w:rPr>
        <w:t>We use several different non-incineration alternatives to autoclaves, predominantly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outside of the U.S. The processes used by these technologies are similar to autoclaving, as the regulated waste is heated to a specified temperature for a required time to kill the pathogens and render materials non-infectious. Depending on local requirements, the waste may be shredded before or after treatment to render it unrecognizable. As of December 31, 2025, we operated 9 alternative medical waste treatment facilities in the U.S., Ireland and the U.K.</w:t>
      </w:r>
    </w:p>
    <w:p>
      <w:pPr>
        <w:spacing w:after="0" w:line="174" w:lineRule="exact"/>
        <w:rPr>
          <w:rFonts w:ascii="Arial" w:cs="Arial" w:eastAsia="Arial" w:hAnsi="Arial"/>
          <w:sz w:val="20"/>
          <w:szCs w:val="20"/>
          <w:color w:val="auto"/>
        </w:rPr>
      </w:pPr>
    </w:p>
    <w:p>
      <w:pPr>
        <w:jc w:val="both"/>
        <w:ind w:left="720" w:hanging="352"/>
        <w:spacing w:after="0" w:line="244"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Incineration — </w:t>
      </w:r>
      <w:r>
        <w:rPr>
          <w:rFonts w:ascii="Times New Roman" w:cs="Times New Roman" w:eastAsia="Times New Roman" w:hAnsi="Times New Roman"/>
          <w:sz w:val="20"/>
          <w:szCs w:val="20"/>
          <w:color w:val="auto"/>
        </w:rPr>
        <w:t>While we strive to use alternative, non-incineration methods for treating medical waste,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incineration remains a regulatory requirement and/or a best practice in certain geographies or for certain types of medical waste that need to be chemically destroyed. Incineration burns regulated waste at elevated temperatures and reduces it to ash. Incineration reduces the volume of waste, and it is the recommended treatment and disposal option for some types of regulated waste such as anatomical waste, residues from chemotherapy procedures and non-hazardous pharmaceutical waste. Air emissions from incinerators can contain certain byproducts that are subject to federal, state and in some cases, local regulation. In some circumstances, the ash byproduct of incineration may be regulated. As of December 31, 2025, we operated 17 medical waste incinerator facilities in the U.S., Canada and the U.K.</w:t>
      </w:r>
    </w:p>
    <w:p>
      <w:pPr>
        <w:spacing w:after="0" w:line="16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Upon completion of the treatment process, the resulting waste or incinerator ash is transported for disposal in a landfill owned by the Company or a third party. Additionally, in several of our incineration facilities, primarily in the U.K., we use different types of waste-to-energy solutions as part of our processes.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Secure Information Destruction</w:t>
      </w:r>
    </w:p>
    <w:p>
      <w:pPr>
        <w:spacing w:after="0" w:line="19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Healthcare Solutions also provides for the collection of personal and confidential information for secure destruction and recycling of sorted office paper. SID services are provided to customers in the U.S., Belgium, Canada, France, Germany, Ireland, Luxembourg, the Netherlands and the U.K.</w:t>
      </w:r>
    </w:p>
    <w:p>
      <w:pPr>
        <w:spacing w:after="0" w:line="146"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We leverage a combination of off-site and on-site document destruction methods for one-time and recurring paper shredding. As of December 31, 2025, we operated 99 secure information destruction facilities in the U.S., Canada and Western Europe. Our service offerings leverage cross- cut shredding technology to enhance the security level of destruction and can provide secure chain-of-custody and proof of service. Shredded paper is then sold as sorted office paper.</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720"/>
          </w:cols>
          <w:pgMar w:left="1080" w:top="1066" w:right="1080" w:bottom="542" w:gutter="0" w:footer="0" w:header="0"/>
          <w:type w:val="continuous"/>
        </w:sectPr>
      </w:pPr>
    </w:p>
    <w:bookmarkStart w:id="96" w:name="page97"/>
    <w:bookmarkEnd w:id="96"/>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3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pacing w:after="0" w:line="20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Included within our Corporate and Other businesses’ closed sites are (i) five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188"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3" w:lineRule="exact"/>
        <w:rPr>
          <w:sz w:val="20"/>
          <w:szCs w:val="20"/>
          <w:color w:val="auto"/>
        </w:rPr>
      </w:pPr>
    </w:p>
    <w:p>
      <w:pPr>
        <w:jc w:val="both"/>
        <w:ind w:firstLine="7"/>
        <w:spacing w:after="0" w:line="243" w:lineRule="auto"/>
        <w:tabs>
          <w:tab w:leader="none" w:pos="23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8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 Trends</w:t>
      </w:r>
    </w:p>
    <w:p>
      <w:pPr>
        <w:spacing w:after="0" w:line="24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9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720"/>
          </w:cols>
          <w:pgMar w:left="1080" w:top="1067" w:right="1080" w:bottom="542" w:gutter="0" w:footer="0" w:header="0"/>
          <w:type w:val="continuous"/>
        </w:sectPr>
      </w:pPr>
    </w:p>
    <w:bookmarkStart w:id="97" w:name="page98"/>
    <w:bookmarkEnd w:id="97"/>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3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As of December 31, 2025, we had approximately 60,500 full-time employees across the U.S., Canada, Western Europe, and India. Approximately 53,600 employees were located within the U.S. and 6,900 employees were located outside of the U.S. Approximately 8,400 employees were employed in administrative and sales positions with the remainder in operations. Approximately 9,200 of our employees are covered by collective bargaining agreements. Additional information about our workforce can be found in our 2025 Sustainability Report at sustainability.wm.com. Our 2025 Sustainability Report does not constitute a part of, and is not incorporated by reference into, this report or any other report we file with (or furnish to) the SEC, whether made before or after the date of this Annual Report on Form 10-K.</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People First Commitment</w:t>
      </w:r>
    </w:p>
    <w:p>
      <w:pPr>
        <w:spacing w:after="0" w:line="23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being an inclusive employer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9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demonstrate that we are (i) investing in our teams by providing comprehensive benefits; (ii) committed to the growth of our team by providing state-of-the-art trainings and our education benefit, Your Tomorrow, as further discussed under </w:t>
      </w:r>
      <w:r>
        <w:rPr>
          <w:rFonts w:ascii="Times New Roman" w:cs="Times New Roman" w:eastAsia="Times New Roman" w:hAnsi="Times New Roman"/>
          <w:sz w:val="20"/>
          <w:szCs w:val="20"/>
          <w:i w:val="1"/>
          <w:iCs w:val="1"/>
          <w:color w:val="auto"/>
        </w:rPr>
        <w:t>Compensation and Benefits</w:t>
      </w:r>
      <w:r>
        <w:rPr>
          <w:rFonts w:ascii="Times New Roman" w:cs="Times New Roman" w:eastAsia="Times New Roman" w:hAnsi="Times New Roman"/>
          <w:sz w:val="20"/>
          <w:szCs w:val="20"/>
          <w:color w:val="auto"/>
        </w:rPr>
        <w:t>;</w:t>
      </w:r>
    </w:p>
    <w:p>
      <w:pPr>
        <w:jc w:val="both"/>
        <w:ind w:firstLine="7"/>
        <w:spacing w:after="0" w:line="242" w:lineRule="auto"/>
        <w:tabs>
          <w:tab w:leader="none" w:pos="34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Safety as a Core Value</w:t>
      </w:r>
    </w:p>
    <w:p>
      <w:pPr>
        <w:spacing w:after="0" w:line="24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At the Company, safety is a core value, with no compromise. A large number of our employee population work as drivers, heavy equipment operators, technicians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targeting 2.0 annually by 2030, and continued focus on prevention of serious injuries. TRIR measures the number of OSHA recordable injuries occurring per 200,000 hours. Our TRIR as of December 31, 2025 was 3.14, approximately a 3% improvement from 2024. While our overall results in 2025 did not demonstrate significant progress toward the 2030 goal, we continue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720"/>
          </w:cols>
          <w:pgMar w:left="1080" w:top="1066" w:right="1080" w:bottom="542" w:gutter="0" w:footer="0" w:header="0"/>
          <w:type w:val="continuous"/>
        </w:sectPr>
      </w:pPr>
    </w:p>
    <w:bookmarkStart w:id="98" w:name="page99"/>
    <w:bookmarkEnd w:id="98"/>
    <w:p>
      <w:pPr>
        <w:jc w:val="both"/>
        <w:spacing w:after="0" w:line="247" w:lineRule="auto"/>
        <w:rPr>
          <w:sz w:val="20"/>
          <w:szCs w:val="20"/>
          <w:color w:val="auto"/>
        </w:rPr>
      </w:pPr>
      <w:r>
        <w:rPr>
          <w:rFonts w:ascii="Times New Roman" w:cs="Times New Roman" w:eastAsia="Times New Roman" w:hAnsi="Times New Roman"/>
          <w:sz w:val="20"/>
          <w:szCs w:val="20"/>
          <w:color w:val="auto"/>
        </w:rPr>
        <w:t>to focus efforts on priority districts and integrating safety culture and reporting throughout operations, including through acquisition activity. We often find that the discipline and culture of the Company benefit acquired businesses. Accordingly, while acquisitions can impact metric performance related to our established goal, we are confident that our programs and processes will continue to reduce incident frequency and severity in our operations in the years ahead. The Company reduced overall TRIR (2.8%), OSHA recordable (5.1%), and Lost Time (4.9%) injuries in 2025 and remains focused on the prevention of serious injuries.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Cultivating Belonging</w:t>
      </w:r>
    </w:p>
    <w:p>
      <w:pPr>
        <w:spacing w:after="0" w:line="23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embrace and cultivate respect, trust, open communications and diversity of thought and people. We are committed to fostering an environment where all team members feel welcomed, valued and seen. Our commitment to a culture of belonging is reflected in the diverse backgrounds of our Board of Directors and senior leadership team and in our overall workforce in the U.S., which is comprised of individuals of all ethnicities and genders. Additional information about our workforce can be found in our 2025 Sustainability Report at sustainability.wm.com. We are proud of what we have been able to achieve so far, and we will continue to strive to further embed a culture of belonging within the Company. To enable us to achieve a workplace where all feel welcomed and valued, we are committed to evaluating our policies, practices and procedures, recruitment and partnerships to ensure that our efforts are fair, sustainable and tied to our business strategy.</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Learning and Development</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3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objective of our compensation and benefit programs is to attract, engage, reward and incentivize valuable employees who will drive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Our education benefit, Your Tomorrow, makes a contribution toward benefits-eligible employees’ tuition for a broad range of four-year college degree programs, as well as programs such as high-school equivalency and other certificate programs and graduate degrees. We also provide plans to help employees save for their future for example, through our 401(k) retirement savings plan. Refer to Note 9 to the Consolidated Financial Statements for additional information on our employee benefit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Assurance and Insurance Obligations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Financial Assurance</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2" w:lineRule="exact"/>
        <w:rPr>
          <w:sz w:val="20"/>
          <w:szCs w:val="20"/>
          <w:color w:val="auto"/>
        </w:rPr>
      </w:pPr>
    </w:p>
    <w:p>
      <w:pPr>
        <w:jc w:val="both"/>
        <w:ind w:firstLine="7"/>
        <w:spacing w:after="0" w:line="243" w:lineRule="auto"/>
        <w:tabs>
          <w:tab w:leader="none" w:pos="35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720"/>
          </w:cols>
          <w:pgMar w:left="1080" w:top="1066" w:right="1080" w:bottom="542" w:gutter="0" w:footer="0" w:header="0"/>
          <w:type w:val="continuous"/>
        </w:sectPr>
      </w:pPr>
    </w:p>
    <w:bookmarkStart w:id="99" w:name="page100"/>
    <w:bookmarkEnd w:id="99"/>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Surety bonds and insurance policies are supported by either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Insurance</w:t>
      </w:r>
    </w:p>
    <w:p>
      <w:pPr>
        <w:spacing w:after="0" w:line="2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2025 are summarized in Note 10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2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business is subject to extensive and evolving laws and regulations pertaining to environmental protection, health, safety, land use, zoning, transportation, ethical business conduct, data privacy and security, and other related and similar subjects. These laws and regulations are administered by the EPA, Environment and Climate Change Canada (“ECCC”), and various other agencies at the federal, state, provincial, regional and local level in the U.S., Canada and other international jurisdictions in which we operate. Many of these agencies regularly examine our operations to monitor compliance with applicable laws and regulations and have the power to enforce compliance, obtain injunctions or impose civil or criminal penalties in cases of violations.</w:t>
      </w:r>
    </w:p>
    <w:p>
      <w:pPr>
        <w:spacing w:after="0" w:line="19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business primarily involves the collection, transport, handling, treatment, destruction, and other processing and management of solid waste, medical waste, controlled substances waste, hazardous waste, organics, and recyclables in an environmentally sound manner. A significant amount of our capital expenditures is related, either directly or indirectly, to compliance with applicable laws and regulations, including environmental protection measures. Our November 2024 acquisition of Stericycle increased our exposure to international jurisdictions, primarily Western Europe, and we are subject to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our secure information destruction services are subject to laws and regulations regarding proper handling and protection of personal and confidential information.</w:t>
      </w:r>
    </w:p>
    <w:p>
      <w:pPr>
        <w:spacing w:after="0" w:line="21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There are costs associated with siting, design, permitting, construction, operating, monitoring, site maintenance, corrective actions, financial assurance and closure and post-closure obligations at our facilities. In connection with the acquisition, development or expansion of a waste management or disposal facility, recycling facility, compost facility, transfer station, processing facility, or landfill gas-to-energy facility, or the transport, handling, treatment and disposal or destruction of various waste streams,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Permit issuance or renewal may also be subject to public participation or other governmental reviews and may be subject to challenges and delays. Compliance with current regulations and future requirements could require us to make significant capital and operating expenditures. However, most of these expenditures are made in the normal course of business and do not place us at a competitive disadvantage.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720"/>
          </w:cols>
          <w:pgMar w:left="1080" w:top="1066" w:right="1080" w:bottom="542" w:gutter="0" w:footer="0" w:header="0"/>
          <w:type w:val="continuous"/>
        </w:sectPr>
      </w:pPr>
    </w:p>
    <w:bookmarkStart w:id="100" w:name="page101"/>
    <w:bookmarkEnd w:id="100"/>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The regulatory environment in which we operate is influenced by changes in governmental administrations and leadership. The current administration has called for, and undertaken, substantial changes to areas of foreign trade policy and is generally in favor of reducing regulation, including environmental regulation. The impact and timing of these shifts in regulatory policy impacting our industry and our Company remain uncertain, as many are subject to ongoing litigation and agency review. Further, state and municipal governments may impose additional regulatory duties in response to such shifts in federal policy, which could lead to a patchwork of regulatory obligations across the U.S. for our industry and our Company. Reduction of regulation may have a favorable impact on our operating costs, but the extensive environmental regulation applicable to our industry is also a barrier to rapid entry that benefits our Company. Moreover, the risk reduction provided by appropriate regulation is valuable to our customers and the communities we serve. Significant restrictions and tariffs on foreign trade could have a negative impact on our recycling export business and our cross -border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administration will benefit us and others will negatively affect us.</w:t>
      </w:r>
    </w:p>
    <w:p>
      <w:pPr>
        <w:spacing w:after="0" w:line="18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2024, the U.S. Supreme Court issued a number of decisions that will affect the future of federal regulation, including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Loper </w:t>
      </w:r>
      <w:r>
        <w:rPr>
          <w:rFonts w:ascii="Times New Roman" w:cs="Times New Roman" w:eastAsia="Times New Roman" w:hAnsi="Times New Roman"/>
          <w:sz w:val="20"/>
          <w:szCs w:val="20"/>
          <w:color w:val="auto"/>
        </w:rPr>
        <w:t>decision overturned the</w:t>
      </w:r>
      <w:r>
        <w:rPr>
          <w:rFonts w:ascii="Times New Roman" w:cs="Times New Roman" w:eastAsia="Times New Roman" w:hAnsi="Times New Roman"/>
          <w:sz w:val="20"/>
          <w:szCs w:val="20"/>
          <w:i w:val="1"/>
          <w:iCs w:val="1"/>
          <w:color w:val="auto"/>
        </w:rPr>
        <w:t xml:space="preserve"> Chevron </w:t>
      </w:r>
      <w:r>
        <w:rPr>
          <w:rFonts w:ascii="Times New Roman" w:cs="Times New Roman" w:eastAsia="Times New Roman" w:hAnsi="Times New Roman"/>
          <w:sz w:val="20"/>
          <w:szCs w:val="20"/>
          <w:color w:val="auto"/>
        </w:rPr>
        <w:t>doctrine, which had held that a court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must give deference to a regulatory agency’s reasonable interpretation of an ambiguous statute the agency implements. The full impact of that decision is not yet known, but at a minimum, our operations could face increased regulatory uncertainty in connection with legal challenges to agency actions and rulemakings impacting our industry.</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Federal Regulation</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Certain key U.S. federal statutes affecting our business are summarized below:</w:t>
      </w:r>
    </w:p>
    <w:p>
      <w:pPr>
        <w:spacing w:after="0" w:line="134" w:lineRule="exact"/>
        <w:rPr>
          <w:sz w:val="20"/>
          <w:szCs w:val="20"/>
          <w:color w:val="auto"/>
        </w:rPr>
      </w:pPr>
    </w:p>
    <w:p>
      <w:pPr>
        <w:jc w:val="both"/>
        <w:ind w:left="720" w:hanging="353"/>
        <w:spacing w:after="0" w:line="246" w:lineRule="auto"/>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94" w:lineRule="exact"/>
        <w:rPr>
          <w:rFonts w:ascii="Arial" w:cs="Arial" w:eastAsia="Arial" w:hAnsi="Arial"/>
          <w:sz w:val="20"/>
          <w:szCs w:val="20"/>
          <w:color w:val="auto"/>
        </w:rPr>
      </w:pPr>
    </w:p>
    <w:p>
      <w:pPr>
        <w:jc w:val="both"/>
        <w:ind w:left="720" w:hanging="353"/>
        <w:spacing w:after="0" w:line="242" w:lineRule="auto"/>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101" w:lineRule="exact"/>
        <w:rPr>
          <w:rFonts w:ascii="Arial" w:cs="Arial" w:eastAsia="Arial" w:hAnsi="Arial"/>
          <w:sz w:val="20"/>
          <w:szCs w:val="20"/>
          <w:color w:val="auto"/>
        </w:rPr>
      </w:pPr>
    </w:p>
    <w:p>
      <w:pPr>
        <w:jc w:val="both"/>
        <w:ind w:left="720" w:hanging="353"/>
        <w:spacing w:after="0" w:line="262" w:lineRule="auto"/>
        <w:tabs>
          <w:tab w:leader="none" w:pos="720" w:val="left"/>
        </w:tabs>
        <w:numPr>
          <w:ilvl w:val="0"/>
          <w:numId w:val="75"/>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720"/>
          </w:cols>
          <w:pgMar w:left="1080" w:top="1066" w:right="1080" w:bottom="542" w:gutter="0" w:footer="0" w:header="0"/>
          <w:type w:val="continuous"/>
        </w:sectPr>
      </w:pPr>
    </w:p>
    <w:bookmarkStart w:id="101" w:name="page102"/>
    <w:bookmarkEnd w:id="101"/>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92" w:lineRule="exact"/>
        <w:rPr>
          <w:sz w:val="20"/>
          <w:szCs w:val="20"/>
          <w:color w:val="auto"/>
        </w:rPr>
      </w:pPr>
    </w:p>
    <w:p>
      <w:pPr>
        <w:jc w:val="both"/>
        <w:ind w:left="720" w:hanging="353"/>
        <w:spacing w:after="0" w:line="244" w:lineRule="auto"/>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The Clean Air Act of 1970, as amended, provides for federal, state and local regulation of the emission of air pollutants. Many of our operations, including many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99"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personal protective equipment, safety in excavation and demolition work, exposure to bloodborne pathogens, and the handling of asbestos, may apply to our operations.</w:t>
      </w:r>
    </w:p>
    <w:p>
      <w:pPr>
        <w:spacing w:after="0" w:line="212" w:lineRule="exact"/>
        <w:rPr>
          <w:rFonts w:ascii="Arial" w:cs="Arial" w:eastAsia="Arial" w:hAnsi="Arial"/>
          <w:sz w:val="20"/>
          <w:szCs w:val="20"/>
          <w:color w:val="auto"/>
        </w:rPr>
      </w:pPr>
    </w:p>
    <w:p>
      <w:pPr>
        <w:jc w:val="both"/>
        <w:ind w:left="720" w:hanging="353"/>
        <w:spacing w:after="0" w:line="263" w:lineRule="auto"/>
        <w:tabs>
          <w:tab w:leader="none" w:pos="720" w:val="left"/>
        </w:tabs>
        <w:numPr>
          <w:ilvl w:val="0"/>
          <w:numId w:val="76"/>
        </w:numPr>
        <w:rPr>
          <w:rFonts w:ascii="Arial" w:cs="Arial" w:eastAsia="Arial" w:hAnsi="Arial"/>
          <w:sz w:val="19"/>
          <w:szCs w:val="19"/>
          <w:color w:val="auto"/>
        </w:rPr>
      </w:pPr>
      <w:r>
        <w:rPr>
          <w:rFonts w:ascii="Times New Roman" w:cs="Times New Roman" w:eastAsia="Times New Roman" w:hAnsi="Times New Roman"/>
          <w:sz w:val="19"/>
          <w:szCs w:val="19"/>
          <w:color w:val="auto"/>
        </w:rPr>
        <w:t>The Department of Transportation and the Occupational Safety and Health Administration, along with other federal agencies, have jurisdiction over certain aspects of hazardous materials and hazardous waste, including safety, movement and disposal. Certain waste (including medical waste) is subject to roadside inspections that have a cumulative effect on our compliance history and require us to remain in good standing so as not to jeopardize certain permits. Various state and local agencies with jurisdiction over disposal of hazardous and medical waste may seek to regulate movement of such materials in areas not otherwise preempted by federal law.</w:t>
      </w:r>
    </w:p>
    <w:p>
      <w:pPr>
        <w:spacing w:after="0" w:line="197" w:lineRule="exact"/>
        <w:rPr>
          <w:rFonts w:ascii="Arial" w:cs="Arial" w:eastAsia="Arial" w:hAnsi="Arial"/>
          <w:sz w:val="19"/>
          <w:szCs w:val="19"/>
          <w:color w:val="auto"/>
        </w:rPr>
      </w:pPr>
    </w:p>
    <w:p>
      <w:pPr>
        <w:jc w:val="both"/>
        <w:ind w:left="720" w:hanging="353"/>
        <w:spacing w:after="0" w:line="246" w:lineRule="auto"/>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Our service offerings for the collection, treatment, disposal and destruction of controlled substances waste and medical waste, from both the healthcare industry and individual consumers, are subject to numerous laws and regulations issued by various regulatory agencies, including the U.S. Drug Enforcement Administration (“DEA”). These regulations typically require our facilities to obtain licenses or registrations, and meet certain other requirements in order to collect, transport, treat and dispose of controlled substances. These regulations include significant requirements for security, recordkeeping and reporting. Registrations and licenses must be kept current, or periodically renewed, and facilities may be subject to inspection or enforcement.</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operations are primarily in the U.S.; however, Canada and other countries in which we operate have various environmental, safety, health, transportation and materials handling laws and regulations that we must comply with in the ordinary course of our business.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State, Provincial, Regional and Local Regulations</w:t>
      </w:r>
    </w:p>
    <w:p>
      <w:pPr>
        <w:spacing w:after="0" w:line="237"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There are also various state, provincial, regional and local regulations, in the U.S. and internationally, that affect our operations and may require a specific operating plan. Many jurisdictions in which we operate have their own laws and regulations governing solid waste disposal, including for hazardous wastes, medical wastes and controlled substances wastes; water and air pollution; and, in most cases, releases and cleanup of hazardous substances and liabilities for such matters. Many governmental organizations have also adopted regulations governing the design, operation, maintenance and closure of landfills, transfer stations, incineration facilities and processing facilities, and laws governing where recyclable materials can be sold.</w:t>
      </w:r>
    </w:p>
    <w:p>
      <w:pPr>
        <w:spacing w:after="0" w:line="20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720"/>
          </w:cols>
          <w:pgMar w:left="1080" w:top="1066" w:right="1080" w:bottom="542" w:gutter="0" w:footer="0" w:header="0"/>
          <w:type w:val="continuous"/>
        </w:sectPr>
      </w:pPr>
    </w:p>
    <w:bookmarkStart w:id="102" w:name="page103"/>
    <w:bookmarkEnd w:id="102"/>
    <w:p>
      <w:pPr>
        <w:jc w:val="both"/>
        <w:spacing w:after="0" w:line="253" w:lineRule="auto"/>
        <w:rPr>
          <w:sz w:val="20"/>
          <w:szCs w:val="20"/>
          <w:color w:val="auto"/>
        </w:rPr>
      </w:pPr>
      <w:r>
        <w:rPr>
          <w:rFonts w:ascii="Times New Roman" w:cs="Times New Roman" w:eastAsia="Times New Roman" w:hAnsi="Times New Roman"/>
          <w:sz w:val="20"/>
          <w:szCs w:val="20"/>
          <w:color w:val="auto"/>
        </w:rPr>
        <w:t>The number of governments with recycling and diversion requirements and disposal bans continues to grow, while the logistics and economics of recycling or processing many of these items remain challenging. In addition, regulations requiring the diversion of organic wastes away from landfills could have the effect of decreasing the amount of landfill gas produced over time in our landfills, negatively impacting our Renewable Energy segment.</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Various states have enacted, or are considering enacting, laws that restrict or discourage the disposal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waste, hazardous waste, medical waste and controlled substances management services.</w:t>
      </w:r>
    </w:p>
    <w:p>
      <w:pPr>
        <w:spacing w:after="0" w:line="20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Many governmental organizations have enacted “fitness” laws that allow the agencies that have jurisdiction over waste services contracts or permits to deny or revoke these contracts or permits based on the applicant’s or permit holder’s compliance history. Some governmental organizations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20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 xml:space="preserve">The EPA does not regulate medical waste at the federal level, with some limited exceptions, resulting in a lack of uniformity of applicable laws and regulations. States have adopted their own regulations related to the handling, treatment and storage of medical waste, with many states following requirements similar to the Medical Waste Tracking Act of 1988, a U.S. federal law concerning disposal of biological material that expired in 1991. Other states have placed medical waste regulations within solid waste regulations. Further, while the Canadian Council of Ministers of the Environment has promulgated the </w:t>
      </w:r>
      <w:r>
        <w:rPr>
          <w:rFonts w:ascii="Times New Roman" w:cs="Times New Roman" w:eastAsia="Times New Roman" w:hAnsi="Times New Roman"/>
          <w:sz w:val="19"/>
          <w:szCs w:val="19"/>
          <w:i w:val="1"/>
          <w:iCs w:val="1"/>
          <w:color w:val="auto"/>
        </w:rPr>
        <w:t>Guidelines for the Management of Biomedical Waste in Canada</w:t>
      </w:r>
      <w:r>
        <w:rPr>
          <w:rFonts w:ascii="Times New Roman" w:cs="Times New Roman" w:eastAsia="Times New Roman" w:hAnsi="Times New Roman"/>
          <w:sz w:val="19"/>
          <w:szCs w:val="19"/>
          <w:color w:val="auto"/>
        </w:rPr>
        <w:t>, these are not enforceable unless adopted by provincial legislation or municipal by-laws, and local by-laws may be more stringent than such guidelines.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Recent Developments and Focus Areas in Policy and Regulation</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Climate and Sustainability</w:t>
      </w:r>
    </w:p>
    <w:p>
      <w:pPr>
        <w:spacing w:after="0" w:line="23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Certain jurisdictions are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9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We are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also continue to expand our work with various private and government entities employing such technologies at our sites, and we are actively engaged with the EPA, the ECCC, state agencies, nongovernmental organizations and environmental stakeholders on the implications of the changing landscape for the waste industry and potential future regulation. Continued dialogue, engagement and collaboration with these regulatory agencies will be important, as the EPA, the ECCC and several states, including California and Colorado, are evaluating landfill emissions standards that may require the application of various emerging methane measurement technologies and plan to develop methods and standards for such measurement technologies. While we cannot predict</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720"/>
          </w:cols>
          <w:pgMar w:left="1080" w:top="1066" w:right="1080" w:bottom="542" w:gutter="0" w:footer="0" w:header="0"/>
          <w:type w:val="continuous"/>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20"/>
          <w:szCs w:val="20"/>
          <w:color w:val="auto"/>
        </w:rPr>
        <w:t>what regulations will result from these initiatives, these developments could result in increased compliance costs and adversely affect our operations. Specifically, these various regulatory actions could result in changes to how we have historically reported GHG emissions and may result in increases in such emissions reported for our operations. For example, in August 2024, the EPA released revised emission factors for the reporting of methane emissions from landfills that would, amongst other matters, result in increased reported emissions from flares and other equipment and processes. Industry groups have filed legal challenges to the EPA’s updated emission factors, and the EPA granted the industry’s petition for reconsideration. In September 2025, the EPA announced a proposed rule to significantly revise the Greenhouse Gas Reporting Program. The proposal would eliminate reporting requirements for numerous source categories, including landfills. This uncertainty regarding the status of the federal reporting program could result in increased state-level GHG reporting requirements.</w:t>
      </w:r>
    </w:p>
    <w:p>
      <w:pPr>
        <w:spacing w:after="0" w:line="16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light of customer demand, we have identified strategic business opportunities to provide our public and private sector customers with sustainability-related solutions intended to have the potential to reduce GHG emissions across their respective businesses. We assess customer demand for and opportunities to develop waste services with potential to avoid lifecycle emissions, such as waste reduction, increased recycling, composting and conversion of landfill gas and discarded materials into renewable energy. Demand and willingness to pay premium prices for recycled materials or enhanced sustainability solutions can fluctuate based on economic conditions, consumer preferences and trends. We use estimated lifecycle emissions assessments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how materials management practices can be more sustainable. In addition, we work with stakeholders at the federal, state, and provincial level in support of legislation that encourages production and use of renewable, lower-carbon fuels and electricity.</w:t>
      </w:r>
    </w:p>
    <w:p>
      <w:pPr>
        <w:spacing w:after="0" w:line="16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nature, scope, and complexity of matters that our Company must assess, quantify and disclose are expanding due to current, proposed, and recently enacted governmental reporting requirements pertaining to sustainability and climate-related risks and other topics. Such topics include water usage, waste production, labor, human capital, cybersecurity, privacy and risk oversight. For example, in September 2024, the California Governor signed into law amendments to the 2023 California Climate Corporate Data Accountability Act and the Climate-Related Financial Risk Act, which among other things, requires the disclosure of Scope 1, 2, and 3 GHG emissions and other climate-related financial risks consistent with the framework established by the Task Force on Climate-Related Financial Disclosures. We potentially will be required to begin making disclosures of our Scope 1 and 2 GHG emissions in compliance with certain of these requirements in 2026, and Scope 3 GHG emissions disclosures will be required beginning in 2027. Additional U.S. states are in various stages of considering adoption of similar climate-related disclosure requirements. While the SEC voluntarily stayed implementation of its climate related disclosure rules indefinitely, and voted to end its defense of those rules in March 2025, the state-level and other similar laws and regulations could result in increased compliance costs and affect the results of our operations and financial position. Such laws and regulations could also increase our litigation risks or may increase risks related to our reputation or goodwill, as we cannot predict how disclosures under these laws may be perceived or interpreted by our customers and stakeholders.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16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subject to heightened scrutiny related to the risk of potential “greenwashing,”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allegations of misleading information or false claims overstating potential sustainability benefits made by governmental authorities, non-governmental organizations and other private actors.</w:t>
      </w:r>
    </w:p>
    <w:p>
      <w:pPr>
        <w:spacing w:after="0" w:line="19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Consistent with our Company’s long-standing commitment to sustainability and environmental stewardship, we have published our 2025 Sustainability Report, providing details on our sustainability-related performance and outlining</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720"/>
          </w:cols>
          <w:pgMar w:left="1080" w:top="1066" w:right="1080" w:bottom="542" w:gutter="0" w:footer="0" w:header="0"/>
          <w:type w:val="continuous"/>
        </w:sectPr>
      </w:pPr>
    </w:p>
    <w:bookmarkStart w:id="104" w:name="page105"/>
    <w:bookmarkEnd w:id="104"/>
    <w:p>
      <w:pPr>
        <w:jc w:val="both"/>
        <w:spacing w:after="0" w:line="247" w:lineRule="auto"/>
        <w:rPr>
          <w:sz w:val="20"/>
          <w:szCs w:val="20"/>
          <w:color w:val="auto"/>
        </w:rPr>
      </w:pPr>
      <w:r>
        <w:rPr>
          <w:rFonts w:ascii="Times New Roman" w:cs="Times New Roman" w:eastAsia="Times New Roman" w:hAnsi="Times New Roman"/>
          <w:sz w:val="20"/>
          <w:szCs w:val="20"/>
          <w:color w:val="auto"/>
        </w:rPr>
        <w:t>progress towards our 2030 sustainability goals. The annual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PFAS</w:t>
      </w:r>
    </w:p>
    <w:p>
      <w:pPr>
        <w:spacing w:after="0" w:line="23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w:t>
      </w:r>
    </w:p>
    <w:p>
      <w:pPr>
        <w:spacing w:after="0" w:line="20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There are a number of risks related to PFAS that could impact our business, and the EPA has prioritized PFAS-related issues in recent years. For example, in 2021, the EPA released its PFAS Strategic Roadmap, providing a high-level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In April 2024, the EPA finalized the designation of two PFAS compounds (perfluorooctanoic acid (PFOA) and perfluorooctanesulfonic acid (PFOS)) as hazardous substances under CERCLA. We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Additionally, the EPA is pursuing legally enforceable maximum contaminant levels, as well as non-enforceable maximum contaminant level goals, for PFAS compounds in drinking water. We expect that there could be continued efforts to regulate or impose liability with respect to PFAS at the federal level. At the state level, an increasing number of jurisdictions have enacted new drinking water, surface water and/or groundwater limits for various PFAS compounds, which has led to a patchwork of PFAS standards across the U.S. Compliance with new and future state and federal PFAS standards is anticipated to result in additional expense to the Company, but such standards are also anticipated to present potential business opportunities in the area of PFAS management, treatment and disposal.</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Recycling; Foreign Import and Export Regulations and Material Restrictions</w:t>
      </w:r>
    </w:p>
    <w:p>
      <w:pPr>
        <w:spacing w:after="0" w:line="23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Regulations affecting, and in some cases restricting, the international flow of certain recyclables have led to a reduction in export activity for such recyclables, as well as higher quality requirements, and higher processing costs. We do not ship plastics collected on our residential recycling routes and processed at our single stream recycling facilities to locations outside of North America, except in very limited circumstances when no other commercially viable domestic markets are available; however, current and developing international regulations may limit our ability to export other commodities, including certain plastics. Additionally, the current U.S. presidential administration has called for, and undertaken, substantial changes to foreign trade policy. Significant restrictions and tariffs on foreign trade have a negative impact on our recycling export business, including decreasing paper mills’ demand for recycled corrugated cardboard used in packaging, which can constrict availability of counterparties and negatively impact commodity prices, and increase the cost of certain equipment and other materials used in our operations that we procure from outside the U.S., including certain equipment used to implement our sustainability growth strategy.</w:t>
      </w:r>
    </w:p>
    <w:p>
      <w:pPr>
        <w:spacing w:after="0" w:line="207"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Prices and demand for recyclables fluctuate. We have discussed our sustainability growth strategy that includes significant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 regulation, tariffs, international trade policies or other initiatives, including extended producer responsibility regulations, minimum recycled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720"/>
          </w:cols>
          <w:pgMar w:left="1080" w:top="1066" w:right="1080" w:bottom="542" w:gutter="0" w:footer="0" w:header="0"/>
          <w:type w:val="continuous"/>
        </w:sectPr>
      </w:pPr>
    </w:p>
    <w:bookmarkStart w:id="105" w:name="page106"/>
    <w:bookmarkEnd w:id="105"/>
    <w:p>
      <w:pPr>
        <w:jc w:val="both"/>
        <w:spacing w:after="0" w:line="278" w:lineRule="auto"/>
        <w:rPr>
          <w:sz w:val="20"/>
          <w:szCs w:val="20"/>
          <w:color w:val="auto"/>
        </w:rPr>
      </w:pPr>
      <w:r>
        <w:rPr>
          <w:rFonts w:ascii="Times New Roman" w:cs="Times New Roman" w:eastAsia="Times New Roman" w:hAnsi="Times New Roman"/>
          <w:sz w:val="20"/>
          <w:szCs w:val="20"/>
          <w:color w:val="auto"/>
        </w:rPr>
        <w:t>content laws, container deposit laws, or regulations addressing climate change or GHG emissions, may impact supply and demand of material, or increase operating costs, which could impact the profitability of our recycling operations.</w:t>
      </w:r>
    </w:p>
    <w:p>
      <w:pPr>
        <w:spacing w:after="0" w:line="16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resulted in increased pressure by manufacturers for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the inclusion of certain materials in recycling programs.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Extended Producer Responsibility</w:t>
      </w:r>
    </w:p>
    <w:p>
      <w:pPr>
        <w:spacing w:after="0" w:line="23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Regulations establishing extended producer responsibility (“EPR”) are being considered or implemented in many places around the world, including in certain states in the U.S. and provinces and territories in Canada. EPR regulations are designed to place either partial or total responsibility on producers of consumer-packaged goods and other products to fund the post-use life cycle of the products and packaging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governments could take, and in some cases have taken, steps to implement EPR regulations for packaging, including traditional recyclables such as cardboard, bottles and cans. If wide-ranging EPR regulations or other recycling-related regulations like container deposit laws are widely adopted, they could significantly impact the waste, recycling and other streams we manage, including with respect to quality and volume, how we operate our business, including contract terms and pricing, and the profitability of our recycling facilities. At the same time, concerns regarding price and affordability have led some jurisdictions to scale back previously enacted EPR requirements, creating uncertainty for long-term planning. Lawsuits have been filed in certain jurisdictions, contesting the constitutionality of certain programs, and the U.S. Department of Justice has indicated that state EPR laws may be among those subject to constitutional review. Deregulatory rulings or changes in program requirements in jurisdictions where we have adapted to meet customer demand may impact our operations, financial condition or result of operations.</w:t>
      </w:r>
    </w:p>
    <w:p>
      <w:pPr>
        <w:spacing w:after="0" w:line="20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EPR implementation also involves new operational requirements and information-sharing obligations that affect how recycling programs are managed. Compliance with EPR laws often requires us to provide detailed operational data to state agencies, producer responsibility organizations and their consultants in connection with needs assessments and tracking of material recyclability. This includes sharing information that is typically considered competitively sensitive. Where feasible, we enter into non-disclosure agreements to safeguard such information.</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Tax Legislation</w:t>
      </w:r>
    </w:p>
    <w:p>
      <w:pPr>
        <w:spacing w:after="0" w:line="23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On July 4, 2025, President Trump signed the One Big Beautiful Bill Act (“OBBBA”) into law. We have evaluated the business tax provisions in the legislation, none of which had a material impact on our effective tax rate. However, we had a beneficial impact to cash taxes related to bonus depreciation.</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OBBBA also reaffirmed and extended various tax-related provisions included in the Inflation Reduction Act of 2022 (the “IRA”) of relevance to the company, including with respect to tax incentives for investments in renewable energy production, carbon capture and other climate actions. Given the complexity and uncertainty around the administration’s implementation of certain tax credits, we continue to analyze this area to identify and quantify potential opportunities and applicable benefits included in the legislation. We believe that the production tax credit incentives for investments in renewable energy and carbon capture, as reaffirmed and expanded by the OBBBA, may result in an incremental benefit to the Company, although at this time, the anticipated amount of such benefit has not been quantified due, in part, to the lack of regulatory guidance.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720"/>
          </w:cols>
          <w:pgMar w:left="1080" w:top="1066" w:right="1080" w:bottom="542" w:gutter="0" w:footer="0" w:header="0"/>
          <w:type w:val="continuous"/>
        </w:sectPr>
      </w:pPr>
    </w:p>
    <w:bookmarkStart w:id="106" w:name="page107"/>
    <w:bookmarkEnd w:id="106"/>
    <w:p>
      <w:pPr>
        <w:ind w:left="360"/>
        <w:spacing w:after="0"/>
        <w:rPr>
          <w:sz w:val="20"/>
          <w:szCs w:val="20"/>
          <w:color w:val="auto"/>
        </w:rPr>
      </w:pPr>
      <w:r>
        <w:rPr>
          <w:rFonts w:ascii="Times New Roman" w:cs="Times New Roman" w:eastAsia="Times New Roman" w:hAnsi="Times New Roman"/>
          <w:sz w:val="20"/>
          <w:szCs w:val="20"/>
          <w:i w:val="1"/>
          <w:iCs w:val="1"/>
          <w:color w:val="auto"/>
        </w:rPr>
        <w:t>Investment in Natural Gas Vehicles and Infrastructure</w:t>
      </w:r>
    </w:p>
    <w:p>
      <w:pPr>
        <w:spacing w:after="0" w:line="23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in April 2024, the EPA established new GHG emissions standards applicable to heavy-duty vehicles that rely on increased deployment of electric vehicles to meet declining emissions targets; however, the current administration has signaled its intent to withdraw these regulations. California also has been active in pursuing policies promoting vehicle electrification, despite U.S. Congressional and presidential administration efforts to push back on the state’s electrification agenda. The full impact of these standards and regulations is uncertain, as several of the specific regulations are the subject of legal challenge and could impact our long-term vehicle fleet strategies.</w:t>
      </w:r>
    </w:p>
    <w:p>
      <w:pPr>
        <w:spacing w:after="0" w:line="20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Current options for heavy-duty electric powered vehicles lack sufficient range, recharging infrastructure and efficiency and proven experience for our operations, but we are proactively engaging in pilots of electric powered heavy-duty vehicles and anticipate that we could redirect future planned capital investments in our fleet toward these assets when the vehicles prove economically and operationally viable. We also are actively working with policymakers to help them understand the challenges involving the electrification of heavy-duty collection vehicles. If regulation requires widespread adoption of electric powered vehicles before the technology improves, we may suffer operational inefficiencies and incur higher operating costs. Regulation mandating an 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RNG production facilities.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Renewable Energy</w:t>
      </w:r>
    </w:p>
    <w:p>
      <w:pPr>
        <w:spacing w:after="0" w:line="23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recent years, we have discussed our sustainability growth strategy that includes significant planned and ongoing investments in our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federal tax credits for investments in RNG production under the IRA and OBBBA, and federal and state incentive programs, such as the federal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20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RINs prices generally respond to regulations enacted by the EPA, as well as fluctuations in supply and demand. The value of the RINs is set through a market established by the RFS program, which market has historically been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The current U.S. presidential administration, meanwhile, revisited and retroactively lowered the 2024</w:t>
      </w:r>
    </w:p>
    <w:p>
      <w:pPr>
        <w:sectPr>
          <w:pgSz w:w="11880" w:h="15480" w:orient="portrait"/>
          <w:cols w:equalWidth="0" w:num="1">
            <w:col w:w="9720"/>
          </w:cols>
          <w:pgMar w:left="1080" w:top="1069" w:right="1080" w:bottom="542"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720"/>
          </w:cols>
          <w:pgMar w:left="1080" w:top="1069" w:right="1080" w:bottom="542" w:gutter="0" w:footer="0" w:header="0"/>
          <w:type w:val="continuous"/>
        </w:sectPr>
      </w:pPr>
    </w:p>
    <w:bookmarkStart w:id="107" w:name="page108"/>
    <w:bookmarkEnd w:id="107"/>
    <w:p>
      <w:pPr>
        <w:jc w:val="both"/>
        <w:spacing w:after="0" w:line="244" w:lineRule="auto"/>
        <w:rPr>
          <w:sz w:val="20"/>
          <w:szCs w:val="20"/>
          <w:color w:val="auto"/>
        </w:rPr>
      </w:pPr>
      <w:r>
        <w:rPr>
          <w:rFonts w:ascii="Times New Roman" w:cs="Times New Roman" w:eastAsia="Times New Roman" w:hAnsi="Times New Roman"/>
          <w:sz w:val="20"/>
          <w:szCs w:val="20"/>
          <w:color w:val="auto"/>
        </w:rPr>
        <w:t>blending volumes, has proposed to revisit and lower the 2025 standards, has proposed low volumes for compliance years 2026 and 2027 and departed from the previous administration in granting small refinery exemptions from RFS program requirements. We do not yet know how these changes may impact the demand for renewable fuels and the value of RINs. In an effort to mitigate against such risk and stabilize our RNG portfolio, we are pursuing long-term RNG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We are closely working with state policymakers and non-governmental stakeholders to understand the role of RNG as a renewable energy resource and in delivering GHG reductions.</w:t>
      </w:r>
    </w:p>
    <w:p>
      <w:pPr>
        <w:spacing w:after="0" w:line="20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A similar program has been adopted in Canada under the Clean Fuel Regulations.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Community Engagement – Environmental Justice</w:t>
      </w:r>
    </w:p>
    <w:p>
      <w:pPr>
        <w:spacing w:after="0" w:line="23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Certain governmental bodies are in various stages of adopting or considering the adoption of requirements for environmental justice reviews as part of certain permitting decisions. These policies generally require permitting agencies to give heightened attention to a project’s potential to disproportionately impact low-income and minority communities and to proactively plan for community engagement. Environmental justice and community consultation considerations are also being increasingly adopted beyond permitting actions; for example, in rulemaking and enforcement priorities. Our Company supports policies seeking to advance high standards of environmental performance and the fair treatment of people of all races, cultures, and incomes, and we continue to proactively engage with local communities. We are actively monitoring regulatory developments in this area, particularly with respect to permitting, as additional conditions imposed on permitting decisions could increase the time and cost involved to pursue and maintain necessary authorizations.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Privacy and Information Security Regulation</w:t>
      </w:r>
    </w:p>
    <w:p>
      <w:pPr>
        <w:spacing w:after="0" w:line="2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Various U.S. and international laws and regulations related to data privacy, the protection of confidential information and secure information destruction services apply to our business. Applicable laws require businesses to provide notice under certain circumstances to individuals and/or regulators where personal information has been disclosed in a data breach. Regulatory enforcement action concerning privacy and security is generally increasing, including significant fines imposed by regulators. Secure handling and disposal of waste that may contain sensitive information may be subject to heightened privacy requirements, and in the event of a breach, could result in regulatory penalties or wider enforcement action, reputational harm, and financial liabilities.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720"/>
          </w:cols>
          <w:pgMar w:left="1080" w:top="1066" w:right="1080" w:bottom="542"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Our business, financial condition and results of operations are subject to numerous risks and uncertainties, some of which are not presently known or not currently believed to be material. You should carefully consider the following risk factors in conjunction with Item 7. </w:t>
      </w:r>
      <w:r>
        <w:rPr>
          <w:rFonts w:ascii="Times New Roman" w:cs="Times New Roman" w:eastAsia="Times New Roman" w:hAnsi="Times New Roman"/>
          <w:sz w:val="20"/>
          <w:szCs w:val="20"/>
          <w:i w:val="1"/>
          <w:iCs w:val="1"/>
          <w:color w:val="auto"/>
        </w:rPr>
        <w:t>Management’s Discussion and Analysis of Financial Condition and Results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Operations </w:t>
      </w:r>
      <w:r>
        <w:rPr>
          <w:rFonts w:ascii="Times New Roman" w:cs="Times New Roman" w:eastAsia="Times New Roman" w:hAnsi="Times New Roman"/>
          <w:sz w:val="20"/>
          <w:szCs w:val="20"/>
          <w:color w:val="auto"/>
        </w:rPr>
        <w:t>and Item 8.</w:t>
      </w:r>
      <w:r>
        <w:rPr>
          <w:rFonts w:ascii="Times New Roman" w:cs="Times New Roman" w:eastAsia="Times New Roman" w:hAnsi="Times New Roman"/>
          <w:sz w:val="20"/>
          <w:szCs w:val="20"/>
          <w:i w:val="1"/>
          <w:iCs w:val="1"/>
          <w:color w:val="auto"/>
        </w:rPr>
        <w:t xml:space="preserve"> Financial Statements and Supplementary Data</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Strategy and Operational Risks</w:t>
      </w:r>
    </w:p>
    <w:p>
      <w:pPr>
        <w:spacing w:after="0" w:line="24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implement our business strategy, our financial performance and our growth could be materially and adversely affected.</w:t>
      </w:r>
    </w:p>
    <w:p>
      <w:pPr>
        <w:spacing w:after="0" w:line="4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for more information on our business strategy. There are risks involved in pursuing our strategy, including the following:</w:t>
      </w:r>
    </w:p>
    <w:p>
      <w:pPr>
        <w:spacing w:after="0" w:line="85" w:lineRule="exact"/>
        <w:rPr>
          <w:sz w:val="20"/>
          <w:szCs w:val="20"/>
          <w:color w:val="auto"/>
        </w:rPr>
      </w:pPr>
    </w:p>
    <w:p>
      <w:pPr>
        <w:ind w:left="720" w:hanging="353"/>
        <w:spacing w:after="0"/>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Our employees, customers or investors may not embrace and support our strategy.</w:t>
      </w:r>
    </w:p>
    <w:p>
      <w:pPr>
        <w:spacing w:after="0" w:line="133"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 key element of our strategy is yield management through focus on price leadership, which has presented challenges to keep existing business and win new business at reasonable returns. Our unwillingness to pursue lower margin volumes may negatively affect our cash flows or results of operations.</w:t>
      </w:r>
    </w:p>
    <w:p>
      <w:pPr>
        <w:spacing w:after="0" w:line="80"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unsuccessful in implementing our technology-led automation and optimization strategy and other improvements to operational efficiency and such efforts may not yield the intended result.</w:t>
      </w:r>
    </w:p>
    <w:p>
      <w:pPr>
        <w:spacing w:after="0" w:line="63"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cost savings achieved, including through our automation and optimization or acquisition integration efforts, due to inflationary cost pressures or otherwise.</w:t>
      </w:r>
    </w:p>
    <w:p>
      <w:pPr>
        <w:spacing w:after="0" w:line="62"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Execution of our growth strategy, including acquisitions and expansion of operations, has caused, and may in the future cause, us to incur substantial additional indebtedness, which may divert capital away from our traditional business operations and other financial plans.</w:t>
      </w:r>
    </w:p>
    <w:p>
      <w:pPr>
        <w:spacing w:after="0" w:line="78"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our Recycling Processing and Sales and Renewable Energy segments may introduce additional compliance and regulatory risks and additional volatility to our financial performance.</w:t>
      </w:r>
    </w:p>
    <w:p>
      <w:pPr>
        <w:spacing w:after="0" w:line="62"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78"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 investments and/or new service offerings or lines of business may not increase our earnings to the extent or in the timeframe anticipated, or at all, due to complexities or difficulties operating in new markets or providing new service offerings or lines of business, failure of technologies to perform as expected, failure to achieve targeted revenue growth or market expansion, inability to manage costs within budget, integration issues, or regulatory issues and compliance costs, among others, and we may experience issues successfully integrating acquisitions into our internal controls, operations, and/or accounting systems.</w:t>
      </w:r>
    </w:p>
    <w:p>
      <w:pPr>
        <w:spacing w:after="0" w:line="93"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Integration of acquisitions and/or new services offerings or lines of business, such as our Healthcare Solutions segment, and additional expansion outside of North America, results in our business being subject to new regulations, greater exposure to risk of inadvertent noncompliance and additional compliance costs.</w:t>
      </w:r>
    </w:p>
    <w:p>
      <w:pPr>
        <w:spacing w:after="0" w:line="78" w:lineRule="exact"/>
        <w:rPr>
          <w:rFonts w:ascii="Arial" w:cs="Arial" w:eastAsia="Arial" w:hAnsi="Arial"/>
          <w:sz w:val="20"/>
          <w:szCs w:val="20"/>
          <w:color w:val="auto"/>
        </w:rPr>
      </w:pPr>
    </w:p>
    <w:p>
      <w:pPr>
        <w:jc w:val="both"/>
        <w:ind w:left="720" w:hanging="353"/>
        <w:spacing w:after="0" w:line="252"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pacing w:after="0" w:line="7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addition to the risks set forth above, implementation of our business strategy could be affected by other factors beyond our control, such as increased competition, legal developments, government regulation, global geopolitical instability, general economic conditions, increased operating costs and changes in industry trends. Implementation of our strategy may not improve our operating results to the extent we anticipate, or at all.</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720"/>
          </w:cols>
          <w:pgMar w:left="1080" w:top="1063" w:right="1080" w:bottom="542" w:gutter="0" w:footer="0" w:header="0"/>
          <w:type w:val="continuous"/>
        </w:sectPr>
      </w:pPr>
    </w:p>
    <w:bookmarkStart w:id="109" w:name="page110"/>
    <w:bookmarkEnd w:id="109"/>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strategic benefits, revenue and earnings growth, or cost synergies anticipated from the Stericycle acquisition.</w:t>
      </w:r>
    </w:p>
    <w:p>
      <w:pPr>
        <w:spacing w:after="0" w:line="10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acquired Stericycle business, which is now presented as our Healthcare Solutions segment, is subject to numerous risks and uncertainties such as decreases in the volume of medical waste and controlled substances wastes or personal and confidential information collected from customers; disruptions resulting from deployment of operational or technological systems, including with respect to Healthcare Solution’s enterprise resource planning (“ERP”) system and related billing and collection issues and delays; customer loss resulting from frustration due to billing or service issues; delayed revenue growth from planned pricing increases due to factors including customer retention, stabilization of customer data engagement systems and processes, and more prolonged development of market and customer-specific insights than initially planned; changing market conditions in the healthcare industry; competition and demand for services for the medical waste, controlled substances waste and secure information destruction industries; commodity price volatility; changes in regulation of the collection, transportation, treatment and disposal or destruction of medical waste and controlled substances waste or the proper handling and protection of personal and confidential information; the level of government enforcement of regulations governing medical waste and controlled substances waste collection and treatment or the proper handling and protection of personal and confidential information; and the outcome of pending, future or settled litigation or investigations. If we are unsuccessful in achieving financial and operational targets and implementing the Healthcare Solutions business strategy, it could negatively impact our realization of benefits from the acquisition, as well as our stock price and our future business and financial results.</w:t>
      </w:r>
    </w:p>
    <w:p>
      <w:pPr>
        <w:spacing w:after="0" w:line="15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The benefits that are expected to result from our acquisition of Stericycle also depend, in part, on our ability to realize anticipated cost synergies. Our success in realizing these benefits and cost synergies, and the timing of this realization, depends on the successful integration of the Stericycle business. The acquisition of Stericycle may not result in realization of the benefits and cost synergies that we currently expect, and we cannot guarantee that these benefits and cost synergies will be achieved within anticipated time frames. Additionally, we have, and may continue to, incur substantial expenses in connection with the integration of the Stericycle business, which may exceed expectations and offset certain benefits.</w:t>
      </w:r>
    </w:p>
    <w:p>
      <w:pPr>
        <w:spacing w:after="0" w:line="124"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liabilities, reduce revenues, or require us to make additional capital expenditures.</w:t>
      </w:r>
    </w:p>
    <w:p>
      <w:pPr>
        <w:spacing w:after="0" w:line="12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 xml:space="preserve">Stringent government regulations at the federal, state, provincial and local level in the U.S. and Canada, as well as other international jurisdictions where we operate, have a substantial impact on our operations, and compliance with such regulations is costly. See Item 1. </w:t>
      </w:r>
      <w:r>
        <w:rPr>
          <w:rFonts w:ascii="Times New Roman" w:cs="Times New Roman" w:eastAsia="Times New Roman" w:hAnsi="Times New Roman"/>
          <w:sz w:val="19"/>
          <w:szCs w:val="19"/>
          <w:i w:val="1"/>
          <w:iCs w:val="1"/>
          <w:color w:val="auto"/>
        </w:rPr>
        <w:t>Business – Regulation</w:t>
      </w:r>
      <w:r>
        <w:rPr>
          <w:rFonts w:ascii="Times New Roman" w:cs="Times New Roman" w:eastAsia="Times New Roman" w:hAnsi="Times New Roman"/>
          <w:sz w:val="19"/>
          <w:szCs w:val="19"/>
          <w:color w:val="auto"/>
        </w:rPr>
        <w:t xml:space="preserve"> for additional information. Many complex laws, rules, orders and interpretations govern environmental protection, health, safety, land use, zoning, transportation, ethical business conduct, data privacy and security, and other related and similar subjects. Among other things, governmental regulations and enforcement actions restrict our operations at times and may adversely affect our financial condition, results of operations and cash flows by imposing limitations or other conditions on constructing or expanding facilities; collection and disposal pricing and volume; transportation of out-of-state waste and management and processing of certain waste streams.</w:t>
      </w:r>
    </w:p>
    <w:p>
      <w:pPr>
        <w:spacing w:after="0" w:line="12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or other emerging contaminants. Similar issues can also result in a significant increase in operating costs; for example, developments in recent years related to management of per- and polyfluoroalkyl substances (“PFAS”) have increased our landfill operating costs. See Item 1. </w:t>
      </w:r>
      <w:r>
        <w:rPr>
          <w:rFonts w:ascii="Times New Roman" w:cs="Times New Roman" w:eastAsia="Times New Roman" w:hAnsi="Times New Roman"/>
          <w:sz w:val="20"/>
          <w:szCs w:val="20"/>
          <w:i w:val="1"/>
          <w:iCs w:val="1"/>
          <w:color w:val="auto"/>
        </w:rPr>
        <w:t xml:space="preserve">Business – Regulation – Recent Developments and Focus Areas in Policy and Regulation – PFAS </w:t>
      </w:r>
      <w:r>
        <w:rPr>
          <w:rFonts w:ascii="Times New Roman" w:cs="Times New Roman" w:eastAsia="Times New Roman" w:hAnsi="Times New Roman"/>
          <w:sz w:val="20"/>
          <w:szCs w:val="20"/>
          <w:color w:val="auto"/>
        </w:rPr>
        <w:t>for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We may face increased exposure to testing, remediation and litigation costs as a result of new and emerging PFAS regulations and requirements.</w:t>
      </w:r>
    </w:p>
    <w:p>
      <w:pPr>
        <w:spacing w:after="0" w:line="14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Regulations establishing extended producer responsibility (“EPR”) are being considered or implemented in many places around the world, including in certain states in the U.S. and provinces and territories in Canada. EPR regulations are designed to place either partial or total responsibility on producers of consumer-packaged goods and other products to fund the post-use life cycle of the products and packaging they create. At the same time, concerns over price and</w:t>
      </w:r>
    </w:p>
    <w:p>
      <w:pPr>
        <w:sectPr>
          <w:pgSz w:w="11880" w:h="15480" w:orient="portrait"/>
          <w:cols w:equalWidth="0" w:num="1">
            <w:col w:w="9720"/>
          </w:cols>
          <w:pgMar w:left="1080" w:top="1066" w:right="1080" w:bottom="542"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720"/>
          </w:cols>
          <w:pgMar w:left="1080" w:top="1066" w:right="1080" w:bottom="542" w:gutter="0" w:footer="0" w:header="0"/>
          <w:type w:val="continuous"/>
        </w:sectPr>
      </w:pPr>
    </w:p>
    <w:bookmarkStart w:id="110" w:name="page111"/>
    <w:bookmarkEnd w:id="11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affordability have led some jurisdictions to scale back previously enacted EPR requirements, and certain programs have faced lawsuits and potential constitutional review, creating uncertainty for long-term planning. For additional information, See Item 1. </w:t>
      </w:r>
      <w:r>
        <w:rPr>
          <w:rFonts w:ascii="Times New Roman" w:cs="Times New Roman" w:eastAsia="Times New Roman" w:hAnsi="Times New Roman"/>
          <w:sz w:val="20"/>
          <w:szCs w:val="20"/>
          <w:i w:val="1"/>
          <w:iCs w:val="1"/>
          <w:color w:val="auto"/>
        </w:rPr>
        <w:t>Business – Regulation – Recent Developments and Focus Areas in Policy and Regulation – Extended Producer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Responsibility</w:t>
      </w:r>
      <w:r>
        <w:rPr>
          <w:rFonts w:ascii="Times New Roman" w:cs="Times New Roman" w:eastAsia="Times New Roman" w:hAnsi="Times New Roman"/>
          <w:sz w:val="20"/>
          <w:szCs w:val="20"/>
          <w:color w:val="auto"/>
        </w:rPr>
        <w:t>. A significant reduction in the waste, recycling and other streams we manage, including with respect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quality and volume, could have a material adverse effect on our financial condition, results of operations and cash flows. Conversely, changes in program requirements or deregulatory rulings in jurisdictions where we have adapted to meet customer demand could affect our operations, financial condition or results of operations.</w:t>
      </w:r>
    </w:p>
    <w:p>
      <w:pPr>
        <w:spacing w:after="0" w:line="14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also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Our secure information destruction services are subject to additional laws and regulations regarding proper handling and protection of personal and confidential information. Relaxation of enforcement, government shutdowns, or other changes in governmental regulation of medical waste and controlled substances waste and personal and confidential information could increase the number of competitors we face or reduce or delay the need for these services.</w:t>
      </w:r>
    </w:p>
    <w:p>
      <w:pPr>
        <w:spacing w:after="0" w:line="14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current U.S. presidential administration has implemented substantial changes to foreign trade policy and is generally in favor of reducing regulation, including environmental regulation. The impact and timing of these shifts in regulatory policy impacting our industry and our Company remain uncertain, as many are subject to ongoing litigation and agency review. Reduction of regulation may have a favorable impact on our operating costs, but the extensive environmental regulation applicable to our industry is also a barrier to rapid entry that benefits our Company. It is likely that some policies adopted by this administration will benefit us and others will negatively affect us.</w:t>
      </w:r>
    </w:p>
    <w:p>
      <w:pPr>
        <w:spacing w:after="0" w:line="1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It is our policy to comply with all applicable anti-bribery laws, such as the U.S. Foreign Corrupt Practices Act (“FCPA”),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If we encounter regulatory compliance issues in the course of operating our business, we may experience adverse publicity, which may intensify if such noncompliance results in legal liability. Any legal liability or adverse publicity from such noncompliance may harm our reputation and result in difficulties in attracting new customers, or retaining existing customers, which would negatively impact our results of operations and financial condition.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operational and safety risks, including the risk of injury to employees and others.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Providing environmental and waste management services, including constructing and operating landfills, transfer stations, processing facilities, recycling facilities and other disposal or destruction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and we have proactively incurred increased costs to manage leachate in response to this risk. We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The Healthcare Solutions business requires handling of medical waste and controlled substances waste and operates incineration facilities. Incidents such as truck accidents, damaged or leaking containers, improper storage of medical waste and controlled substances waste, placement of prohibited materials into the waste stream, or malfunctioning plant or incineration equipment could result in exposure to contaminated or infectious waste or other hazardous materials.</w:t>
      </w:r>
    </w:p>
    <w:p>
      <w:pPr>
        <w:spacing w:after="0" w:line="138"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Any of these risks could potentially result in injury, illness or death of employees and others. These risks could also result in a need to shut down or reduce operation of facilities, increased operating costs and exposure to liability for pollution, public nuisance, and other environmental damage, and property damage or destruction. If we were to incur substantial liabilities in excess of any applicable insurance, our business, results of operations and financial condition could be adversely affected. Any such incidents could also tarnish our reputation and reduce the value of our brand. Additionally,</w:t>
      </w:r>
    </w:p>
    <w:p>
      <w:pPr>
        <w:sectPr>
          <w:pgSz w:w="11880" w:h="15480" w:orient="portrait"/>
          <w:cols w:equalWidth="0" w:num="1">
            <w:col w:w="9720"/>
          </w:cols>
          <w:pgMar w:left="1080" w:top="1066" w:right="1080" w:bottom="542"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720"/>
          </w:cols>
          <w:pgMar w:left="1080" w:top="1066" w:right="1080" w:bottom="542" w:gutter="0" w:footer="0" w:header="0"/>
          <w:type w:val="continuous"/>
        </w:sectPr>
      </w:pPr>
    </w:p>
    <w:bookmarkStart w:id="111" w:name="page112"/>
    <w:bookmarkEnd w:id="111"/>
    <w:p>
      <w:pPr>
        <w:spacing w:after="0" w:line="278" w:lineRule="auto"/>
        <w:rPr>
          <w:sz w:val="20"/>
          <w:szCs w:val="20"/>
          <w:color w:val="auto"/>
        </w:rPr>
      </w:pPr>
      <w:r>
        <w:rPr>
          <w:rFonts w:ascii="Times New Roman" w:cs="Times New Roman" w:eastAsia="Times New Roman" w:hAnsi="Times New Roman"/>
          <w:sz w:val="20"/>
          <w:szCs w:val="20"/>
          <w:color w:val="auto"/>
        </w:rPr>
        <w:t>a major operational failure, even if suffered by a competitor, may bring enhanced scrutiny and regulation of our industry, with a corresponding increase in operating expense.</w:t>
      </w:r>
    </w:p>
    <w:p>
      <w:pPr>
        <w:spacing w:after="0" w:line="10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12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Our ability to meet our financial and operating objectives depends in part on our ability to obtain and maintain the permits, authorizations, approvals, certificates, and other governmental permissions necessary to operate landfill sites, recycling facilities, compost facilities, processing facilities, landfill gas-to-energy facilities, incineration facilities and transfer stations in the various jurisdictions in which we operate. Changes in applicable laws and regulations could require us to obtain new permits or to change the way in which we operate our business. Even where permits are obtained, they may contain conditions or restrictions that limit our ability to operate efficiently.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Our ability to receive permits is also impacted by land scarcity, particularly in densely populated areas. Diminishing disposal capacity, typically in proximity to major metropolitan areas, sometimes requires us to transport waste by rail or find alternative disposal solutions in affected areas, increasing our operating costs. Certain governmental bodies are in various stages of adopting or considering the adoption of requirements for environmental justice reviews as part of certain permitting decisions. These policies generally require permitting agencies to give heightened attention to a project’s potential to disproportionately impact low-income and minority communities and to proactively plan for community engagement. Responding to permit challenges has, at times, increased our costs and extended the time associated with establishing new facilities and expanding existing facilities. Our failure to obtain the required permits and necessary capacity expansion to operate our business, including our landfills, could have a material adverse impact on our financial condition, results of operations and cash flows.</w:t>
      </w:r>
    </w:p>
    <w:p>
      <w:pPr>
        <w:spacing w:after="0" w:line="15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hire, develop and retain key team members and a high-quality workforce, and comply with applicable employment regulations, it could result in business and strategic disruption and increased costs, negatively impacting our results of operations.</w:t>
      </w:r>
    </w:p>
    <w:p>
      <w:pPr>
        <w:spacing w:after="0" w:line="12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operations require us to attract, hire, develop and retain a high-quality workforce; this includes key individuals in leadership and specialty roles, as well as a very large number of skilled drivers, technicians and other front-line and back-office team members necessary to provide our environmental services. We experience significant competition to hire and retain certain front-line positions, such as commercial truck drivers. Additionally, the market for employees that serve on our digital team and support our investments in our technology-led automation and optimization strategy is highly competitive. We also compete to attract skilled business leaders, and our own key team members are sought after by our competitors and other companies. Labor shortages, as we have experienced in the past, could result in increased costs due to wage adjustments, overtime hours, training costs and inability to service customers. As an employer of over 60,000 individuals throughout the U.S. and Canada, as well as Western Europe and India, we are subject to numerous employment related regulations, including federal and state wage and hour laws and rapidly changing laws related to employment eligibility. If we are not able to attract, hire, develop and retain a high-quality workforce with the necessary skills and expertise, if we experience significant employee turnover, or if we fail to comply with applicable employment regulations, it can result in business and strategic disruption, increased costs, and loss of institutional knowledge, which could negatively impact our results of operations.</w:t>
      </w:r>
    </w:p>
    <w:p>
      <w:pPr>
        <w:spacing w:after="0" w:line="15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our labor costs as a result of unions organizing, Multiemployer Pension Plan withdrawals, changes in regulations related to labor unions or increases in minimum wages, could adversely affect our future results.</w:t>
      </w:r>
    </w:p>
    <w:p>
      <w:pPr>
        <w:spacing w:after="0" w:line="10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w:t>
      </w:r>
    </w:p>
    <w:p>
      <w:pPr>
        <w:sectPr>
          <w:pgSz w:w="11880" w:h="15480" w:orient="portrait"/>
          <w:cols w:equalWidth="0" w:num="1">
            <w:col w:w="9720"/>
          </w:cols>
          <w:pgMar w:left="1080" w:top="1066" w:right="1080" w:bottom="542"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720"/>
          </w:cols>
          <w:pgMar w:left="1080" w:top="1066" w:right="1080" w:bottom="542" w:gutter="0" w:footer="0" w:header="0"/>
          <w:type w:val="continuous"/>
        </w:sectPr>
      </w:pPr>
    </w:p>
    <w:bookmarkStart w:id="112" w:name="page113"/>
    <w:bookmarkEnd w:id="112"/>
    <w:p>
      <w:pPr>
        <w:jc w:val="both"/>
        <w:spacing w:after="0" w:line="246" w:lineRule="auto"/>
        <w:rPr>
          <w:sz w:val="20"/>
          <w:szCs w:val="20"/>
          <w:color w:val="auto"/>
        </w:rPr>
      </w:pPr>
      <w:r>
        <w:rPr>
          <w:rFonts w:ascii="Times New Roman" w:cs="Times New Roman" w:eastAsia="Times New Roman" w:hAnsi="Times New Roman"/>
          <w:sz w:val="20"/>
          <w:szCs w:val="20"/>
          <w:color w:val="auto"/>
        </w:rPr>
        <w:t>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We are a participating employer in a number of trustee-managed multiemployer defined benefit pension plans (“Multiemployer Pension Plans”) for employees who are covered by collective bargaining agreements. In the event of our withdrawal from a Multiemployer Pension Plan, we may incur significant expenses associated with our obligations for unfunded vested benefits at the time of the withdrawal that could have a material adverse effect on results of operations or cash flows.</w:t>
      </w:r>
    </w:p>
    <w:p>
      <w:pPr>
        <w:spacing w:after="0" w:line="12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110"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seasonal nature of our business, severe weather events resulting from climate change and event driven projects cause our results to fluctuate, and prior performance may not be indicative of our future results.</w:t>
      </w:r>
    </w:p>
    <w:p>
      <w:pPr>
        <w:spacing w:after="0" w:line="8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Margins on weather-related and other event-driven projects may not be consistent with our ordinary course business. For these and other reasons, operating results in any period may not be indicative of operating results for any other period. Our stock price may be negatively impacted by interim variations in our results.</w:t>
      </w:r>
    </w:p>
    <w:p>
      <w:pPr>
        <w:spacing w:after="0" w:line="10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11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to power our natural gas fleet. Fluctuations in the price and supply of natural gas or diesel fuel could substantially increase our operating expenses; a reduction in the existing cost differential between natural gas and diesel fuel could materially reduce the benefits we anticipate from our investment in natural gas vehicles.</w:t>
      </w:r>
    </w:p>
    <w:p>
      <w:pPr>
        <w:spacing w:after="0" w:line="12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See Item 1. </w:t>
      </w:r>
      <w:r>
        <w:rPr>
          <w:rFonts w:ascii="Times New Roman" w:cs="Times New Roman" w:eastAsia="Times New Roman" w:hAnsi="Times New Roman"/>
          <w:sz w:val="20"/>
          <w:szCs w:val="20"/>
          <w:i w:val="1"/>
          <w:iCs w:val="1"/>
          <w:color w:val="auto"/>
        </w:rPr>
        <w:t>Business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Regulation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Investment in Natural Gas Vehicles and Infrastructure </w:t>
      </w:r>
      <w:r>
        <w:rPr>
          <w:rFonts w:ascii="Times New Roman" w:cs="Times New Roman" w:eastAsia="Times New Roman" w:hAnsi="Times New Roman"/>
          <w:sz w:val="20"/>
          <w:szCs w:val="20"/>
          <w:color w:val="auto"/>
        </w:rPr>
        <w:t>for additional information. Regulation mandating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122"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achieve our sustainability-related goals, including reduction of our greenhouse gas ("GHG") emissions, or achieve the results and benefits anticipated from our sustainability-related investments and initiatives within planned timelines or anticipated budget.</w:t>
      </w:r>
    </w:p>
    <w:p>
      <w:pPr>
        <w:spacing w:after="0" w:line="105"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We have set goals to reduce our GHG emissions and announced other sustainability-related goals and initiatives. We may not be able to meet such goals or implement such initiatives in the manner or on timelines contemplated due to</w:t>
      </w:r>
    </w:p>
    <w:p>
      <w:pPr>
        <w:sectPr>
          <w:pgSz w:w="11880" w:h="15480" w:orient="portrait"/>
          <w:cols w:equalWidth="0" w:num="1">
            <w:col w:w="9720"/>
          </w:cols>
          <w:pgMar w:left="1080" w:top="1066" w:right="1080" w:bottom="542"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720"/>
          </w:cols>
          <w:pgMar w:left="1080" w:top="1066" w:right="1080" w:bottom="542" w:gutter="0" w:footer="0" w:header="0"/>
          <w:type w:val="continuous"/>
        </w:sectPr>
      </w:pPr>
    </w:p>
    <w:bookmarkStart w:id="113" w:name="page114"/>
    <w:bookmarkEnd w:id="113"/>
    <w:p>
      <w:pPr>
        <w:jc w:val="both"/>
        <w:spacing w:after="0" w:line="245" w:lineRule="auto"/>
        <w:rPr>
          <w:sz w:val="20"/>
          <w:szCs w:val="20"/>
          <w:color w:val="auto"/>
        </w:rPr>
      </w:pPr>
      <w:r>
        <w:rPr>
          <w:rFonts w:ascii="Times New Roman" w:cs="Times New Roman" w:eastAsia="Times New Roman" w:hAnsi="Times New Roman"/>
          <w:sz w:val="20"/>
          <w:szCs w:val="20"/>
          <w:color w:val="auto"/>
        </w:rPr>
        <w:t>challenges including, but not limited to, unforeseen costs or delays, changes in how GHG emissions are calculated or otherwise reported, supply chain disruptions, regulatory impacts, integration of acquired assets or businesses, technology limitations or technical difficulties associated with achieving such goals. Changes to our business or asset base that were not contemplated when we set our sustainability-related goals could adversely impact our progress towards these goals and require us to adjust them. These changes could negatively impact public perception of our Company and stakeholders may view these changes unfavorably. Also, despite voluntarily announcing such sustainability goals, we may receive pressure from investors or other groups to adopt more aggressive sustainability-related goals that may not be technically, operationally, or financially feasible.</w:t>
      </w:r>
    </w:p>
    <w:p>
      <w:pPr>
        <w:spacing w:after="0" w:line="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 xml:space="preserve">In addition, we have made significant investments in our Recycling Processing and Sales and Renewable Energy segments. Timing and achievement of the results and benefits anticipated from these investments may be impacted by the numerous risks and uncertainties including financial and operating performance; availability of technology and financing; compliance with regulations; inability to develop, obtain or scale necessary equipment; technology and innovations; challenges arising from the availability or cost of materials and infrastructure; difficulty obtaining regulatory approvals or permits; commodity price fluctuation and general economic conditions. (Also see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Our revenues,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earnings and cash flows fluctuate based on changes in commodity prices and demand and may fluctuate substantially without notice in the future </w:t>
      </w:r>
      <w:r>
        <w:rPr>
          <w:rFonts w:ascii="Times New Roman" w:cs="Times New Roman" w:eastAsia="Times New Roman" w:hAnsi="Times New Roman"/>
          <w:sz w:val="19"/>
          <w:szCs w:val="19"/>
          <w:color w:val="auto"/>
        </w:rPr>
        <w:t>and —</w:t>
      </w:r>
      <w:r>
        <w:rPr>
          <w:rFonts w:ascii="Times New Roman" w:cs="Times New Roman" w:eastAsia="Times New Roman" w:hAnsi="Times New Roman"/>
          <w:sz w:val="19"/>
          <w:szCs w:val="19"/>
          <w:i w:val="1"/>
          <w:iCs w:val="1"/>
          <w:color w:val="auto"/>
        </w:rPr>
        <w:t xml:space="preserve"> Changes to federal and state renewable fuel policies could affect the financial performance of our Renewable Energy segment</w:t>
      </w:r>
      <w:r>
        <w:rPr>
          <w:rFonts w:ascii="Times New Roman" w:cs="Times New Roman" w:eastAsia="Times New Roman" w:hAnsi="Times New Roman"/>
          <w:sz w:val="19"/>
          <w:szCs w:val="19"/>
          <w:color w:val="auto"/>
        </w:rPr>
        <w:t>). Favorable expectations regarding potential investment tax credits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benefits stemming from the IRA and the OBBBA may not materialize or could fail to meet expectations. See Item</w:t>
      </w:r>
    </w:p>
    <w:p>
      <w:pPr>
        <w:spacing w:after="0" w:line="6" w:lineRule="exact"/>
        <w:rPr>
          <w:sz w:val="20"/>
          <w:szCs w:val="20"/>
          <w:color w:val="auto"/>
        </w:rPr>
      </w:pPr>
    </w:p>
    <w:p>
      <w:pPr>
        <w:ind w:firstLine="8"/>
        <w:spacing w:after="0" w:line="249" w:lineRule="auto"/>
        <w:tabs>
          <w:tab w:leader="none" w:pos="24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Business – Regulation – Recent Developments and Focus Areas in Policy and Regulation – Tax Legislation </w:t>
      </w:r>
      <w:r>
        <w:rPr>
          <w:rFonts w:ascii="Times New Roman" w:cs="Times New Roman" w:eastAsia="Times New Roman" w:hAnsi="Times New Roman"/>
          <w:sz w:val="20"/>
          <w:szCs w:val="20"/>
          <w:color w:val="auto"/>
        </w:rPr>
        <w:t>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information.</w:t>
      </w:r>
    </w:p>
    <w:p>
      <w:pPr>
        <w:spacing w:after="0" w:line="7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We have also forecasted or projected certain operational and financial information with respect to our sustainability investments and initiatives. For example, the amount of gas produced over time at landfills can vary depending on many factors, including weather and the composition of the inbound waste stream. Gas curves are inherently uncertain, and if we have less gas than predicted at a site where we have invested in RNG infrastructure, it may take longer to achieve our return on investment. Relatedly, the quality of the gathered gas is subject to the composition of the waste deposited at our landfills, and the prevalence of certain chemical compounds may adversely affect the usability of such gas and require further investment in the treatment and management of such compounds. Regulations requiring diversion of organic waste away from landfills could have the effect of decreasing the amount of landfill gas produced over time in our landfills.</w:t>
      </w:r>
    </w:p>
    <w:p>
      <w:pPr>
        <w:spacing w:after="0" w:line="6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Focus on, and regulation of, sustainability performance and disclosure can result in increased costs, risk of noncompliance, damage to our reputation and related adverse effects.</w:t>
      </w:r>
    </w:p>
    <w:p>
      <w:pPr>
        <w:spacing w:after="0" w:line="4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The nature, scope, and complexity of matters that our Company must assess, quantify and disclose are expanding due to current, proposed, and recently enacted governmental reporting requirements pertaining to sustainability and climate-related risks and other topics, such as water usage, waste production, labor, human capital, environmental justice, cybersecurity, privacy, and risk oversight. See Item 1. </w:t>
      </w:r>
      <w:r>
        <w:rPr>
          <w:rFonts w:ascii="Times New Roman" w:cs="Times New Roman" w:eastAsia="Times New Roman" w:hAnsi="Times New Roman"/>
          <w:sz w:val="20"/>
          <w:szCs w:val="20"/>
          <w:i w:val="1"/>
          <w:iCs w:val="1"/>
          <w:color w:val="auto"/>
        </w:rPr>
        <w:t>Business – Regulation – Recent Developments and Focus Areas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Policy and Regulation – Climate and Sustainability </w:t>
      </w:r>
      <w:r>
        <w:rPr>
          <w:rFonts w:ascii="Times New Roman" w:cs="Times New Roman" w:eastAsia="Times New Roman" w:hAnsi="Times New Roman"/>
          <w:sz w:val="20"/>
          <w:szCs w:val="20"/>
          <w:color w:val="auto"/>
        </w:rPr>
        <w:t>for more information. Methodology and timelines for mandatory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w:t>
      </w:r>
    </w:p>
    <w:p>
      <w:pPr>
        <w:spacing w:after="0" w:line="8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subject to heightened scrutiny related to the risk of potential “greenwashing,”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allegations of misleading information or false claims overstating potential sustainability benefits made by governmental authorities, non-governmental organizations and other private actors. An inability to implement such policies, practices, and internal controls and maintain compliance with laws and regulations, or a perception among stakeholders that our sustainability disclosures and goals are insufficient or our goals are unattainable, could harm our reputation and competitive position and negatively impact our stock price and business performance.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720"/>
          </w:cols>
          <w:pgMar w:left="1080" w:top="1066" w:right="1080" w:bottom="542"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u w:val="single" w:color="auto"/>
          <w:color w:val="auto"/>
        </w:rPr>
        <w:t>External and Industry Risks</w:t>
      </w:r>
    </w:p>
    <w:p>
      <w:pPr>
        <w:spacing w:after="0" w:line="163"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Market disruption, including labor shortages, external strikes, supply chain constraints and major external events, and macroeconomic pressures, including inflation, have recently had, and may in the future have, an adverse impact on our business and results of operations.</w:t>
      </w:r>
    </w:p>
    <w:p>
      <w:pPr>
        <w:spacing w:after="0" w:line="10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Market disruption resulting from labor shortages, external labor disputes and strikes, supply chain and transportation constraints, major external events, including pandemic conditions, and macroeconomic pressures have recently had, and may in the future have, an adverse impact on our results and can create risk and uncertainty in financial outlook. Inflation can and has increased costs for the goods and services we purchase, particularly for labor, repair and maintenance, and subcontractor costs. Aspects of our business rely on third-party transportation providers, and such services have become more limited and expensive. Significant restrictions and tariffs on foreign trade have a negative impact on our recycling export business and our cross-border commerce, particularly with Canada, decrease paper mills’ demand for recycled corrugated cardboard used in packaging and increase the cost of certain equipment and other materials used in our operations that we procure from outside the U.S., including our trucks and certain equipment used to implement our sustainability growth strategy. Geopolitical conflicts and the resulting international responses may also exacerbate market disruption, leading to volatility in commodity prices, impacts on the availability and cost of energy, increased cyberattacks, and vendor and supplier disruptions across the global supply chain. Major external events, like pandemics or widespread social restrictions, could also have an adverse impact on our volumes, costs and operations. The extent and duration of the impact of these challenges are subject to numerous external factors beyond our control. If such impacts are prolonged and substantial, they could have a material negative effect on our results of operations.</w:t>
      </w:r>
    </w:p>
    <w:p>
      <w:pPr>
        <w:spacing w:after="0" w:line="13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Accelerated and pronounced economic pressures, such as rising interest rates and inflationary cost pressures, have in the past and may in the future impact our cost structure and capital expenditures. Significant components of our operating expenses vary directly as we experience changes in revenue due to volume and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The inability to adequately increase prices to offset increased costs and inflationary pressures, or otherwise mitigate the impact of these conditions on our business, will increase our costs of doing business and reduce our margins.</w:t>
      </w:r>
    </w:p>
    <w:p>
      <w:pPr>
        <w:spacing w:after="0" w:line="12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8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sources in all aspects of our operations and when expanding to new lines of business or new markets.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 -products,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17"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revenues, earnings and cash flows fluctuate based on changes in commodity prices and demand and may fluctuate substantially without notice in the future.</w:t>
      </w:r>
    </w:p>
    <w:p>
      <w:pPr>
        <w:spacing w:after="0" w:line="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9"/>
          <w:szCs w:val="19"/>
          <w:color w:val="auto"/>
        </w:rPr>
        <w:t>Prices and demand for recyclables fluctuate and are particularly susceptible to volatility based on macroeconomic conditions and regulations. The fluctuations in the market prices or demand for these commodities can affect our operating income and cash flows negatively, as we experienced in 2025, or positively, as we experienced in 2024. The decline in market prices in 2025 for recyclable commodities resulted in a year-over-year decrease in revenue of $166 million, and</w:t>
      </w:r>
    </w:p>
    <w:p>
      <w:pPr>
        <w:sectPr>
          <w:pgSz w:w="11880" w:h="15480" w:orient="portrait"/>
          <w:cols w:equalWidth="0" w:num="1">
            <w:col w:w="9720"/>
          </w:cols>
          <w:pgMar w:left="1080" w:top="1063" w:right="1080" w:bottom="542"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720"/>
          </w:cols>
          <w:pgMar w:left="1080" w:top="1063" w:right="1080" w:bottom="542" w:gutter="0" w:footer="0" w:header="0"/>
          <w:type w:val="continuous"/>
        </w:sectPr>
      </w:pPr>
    </w:p>
    <w:bookmarkStart w:id="115" w:name="page116"/>
    <w:bookmarkEnd w:id="115"/>
    <w:p>
      <w:pPr>
        <w:jc w:val="both"/>
        <w:spacing w:after="0" w:line="278" w:lineRule="auto"/>
        <w:rPr>
          <w:sz w:val="20"/>
          <w:szCs w:val="20"/>
          <w:color w:val="auto"/>
        </w:rPr>
      </w:pPr>
      <w:r>
        <w:rPr>
          <w:rFonts w:ascii="Times New Roman" w:cs="Times New Roman" w:eastAsia="Times New Roman" w:hAnsi="Times New Roman"/>
          <w:sz w:val="20"/>
          <w:szCs w:val="20"/>
          <w:color w:val="auto"/>
        </w:rPr>
        <w:t>the increase in market prices in 2024 for recyclable commodities resulted in a year-over-year increase in revenue of $245 million.</w:t>
      </w:r>
    </w:p>
    <w:p>
      <w:pPr>
        <w:spacing w:after="0" w:line="6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Regulations affecting, and in some cases restricting, the international flow of certain recyclables have led, and could in the future lead, to a reduction in export activity for such recyclables, as well as higher quality requirements and higher processing costs. We have made significant investments in our recycling business to increase automation and reduce labor dependency and address increases in regulatory- and customer-driven quality requirements for commodities. These investments increase our exposure to commodity price fluctuations. Future regulation, tariffs, international trade policies or other initiatives, including regulations addressing climate change or GHG emissions, may impact supply and demand of material and availability of counterparties, or increase operating costs, which could impact the profitability of our recycling operations. If we do not effectively manage changes in demand and commodity prices for recyclable materials, or if we do not successfully execute our sustainability growth strategy, our investments in recycling infrastructure and technology may not yield the results anticipated.</w:t>
      </w:r>
    </w:p>
    <w:p>
      <w:pPr>
        <w:spacing w:after="0" w:line="10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Fluctuation in energy-related prices also affects our business, including recycling of plastics manufactured from petroleum products. Our Renewable Energy segment generates and sells credits referred to as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Recent expansion of our Renewable Energy segment may introduce additional risks and volatility to our financial performance.</w:t>
      </w:r>
    </w:p>
    <w:p>
      <w:pPr>
        <w:spacing w:after="0" w:line="100"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6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large North American and global companies and government agencies. This increased focus on minimizing climate impacts may require the Company to invest in higher-cost technologies.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1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10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General economic conditions and consumer trends can directly and adversely affect revenues for our services, our income from operations margins and our overall financial results.</w:t>
      </w:r>
    </w:p>
    <w:p>
      <w:pPr>
        <w:spacing w:after="0" w:line="6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Our business is directly affected by changes in consumer trends and economic factors that are outside of our control, including consumer preferences and priorities, consumer confidence, inflation,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w:t>
      </w:r>
    </w:p>
    <w:p>
      <w:pPr>
        <w:sectPr>
          <w:pgSz w:w="11880" w:h="15480" w:orient="portrait"/>
          <w:cols w:equalWidth="0" w:num="1">
            <w:col w:w="9720"/>
          </w:cols>
          <w:pgMar w:left="1080" w:top="1066" w:right="1080" w:bottom="542"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720"/>
          </w:cols>
          <w:pgMar w:left="1080" w:top="1066" w:right="1080" w:bottom="542" w:gutter="0" w:footer="0" w:header="0"/>
          <w:type w:val="continuous"/>
        </w:sectPr>
      </w:pPr>
    </w:p>
    <w:bookmarkStart w:id="116" w:name="page117"/>
    <w:bookmarkEnd w:id="116"/>
    <w:p>
      <w:pPr>
        <w:jc w:val="both"/>
        <w:spacing w:after="0" w:line="246" w:lineRule="auto"/>
        <w:rPr>
          <w:sz w:val="20"/>
          <w:szCs w:val="20"/>
          <w:color w:val="auto"/>
        </w:rPr>
      </w:pPr>
      <w:r>
        <w:rPr>
          <w:rFonts w:ascii="Times New Roman" w:cs="Times New Roman" w:eastAsia="Times New Roman" w:hAnsi="Times New Roman"/>
          <w:sz w:val="20"/>
          <w:szCs w:val="20"/>
          <w:color w:val="auto"/>
        </w:rPr>
        <w:t>the number and variety of services requested by customers. Additionally, a weak market for consumer goods, or reduction in international trade due to tariffs or other factors, can significantly decrease demand by paper mills for recycled corrugated cardboard used in packaging, which can constrict availability of counterparties and negatively impact commodity prices and our operating income and cash flows. While sustainability remains a priority for many customers, we have observed a shift in prioritization by some companies with respect to sustainability objectives, including a decreased willingness to pay premium prices for recycled materials or enhanced sustainability solutions, which impacts demand for, and viability of, some of our offerings.</w:t>
      </w:r>
    </w:p>
    <w:p>
      <w:pPr>
        <w:spacing w:after="0" w:line="10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Our costs may increase more than the increase, if any, in the Consumer Price Index,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1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high-cost structures. During these periods, such entities, and our non-governmental customers, could be unable to pay amounts owed to us or renew contracts with us at previous or increased rates. In addition, the financial difficulties of municipalities could reduce investor demand for municipal bonds and cause a correlating increase in interest rates. As of December 31, 2025, we had $1.8 billion of tax-exempt bonds with 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10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Reduction in volumes of medical waste, controlled substances wastes, and personal and confidential information, and changing conditions in the healthcare industry could adversely affect our financial results.</w:t>
      </w:r>
    </w:p>
    <w:p>
      <w:pPr>
        <w:spacing w:after="0" w:line="6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Through our Healthcare Solutions segment, we provide compliance-based services that rely on the generation of medical waste, controlled substances waste and personal and confidential information by our customers. The volume of such material may be impacted by macroeconomic trends associated with manufacturing and industrial markets, healthcare market dynamics, and trends associated with an increase in work-from-home arrangements and electronic and digital record keeping. Long-term trends resulting from these factors could reduce the demand for these services.</w:t>
      </w:r>
    </w:p>
    <w:p>
      <w:pPr>
        <w:spacing w:after="0" w:line="9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addition, in the U.S. and elsewhere, the healthcare industry is evolving to meet competing demands for increased healthcare coverage of a growing and aging population and economic pressures to reduce healthcare costs. As a result of these dynamics, hospital networks are consolidating physician practices into their networks, independent practices are consolidating, and healthcare providers are focused on cutting costs within their businesses. These changes and consolidation of the customer base increase the competitive nature of the healthcare waste industry and exert downward pricing pressure, which could adversely affect our financial results.</w:t>
      </w:r>
    </w:p>
    <w:p>
      <w:pPr>
        <w:spacing w:after="0" w:line="101"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applicable tax laws and regulation or interpretation thereof or the imposition of new or increased taxes may increase our tax liabilities and could adversely affect our operating results and cash flows</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are subject to various complex and evolving U.S. federal, state, local and non-U.S. tax laws. Existing tax laws, policies, statutes, rules, regulations or ordinances, including those related to any non-U.S. tax jurisdictions in which we operate, could be interpreted, changed, modified or applied adversely to us, in each case, possibly with retroactive effect. Any significant variance in our interpretation of current tax laws or a successful challenge of one or more of our tax positions by the U.S. Internal Revenue Service or other tax authorities could increase our future tax liabilities and adversely affect our operating results and cash flows.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Shortages in diesel fuel supply or increases in diesel fuel prices will increase our operating expenses.</w:t>
      </w:r>
    </w:p>
    <w:p>
      <w:pPr>
        <w:spacing w:after="0" w:line="1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notable portion of our collection and transfer trucks and our equipment used in our landfill operations. Fuel supply shortages and price increases could substantially increase our operating expenses. Regardless of any offsetting surcharge programs, increased operating costs</w:t>
      </w:r>
    </w:p>
    <w:p>
      <w:pPr>
        <w:sectPr>
          <w:pgSz w:w="11880" w:h="15480" w:orient="portrait"/>
          <w:cols w:equalWidth="0" w:num="1">
            <w:col w:w="9720"/>
          </w:cols>
          <w:pgMar w:left="1080" w:top="1066" w:right="1080" w:bottom="542"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720"/>
          </w:cols>
          <w:pgMar w:left="1080" w:top="1066" w:right="1080" w:bottom="542"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due to higher diesel fuel prices will decrease our income from operations margins.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Technology, Intellectual Property and Information Security Risks</w:t>
      </w:r>
    </w:p>
    <w:p>
      <w:pPr>
        <w:spacing w:after="0" w:line="12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4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existing and proposed service offerings to customers require that we invest in, develop, license, and protect new technologies. Our Company is continuing our multi-year commitment to strategic investments in technology that automate and innovate our operations, improve the customer experience, provide alternatives to traditional disposal and maximize the resource value of waste.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expensive, and an inability to obtain or protect new technologies could impact our services to customers and the development of new revenue sources. We rely on a combination of patents and trade secrets to protect our intellectual property, as well as confidentiality and non-disclosure agreements with employees, contractors, and other third parties. We cannot guarantee that these measures will fully prevent unauthorized access or use. Furthermore, there is no assurance that current or future applications will result in issued patents or, if issued, will provide adequate protection against competitors or other third parties. If a competitor or other third party develops or obtains exclusive rights to a “breakthrough technology” that provides a revolutionary change in our industry, or if we have inferior intellectual property to our competitors, our financial results may suffer.</w:t>
      </w:r>
    </w:p>
    <w:p>
      <w:pPr>
        <w:spacing w:after="0" w:line="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believe we have developed a reputation for high-quality service, reliability and social and environmental responsibility, and we believe our brand symbolizes these attributes. Intellectual property including the WM brand name, trademarks and logos are powerful sales and marketing tools, and we devote significant resources to promoting and protecting them.</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technology, and if our technology fails, our business would be adversely affected.</w:t>
      </w:r>
    </w:p>
    <w:p>
      <w:pPr>
        <w:spacing w:after="0" w:line="11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Company, our customers, and the economy in general are increasingly dependent on continuous information technology systems and digital tools to conduct operations. This dependence spans nearly all areas of our business, from overseeing and controlling critical infrastructure to processing and securing proprietary and sensitive information. The information technology systems and networks that we, our customers, suppliers, and other third parties rely on can be vulnerable to disruptions from cyberattacks, power failures, telecommunications outages, major events like natural disasters, acts of war or terrorism, employee errors, and other unexpected or uncontrollable occurrences. Systems that increase our utilization of, and dependency on, third-party cloud computing services and digital platforms also increase various technology risks, including potential exposure to cyber incidents, loss of data, fraud, internal control challenges and other disruptions. Challenges in implementing new systems can affect our ability to comply with laws and regulations and realize projected cost savings or other benefits. Should our systems be compromised or cease to function effectively, we may face substantial costs to repair or replace them, as well as potential liability, loss of crucial data, reputational harm and interruptions to our services or operations.</w:t>
      </w:r>
    </w:p>
    <w:p>
      <w:pPr>
        <w:spacing w:after="0" w:line="8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Inability to adapt to and manage the benefits and risks of artificial intelligence could expose us to liability or put us at a disadvantage.</w:t>
      </w:r>
    </w:p>
    <w:p>
      <w:pPr>
        <w:spacing w:after="0" w:line="4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Artificial intelligence could disrupt certain aspects of our business and change use of technology in ways that are not yet known. Artificial intelligence technologies are subject to a variety of laws and compliance risk, including intellectual property, data protection and privacy, cybersecurity, consumer protection, competition, and equal opportunity laws, and are expected to be subject to increased regulation and new laws or new applications of existing laws. The use of artificial intelligence may also result in litigation, ethical concerns, and other legal and business risks. If we are not able to adapt and effectively incorporate potential advantages of artificial intelligence in our business, it may negatively impact our ability to compete. If we are not able to effectively govern the use and manage the risks of artificial intelligence, we may suffer harm to our results of operations and reputation.</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720"/>
          </w:cols>
          <w:pgMar w:left="1080" w:top="1067" w:right="1080" w:bottom="542" w:gutter="0" w:footer="0" w:header="0"/>
          <w:type w:val="continuous"/>
        </w:sectPr>
      </w:pPr>
    </w:p>
    <w:bookmarkStart w:id="118" w:name="page119"/>
    <w:bookmarkEnd w:id="118"/>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Significant cybersecurity incidents may negatively impact our business and our relationships with customers, vendors and employees and expose us to increased liability.</w:t>
      </w:r>
    </w:p>
    <w:p>
      <w:pPr>
        <w:spacing w:after="0" w:line="6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Substantially all aspects of our business operations rely on digital technology. We use computers, mobile devices, social networking and other online platforms to connect with our employees, customers, vendors, as well as other individuals and third parties. These uses give rise to cybersecurity risks, including security breach, ransomware, espionage, system disruption, theft and/or inadvertent, accidental, unlawful, unauthorized access, loss, alteration, destruction and/or disclosure 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data, and financial and strategic information about the Company and other businesses. In addition to our own safeguarding efforts, we also rely on third parties to process, collect and store sensitive data, including a Payment Card Industry compliant third-party to protect our customers’ credit card information. We are regularly the target of attempted cyber intrusions, have experienced cyber intrusions, and anticipate continuing to be subject to such attempts as cyber intrusions become increasingly sophisticated and more difficult to predict and protect against. Technological advancements, including the progression of the capabilities of artificial intelligence, also increase the risk, likelihood and precision of cyber incidents. As such, we must commit substantial resources to continuously monitor and further enhance our networks and infrastructure to prevent, detect, and address the risk of unauthorized access, misuse, computer malware and other events. These protections and other systems designed to mitigate cybersecurity risks may not fully defend against an attack or future cybersecurity incident, which can be unpredictable in nature. Data security measures that our third-party service providers have implemented may not be effective against all current or future security threats. We also cannot guarantee that the systems, networks, equipment or software used by us or our third-party service providers have not been breached or otherwise compromised.</w:t>
      </w:r>
    </w:p>
    <w:p>
      <w:pPr>
        <w:spacing w:after="0" w:line="10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Although we believe that the probability of occurrence of a significant cybersecurity incident is less than likely, if such an incident were to occur, the impact on the Company could be substantial. The magnitude of future cyber intrusions that result in a theft, destruction, loss, misappropriation, or release of sensitive and/or confidential information (belonging to us or third parties) or intellectual property, or material interference with our information technology systems or the technology systems of third parties on which we rely cannot be predicted, such incidents could result in material business disruption, direct financial loss, remediation costs, reputational harm, brand damage, alleged violation of privacy laws, loss of customers, potential regulatory investigations and enforcement or private litigation liability and competitive disadvantage. To mitigate these risks, we maintain a cybersecurity insurance policy; however, due to policy terms, limits and exclusions, such insurance may not apply in all cases, and it may not be adequate to cover all liabilities incurred. Regulatory enforcement action concerning privacy infringement and security incidents is generally increasing, including significant fines recently imposed by U.K. and European regulators. Our Healthcare Solutions operations in Western Europe may subject us to short notification deadlines in international jurisdictions in the event of a significant cybersecurity incident that impacts us globally; it may not be possible for us to comply with such notification deadlines due to the time required to conduct investigations and assess the impact of such incident. Failure to comply with applicable laws and regulatory deadlines could attract enforcement action, penalties, litigation, investigations, proceedings, reputational harm and brand damage.</w:t>
      </w:r>
    </w:p>
    <w:p>
      <w:pPr>
        <w:spacing w:after="0" w:line="11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is also expanding and improving its information technologies, resulting in a larger technological presence, utilization of cloud computing services, and corresponding exposure to cybersecurity risk. Certain new technologies, such as the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9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6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legislative and regulatory framework for security, privacy and data protection issues worldwide is rapidly evolving and is likely to remain uncertain for the foreseeable future. We collect, use, share, retain, delete and otherwise process certain personal data and other sensitive information in connection with our operations and are subject to increasingly demanding U.S. and international laws and regulations related to data protection and privacy and the protection of confidential information. These laws and regulations are inconsistent across jurisdictions and are subject to evolving interpretations. Government officials, regulators, customers, privacy advocates and class action attorneys are increasingly scrutinizing how companies collect, process, use, store, share, transmit and destroy personal data. The</w:t>
      </w:r>
    </w:p>
    <w:p>
      <w:pPr>
        <w:sectPr>
          <w:pgSz w:w="11880" w:h="15480" w:orient="portrait"/>
          <w:cols w:equalWidth="0" w:num="1">
            <w:col w:w="9720"/>
          </w:cols>
          <w:pgMar w:left="1080" w:top="1066" w:right="1080" w:bottom="542"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720"/>
          </w:cols>
          <w:pgMar w:left="1080" w:top="1066" w:right="1080" w:bottom="542" w:gutter="0" w:footer="0" w:header="0"/>
          <w:type w:val="continuous"/>
        </w:sectPr>
      </w:pPr>
    </w:p>
    <w:bookmarkStart w:id="119" w:name="page120"/>
    <w:bookmarkEnd w:id="119"/>
    <w:p>
      <w:pPr>
        <w:jc w:val="both"/>
        <w:spacing w:after="0" w:line="247" w:lineRule="auto"/>
        <w:rPr>
          <w:sz w:val="20"/>
          <w:szCs w:val="20"/>
          <w:color w:val="auto"/>
        </w:rPr>
      </w:pPr>
      <w:r>
        <w:rPr>
          <w:rFonts w:ascii="Times New Roman" w:cs="Times New Roman" w:eastAsia="Times New Roman" w:hAnsi="Times New Roman"/>
          <w:sz w:val="20"/>
          <w:szCs w:val="20"/>
          <w:color w:val="auto"/>
        </w:rPr>
        <w:t>continued emphasis on personal privacy and information security may result in customers requesting that we implement additional safeguards or controls. One recent focus area involves the use of phone, text and email information for sales, marketing and other business purposes. We must continually monitor the development and adoption of, and commit substantial time and resources to comply with, new and emerging laws and regulations and/or expanded or novel interpretations of existing laws. Additionally, customers and regulators may seek to hold us responsible for the actions of third parties we work with, such as sub-processors, vendors or developers.</w:t>
      </w:r>
    </w:p>
    <w:p>
      <w:pPr>
        <w:spacing w:after="0" w:line="101"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77"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Any inability, or perceived inability, to adequately address privacy and data protection concerns, even if unfounded, or to comply with laws, regulations, policies, industry standards, contractual obligations, or other legal obligations, including through acquired companies or third parties, could subject us to regulatory enforcement, private litigation, public criticism, business disruption, loss of customers, additional costs and legal liability, reputational damage and other harm.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Legal, Regulatory and Compliance Risks</w:t>
      </w:r>
    </w:p>
    <w:p>
      <w:pPr>
        <w:spacing w:after="0" w:line="14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environmental, health and safety laws and regulations, as well as contractual obligations that may result in significant liabilities.</w:t>
      </w:r>
    </w:p>
    <w:p>
      <w:pPr>
        <w:spacing w:after="0" w:line="6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There is risk of incurring significant environmental liabilities in the use, treatment, storage, transfer, processing and disposal or destruction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0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violation of statutes, failure to meet contractual remediation conditions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0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federal and state renewable fuel policies could affect the financial performance of our Renewable Energy segment.</w:t>
      </w:r>
    </w:p>
    <w:p>
      <w:pPr>
        <w:spacing w:after="0" w:line="6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 xml:space="preserve">The primary drivers of value for renewable fuel produced at our landfills are tax policies, such as the federal tax credits for investments in RNG production under the IRA and OBBBA, and federal and state incentive programs, such as the federal RFS program, the California Low Carbon Fuel Standard and similar state programs that promote the production and use of renewable transportation fuels, which are all subject to change. At the federal level, oil refiners and importers are required through the RFS program to blend specified volumes of renewable transportation fuels with gasoline or buy RINs from renewable fuel producers. The Company has made significant investments in facilities that capture and process landfill gas into RNG so that we can participate in the RFS program. RINs prices generally respond to regulations enacted by the EPA, as well as fluctuations in supply and demand. The value of the RINs is set through a market established by the RFS program, which market has historically been volatile. While the previous rules under the RFS program reflected the outsized role of biogas under the program and delivered reforms benefiting the solid waste sector, the current administration has retroactively lowered 2024 blending volumes, proposed reductions for 2025, set low targets for 2026– 2027 and begun to grant small refinery exemptions from RFS program requirements. See Item 1. </w:t>
      </w:r>
      <w:r>
        <w:rPr>
          <w:rFonts w:ascii="Times New Roman" w:cs="Times New Roman" w:eastAsia="Times New Roman" w:hAnsi="Times New Roman"/>
          <w:sz w:val="19"/>
          <w:szCs w:val="19"/>
          <w:i w:val="1"/>
          <w:iCs w:val="1"/>
          <w:color w:val="auto"/>
        </w:rPr>
        <w:t>Business – Regulation –</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720"/>
          </w:cols>
          <w:pgMar w:left="1080" w:top="1066" w:right="1080" w:bottom="542" w:gutter="0" w:footer="0" w:header="0"/>
          <w:type w:val="continuous"/>
        </w:sectPr>
      </w:pPr>
    </w:p>
    <w:bookmarkStart w:id="120" w:name="page121"/>
    <w:bookmarkEnd w:id="120"/>
    <w:p>
      <w:pPr>
        <w:jc w:val="both"/>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Recent Developments and Focus Areas in Policy and Regulation – Renewable Energy </w:t>
      </w:r>
      <w:r>
        <w:rPr>
          <w:rFonts w:ascii="Times New Roman" w:cs="Times New Roman" w:eastAsia="Times New Roman" w:hAnsi="Times New Roman"/>
          <w:sz w:val="20"/>
          <w:szCs w:val="20"/>
          <w:color w:val="auto"/>
        </w:rPr>
        <w:t>for additional information. Changes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volatility in the RINs market, or changes in the structure of the RFS program or other clean fuel standard programs, can and has impacted the financial performance of our facilities. Further changes could impact future growth investments in our Renewable Energy segment.</w:t>
      </w:r>
    </w:p>
    <w:p>
      <w:pPr>
        <w:spacing w:after="0" w:line="71"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impact of climate change, and the adoption of climate change legislation or regulations restricting emissions of GHGs, could increase our costs to operate.</w:t>
      </w:r>
    </w:p>
    <w:p>
      <w:pPr>
        <w:spacing w:after="0" w:line="4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and extreme rain events and flooding in low-lying areas enhanced by sea level rise can result in greater maintenance expenses at our facilities, service disruption, erosion of the protective vegetative caps on our landfills and increased volumes of leachate to manage. We have incurred and will incur costs to develop and implement protocols to address these conditions, but these protocols may not be effective in offsetting these risks. Additionally, the actions of others in response to climate change effects, such as rolling power blackouts, can result in service disruptions and increase our costs to operate.</w:t>
      </w:r>
    </w:p>
    <w:p>
      <w:pPr>
        <w:spacing w:after="0" w:line="8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Landfill operations emit methane, identified as a GHG. Existing technology presents challenges to quantify landfill emissions precisely. Ongoing review by government agencies of emerging methane measurement technologies and related regulatory developments could result in changes to how we have historically reported GHG emissions and may result in increases in such emissions reported for our operations. Such regulatory developments could also result in increased compliance costs and adversely affect our operations. See Item 1. </w:t>
      </w:r>
      <w:r>
        <w:rPr>
          <w:rFonts w:ascii="Times New Roman" w:cs="Times New Roman" w:eastAsia="Times New Roman" w:hAnsi="Times New Roman"/>
          <w:sz w:val="20"/>
          <w:szCs w:val="20"/>
          <w:i w:val="1"/>
          <w:iCs w:val="1"/>
          <w:color w:val="auto"/>
        </w:rPr>
        <w:t>Business – Regulation – Recent Developments and Focus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Areas in Policy and Regulation – Climate and Sustainability </w:t>
      </w:r>
      <w:r>
        <w:rPr>
          <w:rFonts w:ascii="Times New Roman" w:cs="Times New Roman" w:eastAsia="Times New Roman" w:hAnsi="Times New Roman"/>
          <w:sz w:val="20"/>
          <w:szCs w:val="20"/>
          <w:color w:val="auto"/>
        </w:rPr>
        <w:t>for additional information.</w:t>
      </w:r>
    </w:p>
    <w:p>
      <w:pPr>
        <w:spacing w:after="0" w:line="8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Meanwhile, a number of legislative and regulatory efforts at the state, provincial, regional and federal levels and internationally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Should comprehensive federal climate change legislation be enacted, we expect it could impose operational and compliance costs that might not be offset by the revenue increases associated with our lower-carbon service options. Climate change laws and regulations could also result in increased operational costs or disruption to the business of our customers, potentially impacting our operations and financial condition. We could experience damage to our reputation and brand, including as a result of a failure or perceived failure to respond responsibly and effectively to changes in legal and regulatory measures adopted to address climate change.</w:t>
      </w:r>
    </w:p>
    <w:p>
      <w:pPr>
        <w:spacing w:after="0" w:line="192"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6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It is critical that we maintain an effective system of internal control over financial reporting. Establishing, testing and maintaining an effective system of internal control over financial reporting requires significant resources and time commitments on the part of our management and our finance staff, and the time and expenditures needed may exceed our expectations. If we encounter issues with technology systems, including issues related to Stericycle’s ERP system or difficulties integrating Stericycle’s operations and systems into our system of internal control over financial reporting, and if we are unable to correct any issues encountered in a timely manner, our ability to record, process, summarize, and report financial data may be adversely affected, which may impact the accuracy, quality and completeness of our financial statements. Such failure could materially and adversely impact our business and subject us to potential investigations, liability, and penalties. Additionally, if we are unable to conclude that our internal control over financial reporting is effective in any future period (or if our auditors are unable to express an opinion on the effectiveness of our internal controls or conclude that our internal controls are ineffective), we could lose investor confidence and suffer an adverse effect on our stock price.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720"/>
          </w:cols>
          <w:pgMar w:left="1080" w:top="1066" w:right="1080" w:bottom="542" w:gutter="0" w:footer="0" w:header="0"/>
          <w:type w:val="continuous"/>
        </w:sectPr>
      </w:pPr>
    </w:p>
    <w:bookmarkStart w:id="121" w:name="page122"/>
    <w:bookmarkEnd w:id="121"/>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Currently pending or future litigation or governmental proceedings could result in material adverse consequences, including judgments or settlements.</w:t>
      </w:r>
    </w:p>
    <w:p>
      <w:pPr>
        <w:spacing w:after="0" w:line="4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a large company with extensive operations,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89" w:lineRule="exact"/>
        <w:rPr>
          <w:sz w:val="20"/>
          <w:szCs w:val="20"/>
          <w:color w:val="auto"/>
        </w:rPr>
      </w:pPr>
    </w:p>
    <w:p>
      <w:pPr>
        <w:ind w:left="720" w:hanging="353"/>
        <w:spacing w:after="0"/>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alleged environmental contamination, including releases of hazardous materials and odors;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sales and marketing practices, customer service agreements, prices and fees; and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wage and hour and other laws.</w:t>
      </w:r>
    </w:p>
    <w:p>
      <w:pPr>
        <w:spacing w:after="0" w:line="11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At the time of our acquisition of Stericycle, it was, and had been, involved in certain government investigations, enforcement proceedings, lawsuits and other disputes alleging noncompliance with applicable regulations, including alleged noncompliance with the Controlled Substances Act and other statutes involving its now-divested Domestic Environmental Solutions business, which collected, transported and destroyed controlled substances from retail customers. Resolution of these matters may result in adverse consequences, including permit revocations or denials and civil, criminal and administrative penalties.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Risks</w:t>
      </w:r>
    </w:p>
    <w:p>
      <w:pPr>
        <w:spacing w:after="0" w:line="12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4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manage interest rate exposure and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An important factor in our credit ratings is our leverage. If we do not achieve our projected reduction in leverage following our acquisition of Stericycle, it could negatively impact our credit ratings. If we were unable to maintain our investment grade credit ratings in the future, our interest expense would increase and our ability to obtain financing on favorable terms could be adversely affected. We have $2.9 billion of debt as of December 31, 2025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9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may use our $3.5 billion long-term U.S. and Canadian revolving credit facility (“$3.5 billion revolving credit facility”) to meet our cash needs, to the extent available, until maturity in May 2029. As of December 31, 2025, we had no outstanding borrowings under this facility. We had $1.1 billion of outstanding borrowings (net of related discount on issuance) under our commercial paper program and $227 million of letters of credit issued, both supported by this facility, leaving unused and available credit capacity of $2.2 billion as of December 31, 2025.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8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the costs of obtaining adequate financial assurance, or the inadequacy of our insurance coverages, could negatively impact our liquidity and increase our liabilities.</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amount of insurance we are required to maintain for environmental liability is governed by statutory requirements.</w:t>
      </w:r>
    </w:p>
    <w:p>
      <w:pPr>
        <w:sectPr>
          <w:pgSz w:w="11880" w:h="15480" w:orient="portrait"/>
          <w:cols w:equalWidth="0" w:num="1">
            <w:col w:w="9720"/>
          </w:cols>
          <w:pgMar w:left="1080" w:top="1066" w:right="1080" w:bottom="542"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720"/>
          </w:cols>
          <w:pgMar w:left="1080" w:top="1066" w:right="1080" w:bottom="542" w:gutter="0" w:footer="0" w:header="0"/>
          <w:type w:val="continuous"/>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20"/>
          <w:szCs w:val="20"/>
          <w:color w:val="auto"/>
        </w:rPr>
        <w:t>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7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We may record material charges against our earnings due to impairments to our assets.</w:t>
      </w:r>
    </w:p>
    <w:p>
      <w:pPr>
        <w:spacing w:after="0" w:line="12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Events that have in the past and may in the future lead to an impairment include, but are not limited to, shutting down or divesting an underperforming or non-strategic asset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720"/>
          </w:cols>
          <w:pgMar w:left="1080" w:top="1066" w:right="1080" w:bottom="542"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Strategy, Governance and Risk Management</w:t>
      </w:r>
    </w:p>
    <w:p>
      <w:pPr>
        <w:spacing w:after="0" w:line="24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and our policies and procedures related to our development, deployment and monitoring of artificial intelligence.</w:t>
      </w:r>
    </w:p>
    <w:p>
      <w:pPr>
        <w:spacing w:after="0" w:line="202"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 We have a Data Protection Office that works closely with, and assists, our enterprise Privacy Program, overseen by the Chief Privacy Officer, along with advisory support from appointed Data Protection Officers in Europe and Quebec.</w:t>
      </w:r>
    </w:p>
    <w:p>
      <w:pPr>
        <w:spacing w:after="0" w:line="20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While we have experienced cybersecurity threats and breaches targeting our information and operations technology systems and networks and those of our third-party providers, including within the last three years, these incidents have not had a material impact on our Company, including our business strategy, results of operations or financial condition. Risks from cybersecurity threats, including previous cybersecurity incidents encountered by the Company and known incidents encountered by third parties with a connection to the Company, are also not currently viewed as reasonably likely to materially impact our Company, including our business strategy, results of operations or financial condition. We are 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including the progression of the capabilities of artificial intelligence, also increase the risk, likelihood and precision of cyber incidents.</w:t>
      </w:r>
    </w:p>
    <w:p>
      <w:pPr>
        <w:spacing w:after="0" w:line="20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As such, we must commit substantial resources to continuously monitor and further develop our networks and infrastructure to prevent, detect, and address the risk of unauthorized access, misuse, computer malware and other events. Although we have implemented and maintain commercially reasonable security measures, safeguards, policies and procedures, including to protect against and identify potential threats, these protections and other systems designed to mitigate cybersecurity risks may not fully defend against an attack or future cybersecurity incident, which can be unpredictable in nature. Although we believe that the probability of occurrence of a significant cybersecurity incident is less than likely, if such an incident were to occur, the impact on the Company could be substantial. See Item 1A.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Factors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Significant cybersecurity incidents may negatively impact our business and our relationships with customers, vendors and employees and expose us to increased liability </w:t>
      </w:r>
      <w:r>
        <w:rPr>
          <w:rFonts w:ascii="Times New Roman" w:cs="Times New Roman" w:eastAsia="Times New Roman" w:hAnsi="Times New Roman"/>
          <w:sz w:val="20"/>
          <w:szCs w:val="20"/>
          <w:color w:val="auto"/>
        </w:rPr>
        <w:t>for additional discussion.</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720"/>
          </w:cols>
          <w:pgMar w:left="1080" w:top="1063" w:right="1080" w:bottom="542" w:gutter="0" w:footer="0" w:header="0"/>
          <w:type w:val="continuous"/>
        </w:sectPr>
      </w:pPr>
    </w:p>
    <w:bookmarkStart w:id="124" w:name="page125"/>
    <w:bookmarkEnd w:id="124"/>
    <w:p>
      <w:pPr>
        <w:ind w:left="160"/>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16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 our Chief Information Officer and CISO, and the Company’s executive officers, at least twice a year. Topics historically covered in such reports, and for which our Board exercises oversight, include third-party evaluation of our technology infrastructure and information security against the NIST cybersecurity framework; management of emerging cyber threats such as merger and acquisition activity; use and governance of artificial intelligence, including oversight of our artificial intelligence policies and procedures;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24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principal executive offices are in Houston, Texas where we lease approximately 285,000 square feet under a lease expiring in 2035. We also have administrative offices in Arizona, Connecticut, Illinois, India and parts of Western Europe. We own or lease real property in most locations where we have operations or administrative functions. We have operations (i) in all 50 states; (ii) in the District of Columbia; (iii) parts of Canada and (iv) parts of Western Europe.</w:t>
      </w:r>
    </w:p>
    <w:p>
      <w:pPr>
        <w:spacing w:after="0" w:line="191" w:lineRule="exact"/>
        <w:rPr>
          <w:sz w:val="20"/>
          <w:szCs w:val="20"/>
          <w:color w:val="auto"/>
        </w:rPr>
      </w:pPr>
    </w:p>
    <w:p>
      <w:pPr>
        <w:jc w:val="both"/>
        <w:ind w:firstLine="410"/>
        <w:spacing w:after="0" w:line="245" w:lineRule="auto"/>
        <w:rPr>
          <w:sz w:val="20"/>
          <w:szCs w:val="20"/>
          <w:color w:val="auto"/>
        </w:rPr>
      </w:pPr>
      <w:r>
        <w:rPr>
          <w:rFonts w:ascii="Times New Roman" w:cs="Times New Roman" w:eastAsia="Times New Roman" w:hAnsi="Times New Roman"/>
          <w:sz w:val="20"/>
          <w:szCs w:val="20"/>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investments to expand our Recycling Processing and Sales and Renewable Energy segments. For more information, see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included within this report.</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our various operations as of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2"/>
            <w:vMerge w:val="restart"/>
          </w:tcPr>
          <w:p>
            <w:pPr>
              <w:jc w:val="right"/>
              <w:ind w:right="5120"/>
              <w:spacing w:after="0"/>
              <w:rPr>
                <w:sz w:val="20"/>
                <w:szCs w:val="20"/>
                <w:color w:val="auto"/>
              </w:rPr>
            </w:pPr>
            <w:r>
              <w:rPr>
                <w:rFonts w:ascii="Times New Roman" w:cs="Times New Roman" w:eastAsia="Times New Roman" w:hAnsi="Times New Roman"/>
                <w:sz w:val="20"/>
                <w:szCs w:val="20"/>
                <w:color w:val="auto"/>
                <w:w w:val="99"/>
              </w:rPr>
              <w:t>Landfills owned or operated (a)</w:t>
            </w: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2024(c)</w:t>
            </w:r>
          </w:p>
        </w:tc>
        <w:tc>
          <w:tcPr>
            <w:tcW w:w="0" w:type="dxa"/>
            <w:vAlign w:val="bottom"/>
          </w:tcPr>
          <w:p>
            <w:pPr>
              <w:spacing w:after="0"/>
              <w:rPr>
                <w:sz w:val="1"/>
                <w:szCs w:val="1"/>
                <w:color w:val="auto"/>
              </w:rPr>
            </w:pPr>
          </w:p>
        </w:tc>
      </w:tr>
      <w:tr>
        <w:trPr>
          <w:trHeight w:val="201"/>
        </w:trPr>
        <w:tc>
          <w:tcPr>
            <w:tcW w:w="766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257</w:t>
            </w:r>
          </w:p>
        </w:tc>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r>
        <w:trPr>
          <w:trHeight w:val="230"/>
        </w:trPr>
        <w:tc>
          <w:tcPr>
            <w:tcW w:w="7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Transfer stations (b) . . . . . . . . . .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29"/>
        </w:trPr>
        <w:tc>
          <w:tcPr>
            <w:tcW w:w="7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Recycling and organics facilities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30"/>
        </w:trPr>
        <w:tc>
          <w:tcPr>
            <w:tcW w:w="7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Autoclave or alternative medical waste treatment facilities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30"/>
        </w:trPr>
        <w:tc>
          <w:tcPr>
            <w:tcW w:w="7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Medical waste incinerator facilities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7"/>
        </w:trPr>
        <w:tc>
          <w:tcPr>
            <w:tcW w:w="7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Secure information destruction processing facilities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141"/>
        </w:trPr>
        <w:tc>
          <w:tcPr>
            <w:tcW w:w="2440" w:type="dxa"/>
            <w:vAlign w:val="bottom"/>
            <w:tcBorders>
              <w:bottom w:val="single" w:sz="8" w:color="auto"/>
            </w:tcBorders>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720"/>
          </w:cols>
          <w:pgMar w:left="1080" w:top="1063" w:right="1080" w:bottom="542" w:gutter="0" w:footer="0" w:header="0"/>
          <w:type w:val="continuous"/>
        </w:sectPr>
      </w:pPr>
    </w:p>
    <w:bookmarkStart w:id="125" w:name="page126"/>
    <w:bookmarkEnd w:id="125"/>
    <w:p>
      <w:pPr>
        <w:ind w:left="720" w:hanging="353"/>
        <w:spacing w:after="0" w:line="278"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103 landfill gas beneficial use projects producing commercial quantities of methane gas in 2025 and 2024.</w:t>
      </w:r>
    </w:p>
    <w:p>
      <w:pPr>
        <w:spacing w:after="0" w:line="168" w:lineRule="exact"/>
        <w:rPr>
          <w:rFonts w:ascii="Times New Roman" w:cs="Times New Roman" w:eastAsia="Times New Roman" w:hAnsi="Times New Roman"/>
          <w:sz w:val="20"/>
          <w:szCs w:val="20"/>
          <w:color w:val="auto"/>
        </w:rPr>
      </w:pPr>
    </w:p>
    <w:p>
      <w:pPr>
        <w:ind w:left="720" w:hanging="353"/>
        <w:spacing w:after="0" w:line="278"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140 and 167 transfer stations in 2025 and 2024, respectively, that are related to our Healthcare Solutions segment.</w:t>
      </w:r>
    </w:p>
    <w:p>
      <w:pPr>
        <w:spacing w:after="0" w:line="166" w:lineRule="exact"/>
        <w:rPr>
          <w:rFonts w:ascii="Times New Roman" w:cs="Times New Roman" w:eastAsia="Times New Roman" w:hAnsi="Times New Roman"/>
          <w:sz w:val="20"/>
          <w:szCs w:val="20"/>
          <w:color w:val="auto"/>
        </w:rPr>
      </w:pPr>
    </w:p>
    <w:p>
      <w:pPr>
        <w:jc w:val="both"/>
        <w:ind w:left="720" w:hanging="353"/>
        <w:spacing w:after="0" w:line="259"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35 Spain and Portugal locations consisting of 19 transfer stations, 12 autoclave or alternative medical waste treatment facilities, one medical waste incinerator facility and three secure information destruction processing facilities which were sold on January 2,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44"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 xml:space="preserve">Information regarding our legal proceedings can be found under the </w:t>
      </w:r>
      <w:r>
        <w:rPr>
          <w:rFonts w:ascii="Times New Roman" w:cs="Times New Roman" w:eastAsia="Times New Roman" w:hAnsi="Times New Roman"/>
          <w:sz w:val="20"/>
          <w:szCs w:val="20"/>
          <w:i w:val="1"/>
          <w:iCs w:val="1"/>
          <w:color w:val="auto"/>
        </w:rPr>
        <w:t>Environmental Matters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sections of Note 10 to the Consolidated Financial Statements included within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244"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Information concerning mine safety and other regulatory matters required by Section 1503(a) of the Dodd-Frank Wall Street Reform and Consumer Protection Act and Item 104 of Regulation S-K is included in Exhibit 95 to this annual report.</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720"/>
          </w:cols>
          <w:pgMar w:left="1080" w:top="1066" w:right="1080" w:bottom="542"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Securities.</w:t>
      </w:r>
    </w:p>
    <w:p>
      <w:pPr>
        <w:spacing w:after="0" w:line="16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Our common stock is traded on the New York Stock Exchange (“NYSE”) under the symbol “WM.” The number of holders of record of our common stock on February 5, 2026 was 6,682.</w:t>
      </w:r>
    </w:p>
    <w:p>
      <w:pPr>
        <w:spacing w:after="0" w:line="16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-22860</wp:posOffset>
            </wp:positionV>
            <wp:extent cx="4474210" cy="255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91">
                      <a:extLst>
                        <a:ext uri="{28A0092B-C50C-407E-A947-70E740481C1C}"/>
                      </a:extLst>
                    </a:blip>
                    <a:srcRect/>
                    <a:stretch>
                      <a:fillRect/>
                    </a:stretch>
                  </pic:blipFill>
                  <pic:spPr bwMode="auto">
                    <a:xfrm>
                      <a:off x="0" y="0"/>
                      <a:ext cx="447421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vMerge w:val="restart"/>
          </w:tcPr>
          <w:p>
            <w:pPr>
              <w:jc w:val="right"/>
              <w:ind w:right="2060"/>
              <w:spacing w:after="0"/>
              <w:rPr>
                <w:sz w:val="20"/>
                <w:szCs w:val="20"/>
                <w:color w:val="auto"/>
              </w:rPr>
            </w:pPr>
            <w:r>
              <w:rPr>
                <w:rFonts w:ascii="Times New Roman" w:cs="Times New Roman" w:eastAsia="Times New Roman" w:hAnsi="Times New Roman"/>
                <w:sz w:val="20"/>
                <w:szCs w:val="20"/>
                <w:color w:val="auto"/>
                <w:w w:val="99"/>
              </w:rPr>
              <w:t>Waste Management, Inc</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12/31/23</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12/31/25</w:t>
            </w:r>
          </w:p>
        </w:tc>
        <w:tc>
          <w:tcPr>
            <w:tcW w:w="0" w:type="dxa"/>
            <w:vAlign w:val="bottom"/>
          </w:tcPr>
          <w:p>
            <w:pPr>
              <w:spacing w:after="0"/>
              <w:rPr>
                <w:sz w:val="1"/>
                <w:szCs w:val="1"/>
                <w:color w:val="auto"/>
              </w:rPr>
            </w:pPr>
          </w:p>
        </w:tc>
      </w:tr>
      <w:tr>
        <w:trPr>
          <w:trHeight w:val="201"/>
        </w:trPr>
        <w:tc>
          <w:tcPr>
            <w:tcW w:w="4120" w:type="dxa"/>
            <w:vAlign w:val="bottom"/>
            <w:vMerge w:val="continue"/>
          </w:tcPr>
          <w:p>
            <w:pPr>
              <w:jc w:val="right"/>
              <w:ind w:right="40"/>
              <w:spacing w:after="0" w:line="177" w:lineRule="exact"/>
              <w:rPr>
                <w:sz w:val="20"/>
                <w:szCs w:val="20"/>
                <w:color w:val="auto"/>
              </w:rPr>
            </w:pPr>
            <w:r>
              <w:rPr>
                <w:rFonts w:ascii="Times New Roman" w:cs="Times New Roman" w:eastAsia="Times New Roman" w:hAnsi="Times New Roman"/>
                <w:sz w:val="20"/>
                <w:szCs w:val="20"/>
                <w:color w:val="auto"/>
              </w:rPr>
              <w:t>. . . . . . . . . . . . . . . . . . . . .</w:t>
            </w:r>
          </w:p>
        </w:tc>
        <w:tc>
          <w:tcPr>
            <w:tcW w:w="12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144</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137</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160</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182</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29"/>
        </w:trPr>
        <w:tc>
          <w:tcPr>
            <w:tcW w:w="41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S&amp;P 500 Index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67"/>
        </w:trPr>
        <w:tc>
          <w:tcPr>
            <w:tcW w:w="41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Dow Jones Waste &amp; Disposal Services Index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There were no common stock repurchases during 2025. We announced in December 2025 that our Board of Directors has authorized up to $ 3.0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20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Additionally, in December 2025, we announced that our Board of Directors expects to increase the quarterly dividend from $0.825 to $0.945 per share for dividends declared in 2026. However, all future dividend declarations are at the discretion of the Board of Directors and depend on various factors, including our leverage level, net earnings, financial condition, cash required for future business plans, growth and acquisitions and other factors the Board of Directors may deem relevant.</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720"/>
          </w:cols>
          <w:pgMar w:left="1080" w:top="1063" w:right="1080" w:bottom="542"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[Reserved]</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4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This section includes a discussion of our results of operations for the year ended December 31, 2025.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Factors </w:t>
      </w:r>
      <w:r>
        <w:rPr>
          <w:rFonts w:ascii="Times New Roman" w:cs="Times New Roman" w:eastAsia="Times New Roman" w:hAnsi="Times New Roman"/>
          <w:sz w:val="20"/>
          <w:szCs w:val="20"/>
          <w:color w:val="auto"/>
        </w:rPr>
        <w:t>and elsewhere in this report and may also be described from time to time in our future reports filed with the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and Exchange Commission (“SEC”). The following discussion should be read considering those disclosures and together with the Consolidated Financial Statements and the notes thereto.</w:t>
      </w:r>
    </w:p>
    <w:p>
      <w:pPr>
        <w:spacing w:after="0" w:line="20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For further discussion regarding our results of operations for the year ended December 31, 2024 as compared to the year ended December 31, 2023, refer to Part II, Item 7. </w:t>
      </w:r>
      <w:r>
        <w:rPr>
          <w:rFonts w:ascii="Times New Roman" w:cs="Times New Roman" w:eastAsia="Times New Roman" w:hAnsi="Times New Roman"/>
          <w:sz w:val="20"/>
          <w:szCs w:val="20"/>
          <w:i w:val="1"/>
          <w:iCs w:val="1"/>
          <w:color w:val="auto"/>
        </w:rPr>
        <w:t>Management’s Discussion and Analysis of Financial Condition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Results of Operations </w:t>
      </w:r>
      <w:r>
        <w:rPr>
          <w:rFonts w:ascii="Times New Roman" w:cs="Times New Roman" w:eastAsia="Times New Roman" w:hAnsi="Times New Roman"/>
          <w:sz w:val="20"/>
          <w:szCs w:val="20"/>
          <w:color w:val="auto"/>
        </w:rPr>
        <w:t>in our Annual Report on Form 10-K for the fiscal year ended December 31, 2024.</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9"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are North America’s leading provider of comprehensive environmental solutions, primarily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212"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Stericycle Acquisition</w:t>
      </w:r>
    </w:p>
    <w:p>
      <w:pPr>
        <w:spacing w:after="0" w:line="24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November 4, 2024, we completed our acquisition of all outstanding shares of Stericycle for $62.00 per share in cash, pursuant to an Agreement and Plan of Merger dated June 3, 2024. Total enterprise value of the acquisition was $7.2 billion (net of cash acquired) when including the assumption of $0.5 billion of debt and the repayment of approximately $0.8 billion of net debt. The acquisition expanded our offerings in the U.S., Canada and parts of Western Europe. The post-closing operating results of Stericycle have been included in our Consolidated Financial Statements within our Healthcare Solutions segment.</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720"/>
          </w:cols>
          <w:pgMar w:left="1080" w:top="1063" w:right="1080" w:bottom="542" w:gutter="0" w:footer="0" w:header="0"/>
          <w:type w:val="continuous"/>
        </w:sectPr>
      </w:pPr>
    </w:p>
    <w:bookmarkStart w:id="128" w:name="page129"/>
    <w:bookmarkEnd w:id="128"/>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we incurred acquisition and integration related costs of $ 120 million, comprised of $89 million of selling, general and administrative costs and $ 31 million of restructuring costs. For the year ended December 31, 2024, we incurred acquisition and integration related costs of $160 million, which were primarily classified as selling, general and administrative expenses.Refer to Note 19 for more information on the performance of our Healthcare Solutions segment.</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Collection and Disposal businesses provide integrated environmental services, including collection, transfer and disposal.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21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Collection and Disposal businesses’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deposited, considering our cost of loading, transporting and disposing of the solid waste at a disposal site.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for direct and indirect costs incurred.</w:t>
      </w:r>
    </w:p>
    <w:p>
      <w:pPr>
        <w:spacing w:after="0" w:line="20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renewable identification numbers (“RINs”), electricity and capacity, Renewable Energy Credits (“RECs”) and related environmental attributes from the 86 landfill beneficial use renewable energy projects owned by Renewable Energy on our active landfills, which is eliminated in consolidation.</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pacing w:after="0" w:line="19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Recycling Processing and Sales revenues generally consist of tipping fees and the sale of recycling commodities to and/or on behalf of third parties. Our Recycling Processing and Sales segment excludes the collection of recycled materials from our residential, commercial, and industrial customers which is included within our Collection and Disposal businesses.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720"/>
          </w:cols>
          <w:pgMar w:left="1080" w:top="1066" w:right="1080" w:bottom="542" w:gutter="0" w:footer="0" w:header="0"/>
          <w:type w:val="continuous"/>
        </w:sectPr>
      </w:pPr>
    </w:p>
    <w:bookmarkStart w:id="129" w:name="page130"/>
    <w:bookmarkEnd w:id="129"/>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Renewable Energy</w:t>
      </w:r>
    </w:p>
    <w:p>
      <w:pPr>
        <w:spacing w:after="0" w:line="2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Our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Renewable Energy converts landfill gas into several sources of renewable energy which include RNG, electricity and capacity, heat and/or steam. Renewable Energy also generates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19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projects are on third-party landfills. The revenues from these facilities are primarily generated through</w:t>
      </w:r>
    </w:p>
    <w:p>
      <w:pPr>
        <w:spacing w:after="0" w:line="5" w:lineRule="exact"/>
        <w:rPr>
          <w:sz w:val="20"/>
          <w:szCs w:val="20"/>
          <w:color w:val="auto"/>
        </w:rPr>
      </w:pPr>
    </w:p>
    <w:p>
      <w:pPr>
        <w:jc w:val="both"/>
        <w:ind w:firstLine="7"/>
        <w:spacing w:after="0" w:line="241" w:lineRule="auto"/>
        <w:tabs>
          <w:tab w:leader="none" w:pos="23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captured and converted landfill methane gas; (ii) the sale of RINs under the RFS program implemented by the EPA; (iii) sale of Low Carbon Fuel credits designed to stimulate the use of low-carbon fuels and (iv) the sale of energy (electricity and capacity) and associated RECs.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Healthcare Solutions</w:t>
      </w:r>
    </w:p>
    <w:p>
      <w:pPr>
        <w:spacing w:after="0" w:line="23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Healthcare Solutions segment includes (i) RWCS which provide compliance programs and collection, processing, and disposal of regulated and specialized waste, including medical, pharmaceutical and hazardous waste and (ii) SID services, which provide for the collection of personal and confidential information for secure destruction and recycling of sorted office paper. While the Healthcare Solutions businesses manage large volumes of waste and other materials, the average volume per customer site is relatively small.</w:t>
      </w:r>
    </w:p>
    <w:p>
      <w:pPr>
        <w:spacing w:after="0" w:line="19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customers typically enter into a contract for the provision of services on a scheduled basis, including weekly, monthly or on an as-needed basis over the contract term. Under the contract terms, the Healthcare Solutions businesses receive fees based on a monthly, quarterly or annual rate and/or fees based on contractual rates depending upon measures including the type and volume or weight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December 31, 2025, our Healthcare Solutions segment operates out of approximately 307 leased and owned facilities worldwide with 51 autoclaves or other alternative medical waste treatment facilities, 17 medical waste incinerator facilities, 99 SID processing facilities and 140 transfer stations.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3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We also provide additional services that are not managed through our operating segments, which are presented in this report as Corporate and Other.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five third-party power</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720"/>
          </w:cols>
          <w:pgMar w:left="1080" w:top="1067" w:right="1080" w:bottom="542" w:gutter="0" w:footer="0" w:header="0"/>
          <w:type w:val="continuous"/>
        </w:sectPr>
      </w:pPr>
    </w:p>
    <w:bookmarkStart w:id="130" w:name="page131"/>
    <w:bookmarkEnd w:id="130"/>
    <w:p>
      <w:pPr>
        <w:jc w:val="both"/>
        <w:spacing w:after="0" w:line="246" w:lineRule="auto"/>
        <w:rPr>
          <w:sz w:val="20"/>
          <w:szCs w:val="20"/>
          <w:color w:val="auto"/>
        </w:rPr>
      </w:pPr>
      <w:r>
        <w:rPr>
          <w:rFonts w:ascii="Times New Roman" w:cs="Times New Roman" w:eastAsia="Times New Roman" w:hAnsi="Times New Roman"/>
          <w:sz w:val="20"/>
          <w:szCs w:val="20"/>
          <w:color w:val="auto"/>
        </w:rPr>
        <w:t>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Business Environment</w:t>
      </w:r>
    </w:p>
    <w:p>
      <w:pPr>
        <w:spacing w:after="0" w:line="24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2025 Sustainability Report, providing details on our sustainability-related performance and outlining progress towards our 2030 sustainability goals. The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Annual Report on Form 10-K. For further discussion see Item 1. </w:t>
      </w:r>
      <w:r>
        <w:rPr>
          <w:rFonts w:ascii="Times New Roman" w:cs="Times New Roman" w:eastAsia="Times New Roman" w:hAnsi="Times New Roman"/>
          <w:sz w:val="20"/>
          <w:szCs w:val="20"/>
          <w:i w:val="1"/>
          <w:iCs w:val="1"/>
          <w:color w:val="auto"/>
        </w:rPr>
        <w:t>Business – Regulation – Recent Developments and Focus Areas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 Policy and Regulation</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sometimes experience margin pressures and variability in earnings and margins from our commodity-driven businesses, specifically within our Recycling Processing and Sales and Renewable Energy segments. During 2025, we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720"/>
          </w:cols>
          <w:pgMar w:left="1080" w:top="1066" w:right="1080" w:bottom="542" w:gutter="0" w:footer="0" w:header="0"/>
          <w:type w:val="continuous"/>
        </w:sectPr>
      </w:pPr>
    </w:p>
    <w:bookmarkStart w:id="131" w:name="page132"/>
    <w:bookmarkEnd w:id="131"/>
    <w:p>
      <w:pPr>
        <w:jc w:val="both"/>
        <w:spacing w:after="0" w:line="246" w:lineRule="auto"/>
        <w:rPr>
          <w:sz w:val="20"/>
          <w:szCs w:val="20"/>
          <w:color w:val="auto"/>
        </w:rPr>
      </w:pPr>
      <w:r>
        <w:rPr>
          <w:rFonts w:ascii="Times New Roman" w:cs="Times New Roman" w:eastAsia="Times New Roman" w:hAnsi="Times New Roman"/>
          <w:sz w:val="20"/>
          <w:szCs w:val="20"/>
          <w:color w:val="auto"/>
        </w:rPr>
        <w:t>experienced decreases in market prices for recycled commodities when compared to prior year caused by a number of factors, including the closure of domestic paper mills, a decrease in demand for recycled content by certain consumer goods producers, focused reduction in cardboard packaging and overall market conditions. While the combined impacts of commodity price fluctuations from the prior year had a modestly favorable impact on the Renewable Energy segment, we may experience more significant impacts from fluctuations in the prices of RINs and natural gas in the future. We continue to take proactive steps to adjust our business models to protect against the down-side risk of changes in commodity prices.</w:t>
      </w:r>
    </w:p>
    <w:p>
      <w:pPr>
        <w:spacing w:after="0" w:line="20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Financial Results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During 2025, we continued to focus on our priorities to advance our strategy – enhancing employee engagement, permanently reducing our cost to serve our customers through the use of technology and automation, investing in growth through our Recycling Processing and Sales and Renewable Energy segments and integrating the Stericycle business. We continue to invest in our people through paying a competitive market wage, investing in our digital platform and providing training for our team members. We remain committed to our investment in recycling automation, which reduces costs and increases throughput, positioning us to overcome commodity price headwinds and deliver a differentiated service. As part of the ongoing integration of Stericycle, which constitutes our Healthcare Solutions segment, we achieved synergies by reducing costs of duplicative business processes, established a performance management approach aimed at accountability and continued to improve customer engagement, billing and collection processes to deliver cash flow.</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elements of our 2025 financial results include:</w:t>
      </w:r>
    </w:p>
    <w:p>
      <w:pPr>
        <w:spacing w:after="0" w:line="135" w:lineRule="exact"/>
        <w:rPr>
          <w:sz w:val="20"/>
          <w:szCs w:val="20"/>
          <w:color w:val="auto"/>
        </w:rPr>
      </w:pPr>
    </w:p>
    <w:p>
      <w:pPr>
        <w:jc w:val="both"/>
        <w:ind w:left="720" w:hanging="353"/>
        <w:spacing w:after="0" w:line="249" w:lineRule="auto"/>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Revenues of $25,204 million for 2025 compared with $22,063 million in 2024, an increase of $3,141 million, or 14.2%. The increase was primarily due to (i) our recent acquisitions, particularly Stericycle; (ii) higher yield in our Collection and Disposal businesses and (iii) higher volumes primarily in our landfill, renewable energy and recycling businesses. The increase was partially offset by lower residential collection volumes and a reduction in single-stream and brokerage recycled commodity prices;</w:t>
      </w:r>
    </w:p>
    <w:p>
      <w:pPr>
        <w:spacing w:after="0" w:line="90"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82"/>
        </w:numPr>
        <w:rPr>
          <w:rFonts w:ascii="Arial" w:cs="Arial" w:eastAsia="Arial" w:hAnsi="Arial"/>
          <w:sz w:val="19"/>
          <w:szCs w:val="19"/>
          <w:color w:val="auto"/>
        </w:rPr>
      </w:pPr>
      <w:r>
        <w:rPr>
          <w:rFonts w:ascii="Times New Roman" w:cs="Times New Roman" w:eastAsia="Times New Roman" w:hAnsi="Times New Roman"/>
          <w:sz w:val="19"/>
          <w:szCs w:val="19"/>
          <w:color w:val="auto"/>
        </w:rPr>
        <w:t>Operating expenses of $15,012 million in 2025, or 59.6% of revenues, compared with $13,383 million, or 60.7% of revenues, in 2024. The $1,629 million increase in operating expense compared to prior year related primarily to (i) our recent acquisitions, particularly Stericycle; (ii) incremental costs attributable to RNG facilities brought on line during 2025; (iii) increased landfill volumes and (iv) a decrease in the gains on sale of non-strategic assets. These increases were offset by (i) lower residential volumes; (ii) decreased costs of goods sold due to lower recycling commodity prices and (iii) continued efficiency and cost control in our Collection and Disposal business. Despite the increase in operating expenses, we significantly reduced our operating expenses as a percentage of revenue when compared to prior year through efficiency gains, improved employee turnover, momentum in truck deliveries, the benefit of customer price increases and higher margin special waste volumes;</w:t>
      </w:r>
    </w:p>
    <w:p>
      <w:pPr>
        <w:spacing w:after="0" w:line="81" w:lineRule="exact"/>
        <w:rPr>
          <w:rFonts w:ascii="Arial" w:cs="Arial" w:eastAsia="Arial" w:hAnsi="Arial"/>
          <w:sz w:val="19"/>
          <w:szCs w:val="19"/>
          <w:color w:val="auto"/>
        </w:rPr>
      </w:pPr>
    </w:p>
    <w:p>
      <w:pPr>
        <w:jc w:val="both"/>
        <w:ind w:left="720" w:hanging="353"/>
        <w:spacing w:after="0" w:line="252" w:lineRule="auto"/>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Selling, general and administrative expenses of $2,722 million in 2025, or 10.8% of revenues, compared with $2,264 million, or 10.3% of revenues, in 2024. The $458 million increase was primarily due to our recent acquisitions, particularly Stericycle, including consulting and technology costs incurred to support Stericycle’s integration;</w:t>
      </w:r>
    </w:p>
    <w:p>
      <w:pPr>
        <w:spacing w:after="0" w:line="86" w:lineRule="exact"/>
        <w:rPr>
          <w:rFonts w:ascii="Arial" w:cs="Arial" w:eastAsia="Arial" w:hAnsi="Arial"/>
          <w:sz w:val="20"/>
          <w:szCs w:val="20"/>
          <w:color w:val="auto"/>
        </w:rPr>
      </w:pPr>
    </w:p>
    <w:p>
      <w:pPr>
        <w:jc w:val="both"/>
        <w:ind w:left="720" w:hanging="353"/>
        <w:spacing w:after="0" w:line="249" w:lineRule="auto"/>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Income from operations of $4,308 million, or 17.1% of revenues, in 2025 compared with $4,063 million, or 18.4% of revenues, in 2024. The $245 million increase in the current year earnings was primarily due to (i) growth in our Collection and Disposal businesses; (ii) non-recurring transaction costs incurred in the prior year in connection with our Stericycle acquisition and (iii) higher volumes in our Renewable Energy business due to the completion of projects that increase the beneficial use of landfill gas sold to third parties. This growth was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720"/>
          </w:cols>
          <w:pgMar w:left="1080" w:top="1066" w:right="1080" w:bottom="542" w:gutter="0" w:footer="0" w:header="0"/>
          <w:type w:val="continuous"/>
        </w:sectPr>
      </w:pPr>
    </w:p>
    <w:bookmarkStart w:id="132" w:name="page133"/>
    <w:bookmarkEnd w:id="132"/>
    <w:p>
      <w:pPr>
        <w:ind w:left="360"/>
        <w:spacing w:after="0" w:line="278" w:lineRule="auto"/>
        <w:rPr>
          <w:sz w:val="20"/>
          <w:szCs w:val="20"/>
          <w:color w:val="auto"/>
        </w:rPr>
      </w:pPr>
      <w:r>
        <w:rPr>
          <w:rFonts w:ascii="Times New Roman" w:cs="Times New Roman" w:eastAsia="Times New Roman" w:hAnsi="Times New Roman"/>
          <w:sz w:val="20"/>
          <w:szCs w:val="20"/>
          <w:color w:val="auto"/>
        </w:rPr>
        <w:t>partially offset by an impairment charge in our Recycling Processing and Sales business and higher depreciation and amortization costs and integration related expenses arising from our Stericycle acquisition;</w:t>
      </w:r>
    </w:p>
    <w:p>
      <w:pPr>
        <w:spacing w:after="0" w:line="62" w:lineRule="exact"/>
        <w:rPr>
          <w:sz w:val="20"/>
          <w:szCs w:val="20"/>
          <w:color w:val="auto"/>
        </w:rPr>
      </w:pPr>
    </w:p>
    <w:p>
      <w:pPr>
        <w:jc w:val="both"/>
        <w:ind w:left="360" w:hanging="353"/>
        <w:spacing w:after="0" w:line="252" w:lineRule="auto"/>
        <w:tabs>
          <w:tab w:leader="none" w:pos="36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Net income attributable to Waste Management, Inc. was $2,708 million, or $6.70 per diluted share, compared with $2,746 million, or $6.81 per diluted share, in 2024. The $38 million decrease is primarily due to an increase in interest expense related to the additional debt incurred to finance our Stericycle acquisition. This decline was partially offset by the increase in income from operations, discussed above;</w:t>
      </w:r>
    </w:p>
    <w:p>
      <w:pPr>
        <w:spacing w:after="0" w:line="86" w:lineRule="exact"/>
        <w:rPr>
          <w:rFonts w:ascii="Arial" w:cs="Arial" w:eastAsia="Arial" w:hAnsi="Arial"/>
          <w:sz w:val="20"/>
          <w:szCs w:val="20"/>
          <w:color w:val="auto"/>
        </w:rPr>
      </w:pPr>
    </w:p>
    <w:p>
      <w:pPr>
        <w:jc w:val="both"/>
        <w:ind w:left="360" w:hanging="353"/>
        <w:spacing w:after="0" w:line="247" w:lineRule="auto"/>
        <w:tabs>
          <w:tab w:leader="none" w:pos="36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Net cash provided by operating activities was $6,043 million in 2025, compared with $5,390 million in 2024. The $653 million increase in net cash provided by operating activities was primarily due to (i) higher earnings in our Collection and Disposal businesses; (ii) contributions from our recent acquisitions and (iii) lower cash tax payments. This increase was partially offset by (i) higher cash interest payments primarily due to additional debt incurred to fund our acquisition of Stericycle; (ii) unfavorable changes in working capital, net of effects from acquisitions and divestitures and (iii) higher annual incentive compensation payments;</w:t>
      </w:r>
    </w:p>
    <w:p>
      <w:pPr>
        <w:spacing w:after="0" w:line="93" w:lineRule="exact"/>
        <w:rPr>
          <w:rFonts w:ascii="Arial" w:cs="Arial" w:eastAsia="Arial" w:hAnsi="Arial"/>
          <w:sz w:val="20"/>
          <w:szCs w:val="20"/>
          <w:color w:val="auto"/>
        </w:rPr>
      </w:pPr>
    </w:p>
    <w:p>
      <w:pPr>
        <w:jc w:val="both"/>
        <w:ind w:left="360" w:hanging="353"/>
        <w:spacing w:after="0" w:line="244" w:lineRule="auto"/>
        <w:tabs>
          <w:tab w:leader="none" w:pos="36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Free cash flow was $2,937 million in 2025, compared with $2,317 million in 2024. The $620 million increase in free cash flow was primarily due to the increases in operating cash described above and planned reductions in capital investment in our sustainability growth projects as we move from peak construction of this portfolio into a period where we will harvest strong returns on these businesses. These increases were partially offset by increased capital expenditures to support the business as well as within our Healthcare Solutions segment and lower proceeds from the sale of certain non-strategic assets.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ectPr>
          <w:pgSz w:w="11880" w:h="15480" w:orient="portrait"/>
          <w:cols w:equalWidth="0" w:num="1">
            <w:col w:w="9360"/>
          </w:cols>
          <w:pgMar w:left="144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360"/>
          </w:cols>
          <w:pgMar w:left="1440" w:top="1066" w:right="1080" w:bottom="542"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Operating Revenues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mix of operating revenues for the years ended December 31 are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Intercompany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05"/>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Revenues(a)</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0" w:type="dxa"/>
            <w:vAlign w:val="bottom"/>
          </w:tcPr>
          <w:p>
            <w:pPr>
              <w:spacing w:after="0"/>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60" w:type="dxa"/>
            <w:vAlign w:val="bottom"/>
            <w:tcBorders>
              <w:top w:val="single" w:sz="8" w:color="auto"/>
            </w:tcBorders>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2025</w:t>
            </w: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w:t>
            </w: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Industrial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3,989</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3,597</w:t>
            </w:r>
          </w:p>
        </w:tc>
        <w:tc>
          <w:tcPr>
            <w:tcW w:w="0" w:type="dxa"/>
            <w:vAlign w:val="bottom"/>
          </w:tcPr>
          <w:p>
            <w:pPr>
              <w:spacing w:after="0"/>
              <w:rPr>
                <w:sz w:val="1"/>
                <w:szCs w:val="1"/>
                <w:color w:val="auto"/>
              </w:rPr>
            </w:pPr>
          </w:p>
        </w:tc>
      </w:tr>
      <w:tr>
        <w:trPr>
          <w:trHeight w:val="251"/>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collection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3,463</w:t>
            </w:r>
          </w:p>
        </w:tc>
        <w:tc>
          <w:tcPr>
            <w:tcW w:w="0" w:type="dxa"/>
            <w:vAlign w:val="bottom"/>
          </w:tcPr>
          <w:p>
            <w:pPr>
              <w:spacing w:after="0"/>
              <w:rPr>
                <w:sz w:val="1"/>
                <w:szCs w:val="1"/>
                <w:color w:val="auto"/>
              </w:rPr>
            </w:pPr>
          </w:p>
        </w:tc>
      </w:tr>
      <w:tr>
        <w:trPr>
          <w:trHeight w:val="202"/>
        </w:trPr>
        <w:tc>
          <w:tcPr>
            <w:tcW w:w="610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.Totalcollection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15,421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17,569</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w:t>
            </w:r>
          </w:p>
        </w:tc>
        <w:tc>
          <w:tcPr>
            <w:tcW w:w="0" w:type="dxa"/>
            <w:vAlign w:val="bottom"/>
          </w:tcPr>
          <w:p>
            <w:pPr>
              <w:spacing w:after="0"/>
              <w:rPr>
                <w:sz w:val="1"/>
                <w:szCs w:val="1"/>
                <w:color w:val="auto"/>
              </w:rPr>
            </w:pPr>
          </w:p>
        </w:tc>
      </w:tr>
      <w:tr>
        <w:trPr>
          <w:trHeight w:val="251"/>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Transfer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2,629</w:t>
            </w:r>
          </w:p>
        </w:tc>
        <w:tc>
          <w:tcPr>
            <w:tcW w:w="0" w:type="dxa"/>
            <w:vAlign w:val="bottom"/>
          </w:tcPr>
          <w:p>
            <w:pPr>
              <w:spacing w:after="0"/>
              <w:rPr>
                <w:sz w:val="1"/>
                <w:szCs w:val="1"/>
                <w:color w:val="auto"/>
              </w:rPr>
            </w:pPr>
          </w:p>
        </w:tc>
      </w:tr>
      <w:tr>
        <w:trPr>
          <w:trHeight w:val="201"/>
        </w:trPr>
        <w:tc>
          <w:tcPr>
            <w:tcW w:w="610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.TotalCollectionandDisposal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20,704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4,841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25,545</w:t>
            </w: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Recycling Processing and Sales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Energy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Healthcare Solutions(b)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c>
          <w:tcPr>
            <w:tcW w:w="0" w:type="dxa"/>
            <w:vAlign w:val="bottom"/>
          </w:tcPr>
          <w:p>
            <w:pPr>
              <w:spacing w:after="0"/>
              <w:rPr>
                <w:sz w:val="1"/>
                <w:szCs w:val="1"/>
                <w:color w:val="auto"/>
              </w:rPr>
            </w:pPr>
          </w:p>
        </w:tc>
      </w:tr>
      <w:tr>
        <w:trPr>
          <w:trHeight w:val="25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and Other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30"/>
        </w:trPr>
        <w:tc>
          <w:tcPr>
            <w:tcW w:w="610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.Total</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25,204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30,895</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6,169</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Industrial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w:t>
            </w:r>
          </w:p>
        </w:tc>
        <w:tc>
          <w:tcPr>
            <w:tcW w:w="0" w:type="dxa"/>
            <w:vAlign w:val="bottom"/>
          </w:tcPr>
          <w:p>
            <w:pPr>
              <w:spacing w:after="0"/>
              <w:rPr>
                <w:sz w:val="1"/>
                <w:szCs w:val="1"/>
                <w:color w:val="auto"/>
              </w:rPr>
            </w:pPr>
          </w:p>
        </w:tc>
      </w:tr>
      <w:tr>
        <w:trPr>
          <w:trHeight w:val="25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collection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3,194</w:t>
            </w:r>
          </w:p>
        </w:tc>
        <w:tc>
          <w:tcPr>
            <w:tcW w:w="0" w:type="dxa"/>
            <w:vAlign w:val="bottom"/>
          </w:tcPr>
          <w:p>
            <w:pPr>
              <w:spacing w:after="0"/>
              <w:rPr>
                <w:sz w:val="1"/>
                <w:szCs w:val="1"/>
                <w:color w:val="auto"/>
              </w:rPr>
            </w:pPr>
          </w:p>
        </w:tc>
      </w:tr>
      <w:tr>
        <w:trPr>
          <w:trHeight w:val="202"/>
        </w:trPr>
        <w:tc>
          <w:tcPr>
            <w:tcW w:w="610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.Totalcollection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14,890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16,801</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4,958</w:t>
            </w:r>
          </w:p>
        </w:tc>
        <w:tc>
          <w:tcPr>
            <w:tcW w:w="0" w:type="dxa"/>
            <w:vAlign w:val="bottom"/>
          </w:tcPr>
          <w:p>
            <w:pPr>
              <w:spacing w:after="0"/>
              <w:rPr>
                <w:sz w:val="1"/>
                <w:szCs w:val="1"/>
                <w:color w:val="auto"/>
              </w:rPr>
            </w:pPr>
          </w:p>
        </w:tc>
      </w:tr>
      <w:tr>
        <w:trPr>
          <w:trHeight w:val="251"/>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Transfer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2,448</w:t>
            </w:r>
          </w:p>
        </w:tc>
        <w:tc>
          <w:tcPr>
            <w:tcW w:w="0" w:type="dxa"/>
            <w:vAlign w:val="bottom"/>
          </w:tcPr>
          <w:p>
            <w:pPr>
              <w:spacing w:after="0"/>
              <w:rPr>
                <w:sz w:val="1"/>
                <w:szCs w:val="1"/>
                <w:color w:val="auto"/>
              </w:rPr>
            </w:pPr>
          </w:p>
        </w:tc>
      </w:tr>
      <w:tr>
        <w:trPr>
          <w:trHeight w:val="202"/>
        </w:trPr>
        <w:tc>
          <w:tcPr>
            <w:tcW w:w="610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.TotalCollectionandDisposal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19,716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4,491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24,207</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Recycling Processing and Sales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0" w:type="dxa"/>
            <w:vAlign w:val="bottom"/>
          </w:tcPr>
          <w:p>
            <w:pPr>
              <w:spacing w:after="0"/>
              <w:rPr>
                <w:sz w:val="1"/>
                <w:szCs w:val="1"/>
                <w:color w:val="auto"/>
              </w:rPr>
            </w:pPr>
          </w:p>
        </w:tc>
      </w:tr>
      <w:tr>
        <w:trPr>
          <w:trHeight w:val="232"/>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Energy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Healthcare Solutions(b)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251"/>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and Other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30"/>
        </w:trPr>
        <w:tc>
          <w:tcPr>
            <w:tcW w:w="610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22,063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4,874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jc w:val="both"/>
        <w:ind w:left="360" w:hanging="353"/>
        <w:spacing w:after="0" w:line="258" w:lineRule="auto"/>
        <w:tabs>
          <w:tab w:leader="none" w:pos="3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8" w:lineRule="exact"/>
        <w:rPr>
          <w:rFonts w:ascii="Times New Roman" w:cs="Times New Roman" w:eastAsia="Times New Roman" w:hAnsi="Times New Roman"/>
          <w:sz w:val="20"/>
          <w:szCs w:val="20"/>
          <w:color w:val="auto"/>
        </w:rPr>
      </w:pPr>
    </w:p>
    <w:p>
      <w:pPr>
        <w:jc w:val="both"/>
        <w:ind w:left="360" w:hanging="353"/>
        <w:spacing w:after="0" w:line="263" w:lineRule="auto"/>
        <w:tabs>
          <w:tab w:leader="none" w:pos="36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third quarter of 2025, as a result of continued integration efforts and to enhance transparency and accountability, the Company began reflecting intra-segment activity within our Healthcare Solutions segment. These charges were designed to measure profitability at more granular levels of the enterprise and to facilitate clearer financial accountability within operating units. Accordingly, adjustments to the years ended December 31, 2025 and 2024 activity were made to properly reflect intra-segment activity for both periods. Intra-segment operating revenues within Healthcare Solutions for the years ended December 31, 2025 and 2024 are $425 million and $58 million, respectively.</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720"/>
          </w:cols>
          <w:pgMar w:left="1080" w:top="1063" w:right="1080" w:bottom="542" w:gutter="0" w:footer="0" w:header="0"/>
          <w:type w:val="continuous"/>
        </w:sectPr>
      </w:pPr>
    </w:p>
    <w:bookmarkStart w:id="134" w:name="page135"/>
    <w:bookmarkEnd w:id="134"/>
    <w:p>
      <w:pPr>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provides details associated with the period-to-period change in revenues and average yield for the year ended December 31 (dollars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As a %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 a % of</w:t>
            </w:r>
          </w:p>
        </w:tc>
        <w:tc>
          <w:tcPr>
            <w:tcW w:w="180" w:type="dxa"/>
            <w:vAlign w:val="bottom"/>
          </w:tcPr>
          <w:p>
            <w:pPr>
              <w:spacing w:after="0"/>
              <w:rPr>
                <w:sz w:val="13"/>
                <w:szCs w:val="13"/>
                <w:color w:val="auto"/>
              </w:rPr>
            </w:pPr>
          </w:p>
        </w:tc>
      </w:tr>
      <w:tr>
        <w:trPr>
          <w:trHeight w:val="186"/>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4"/>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Business(a)</w:t>
            </w:r>
          </w:p>
        </w:tc>
        <w:tc>
          <w:tcPr>
            <w:tcW w:w="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Company(b)</w:t>
            </w:r>
          </w:p>
        </w:tc>
      </w:tr>
      <w:tr>
        <w:trPr>
          <w:trHeight w:val="202"/>
        </w:trPr>
        <w:tc>
          <w:tcPr>
            <w:tcW w:w="5740" w:type="dxa"/>
            <w:vAlign w:val="bottom"/>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w w:val="99"/>
              </w:rPr>
              <w:t>. . . . . . . . . . . . . . . . . . . . . . . . . . . . . . . . . . . . . . .Collectionanddisposal</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719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3.8</w:t>
            </w:r>
          </w:p>
        </w:tc>
        <w:tc>
          <w:tcPr>
            <w:tcW w:w="320" w:type="dxa"/>
            <w:vAlign w:val="bottom"/>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Recycling Processing and Sales and Renewable Energy (c) . . . . . . . .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(155)</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1"/>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7"/>
              </w:rPr>
              <w:t>Energy surcharge and mandated fees . . . . . . . . . . . . . . . . . . . . . . . . . . . .</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1"/>
        </w:trPr>
        <w:tc>
          <w:tcPr>
            <w:tcW w:w="5740" w:type="dxa"/>
            <w:vAlign w:val="bottom"/>
          </w:tcPr>
          <w:p>
            <w:pPr>
              <w:jc w:val="right"/>
              <w:ind w:right="4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.Totalaverageyield(d)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608</w:t>
            </w:r>
          </w:p>
        </w:tc>
        <w:tc>
          <w:tcPr>
            <w:tcW w:w="120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auto"/>
              </w:rPr>
              <w:t>2.8 %</w:t>
            </w:r>
          </w:p>
        </w:tc>
      </w:tr>
      <w:tr>
        <w:trPr>
          <w:trHeight w:val="232"/>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Volume (e) . . . . . . . . . . . . . . . . . . . . . . . . . . . . . . . . . . . . . . . . . . . . .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80" w:type="dxa"/>
            <w:vAlign w:val="bottom"/>
          </w:tcPr>
          <w:p>
            <w:pPr>
              <w:spacing w:after="0"/>
              <w:rPr>
                <w:sz w:val="20"/>
                <w:szCs w:val="20"/>
                <w:color w:val="auto"/>
              </w:rPr>
            </w:pPr>
          </w:p>
        </w:tc>
      </w:tr>
      <w:tr>
        <w:trPr>
          <w:trHeight w:val="250"/>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Healthcare Solutions (f) . . . . . . . . . . . . . . . . . . . . . . . . . . . . . . . . . . .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02"/>
        </w:trPr>
        <w:tc>
          <w:tcPr>
            <w:tcW w:w="5740" w:type="dxa"/>
            <w:vAlign w:val="bottom"/>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.Internalrevenuegrowth</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820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3.7</w:t>
            </w:r>
          </w:p>
        </w:tc>
        <w:tc>
          <w:tcPr>
            <w:tcW w:w="180" w:type="dxa"/>
            <w:vAlign w:val="bottom"/>
          </w:tcPr>
          <w:p>
            <w:pPr>
              <w:spacing w:after="0"/>
              <w:rPr>
                <w:sz w:val="17"/>
                <w:szCs w:val="17"/>
                <w:color w:val="auto"/>
              </w:rPr>
            </w:pPr>
          </w:p>
        </w:tc>
      </w:tr>
      <w:tr>
        <w:trPr>
          <w:trHeight w:val="232"/>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0"/>
                <w:szCs w:val="20"/>
                <w:color w:val="auto"/>
              </w:rPr>
            </w:pPr>
          </w:p>
        </w:tc>
      </w:tr>
      <w:tr>
        <w:trPr>
          <w:trHeight w:val="230"/>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Divestitures . . . . . . . . . . . . . . . . . . . . . . . . . . . . . . . . . . . . . . . . . . . . .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51"/>
        </w:trPr>
        <w:tc>
          <w:tcPr>
            <w:tcW w:w="5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30"/>
        </w:trPr>
        <w:tc>
          <w:tcPr>
            <w:tcW w:w="5740" w:type="dxa"/>
            <w:vAlign w:val="bottom"/>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.Total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3,141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1" w:lineRule="exact"/>
        <w:rPr>
          <w:sz w:val="20"/>
          <w:szCs w:val="20"/>
          <w:color w:val="auto"/>
        </w:rPr>
      </w:pPr>
    </w:p>
    <w:p>
      <w:pPr>
        <w:ind w:left="360" w:hanging="353"/>
        <w:spacing w:after="0" w:line="278" w:lineRule="auto"/>
        <w:tabs>
          <w:tab w:leader="none" w:pos="3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by dividing the increase or decrease for the current year by the prior year’s related business revenues adjusted to exclude the impacts of divestitures for the current year.</w:t>
      </w:r>
    </w:p>
    <w:p>
      <w:pPr>
        <w:spacing w:after="0" w:line="46"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by dividing the increase or decrease for the current year by the prior year’s total Company revenues adjusted to exclude the impacts of divestitures for the current year.</w:t>
      </w:r>
    </w:p>
    <w:p>
      <w:pPr>
        <w:spacing w:after="0" w:line="46" w:lineRule="exact"/>
        <w:rPr>
          <w:rFonts w:ascii="Times New Roman" w:cs="Times New Roman" w:eastAsia="Times New Roman" w:hAnsi="Times New Roman"/>
          <w:sz w:val="20"/>
          <w:szCs w:val="20"/>
          <w:color w:val="auto"/>
        </w:rPr>
      </w:pPr>
    </w:p>
    <w:p>
      <w:pPr>
        <w:ind w:left="360" w:hanging="353"/>
        <w:spacing w:after="0" w:line="305" w:lineRule="auto"/>
        <w:tabs>
          <w:tab w:leader="none" w:pos="3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combined impact of commodity price variability in both our Recycling Processing and Sales and Renewable Energy segments, as well as changes in certain recycling fees charged by our collection and disposal operations.</w:t>
      </w:r>
    </w:p>
    <w:p>
      <w:pPr>
        <w:spacing w:after="0" w:line="25" w:lineRule="exact"/>
        <w:rPr>
          <w:rFonts w:ascii="Times New Roman" w:cs="Times New Roman" w:eastAsia="Times New Roman" w:hAnsi="Times New Roman"/>
          <w:sz w:val="19"/>
          <w:szCs w:val="19"/>
          <w:color w:val="auto"/>
        </w:rPr>
      </w:pPr>
    </w:p>
    <w:p>
      <w:pPr>
        <w:ind w:left="360" w:hanging="353"/>
        <w:spacing w:after="0"/>
        <w:tabs>
          <w:tab w:leader="none" w:pos="3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reported herein represent the change in our revenues attributable to average yield for the total Company.</w:t>
      </w:r>
    </w:p>
    <w:p>
      <w:pPr>
        <w:spacing w:after="0" w:line="131" w:lineRule="exact"/>
        <w:rPr>
          <w:rFonts w:ascii="Times New Roman" w:cs="Times New Roman" w:eastAsia="Times New Roman" w:hAnsi="Times New Roman"/>
          <w:sz w:val="19"/>
          <w:szCs w:val="19"/>
          <w:color w:val="auto"/>
        </w:rPr>
      </w:pPr>
    </w:p>
    <w:p>
      <w:pPr>
        <w:ind w:left="360" w:hanging="353"/>
        <w:spacing w:after="0"/>
        <w:tabs>
          <w:tab w:leader="none" w:pos="3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activities from our Corporate and Other businesses.</w:t>
      </w:r>
    </w:p>
    <w:p>
      <w:pPr>
        <w:spacing w:after="0" w:line="119"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reported herein represent the change in our revenues attributable to our Healthcare Solutions business in the period following the anniversary of the acquisition.</w:t>
      </w:r>
    </w:p>
    <w:p>
      <w:pPr>
        <w:spacing w:after="0" w:line="168" w:lineRule="exact"/>
        <w:rPr>
          <w:rFonts w:ascii="Times New Roman" w:cs="Times New Roman" w:eastAsia="Times New Roman" w:hAnsi="Times New Roman"/>
          <w:sz w:val="20"/>
          <w:szCs w:val="20"/>
          <w:color w:val="auto"/>
        </w:rPr>
      </w:pPr>
    </w:p>
    <w:p>
      <w:pPr>
        <w:ind w:left="360" w:right="2500"/>
        <w:spacing w:after="0" w:line="4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provides further details about our period-to-period change in revenues: </w:t>
      </w:r>
      <w:r>
        <w:rPr>
          <w:rFonts w:ascii="Times New Roman" w:cs="Times New Roman" w:eastAsia="Times New Roman" w:hAnsi="Times New Roman"/>
          <w:sz w:val="20"/>
          <w:szCs w:val="20"/>
          <w:i w:val="1"/>
          <w:iCs w:val="1"/>
          <w:color w:val="auto"/>
        </w:rPr>
        <w:t>Average Yield</w:t>
      </w:r>
    </w:p>
    <w:p>
      <w:pPr>
        <w:jc w:val="both"/>
        <w:ind w:firstLine="360"/>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Collection and Disposal Average Yield </w:t>
      </w:r>
      <w:r>
        <w:rPr>
          <w:rFonts w:ascii="Times New Roman" w:cs="Times New Roman" w:eastAsia="Times New Roman" w:hAnsi="Times New Roman"/>
          <w:sz w:val="19"/>
          <w:szCs w:val="19"/>
          <w:color w:val="auto"/>
        </w:rPr>
        <w:t>— This measure reflects the effect on our revenues from the pricing activities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40" w:hanging="233"/>
        <w:spacing w:after="0"/>
        <w:tabs>
          <w:tab w:leader="none" w:pos="2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average price changes related to the overall mix of services, which are due to the types of services provided;</w:t>
      </w:r>
    </w:p>
    <w:p>
      <w:pPr>
        <w:ind w:left="300" w:hanging="293"/>
        <w:spacing w:after="0"/>
        <w:tabs>
          <w:tab w:leader="none" w:pos="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average price from new and lost business and (iii) price decreases to retain customers.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720"/>
          </w:cols>
          <w:pgMar w:left="1080" w:top="1066" w:right="1080" w:bottom="542" w:gutter="0" w:footer="0" w:header="0"/>
          <w:type w:val="continuous"/>
        </w:sectPr>
      </w:pPr>
    </w:p>
    <w:bookmarkStart w:id="135" w:name="page136"/>
    <w:bookmarkEnd w:id="135"/>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details of our revenue growth from Collection and Disposal average yield for the year ended December 31 are as follows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155"/>
        </w:trPr>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 a % of</w:t>
            </w:r>
          </w:p>
        </w:tc>
        <w:tc>
          <w:tcPr>
            <w:tcW w:w="160" w:type="dxa"/>
            <w:vAlign w:val="bottom"/>
          </w:tcPr>
          <w:p>
            <w:pPr>
              <w:spacing w:after="0"/>
              <w:rPr>
                <w:sz w:val="13"/>
                <w:szCs w:val="13"/>
                <w:color w:val="auto"/>
              </w:rPr>
            </w:pPr>
          </w:p>
        </w:tc>
      </w:tr>
      <w:tr>
        <w:trPr>
          <w:trHeight w:val="184"/>
        </w:trPr>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04"/>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Business</w:t>
            </w:r>
          </w:p>
        </w:tc>
      </w:tr>
      <w:tr>
        <w:trPr>
          <w:trHeight w:val="199"/>
        </w:trPr>
        <w:tc>
          <w:tcPr>
            <w:tcW w:w="742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.Commercial</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290</w:t>
            </w:r>
          </w:p>
        </w:tc>
        <w:tc>
          <w:tcPr>
            <w:tcW w:w="200" w:type="dxa"/>
            <w:vAlign w:val="bottom"/>
          </w:tcPr>
          <w:p>
            <w:pPr>
              <w:spacing w:after="0"/>
              <w:rPr>
                <w:sz w:val="17"/>
                <w:szCs w:val="17"/>
                <w:color w:val="auto"/>
              </w:rPr>
            </w:pPr>
          </w:p>
        </w:tc>
        <w:tc>
          <w:tcPr>
            <w:tcW w:w="980" w:type="dxa"/>
            <w:vAlign w:val="bottom"/>
            <w:tcBorders>
              <w:top w:val="single" w:sz="8" w:color="auto"/>
            </w:tcBorders>
          </w:tcPr>
          <w:p>
            <w:pPr>
              <w:ind w:left="680"/>
              <w:spacing w:after="0" w:line="200" w:lineRule="exact"/>
              <w:rPr>
                <w:sz w:val="20"/>
                <w:szCs w:val="20"/>
                <w:color w:val="auto"/>
              </w:rPr>
            </w:pPr>
            <w:r>
              <w:rPr>
                <w:rFonts w:ascii="Times New Roman" w:cs="Times New Roman" w:eastAsia="Times New Roman" w:hAnsi="Times New Roman"/>
                <w:sz w:val="20"/>
                <w:szCs w:val="20"/>
                <w:color w:val="auto"/>
              </w:rPr>
              <w:t>5.1</w:t>
            </w: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7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Industrial . . . .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spacing w:after="0"/>
              <w:rPr>
                <w:sz w:val="20"/>
                <w:szCs w:val="20"/>
                <w:color w:val="auto"/>
              </w:rPr>
            </w:pPr>
          </w:p>
        </w:tc>
      </w:tr>
      <w:tr>
        <w:trPr>
          <w:trHeight w:val="250"/>
        </w:trPr>
        <w:tc>
          <w:tcPr>
            <w:tcW w:w="7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Residential . . . . .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21"/>
                <w:szCs w:val="21"/>
                <w:color w:val="auto"/>
              </w:rPr>
            </w:pPr>
          </w:p>
        </w:tc>
      </w:tr>
      <w:tr>
        <w:trPr>
          <w:trHeight w:val="201"/>
        </w:trPr>
        <w:tc>
          <w:tcPr>
            <w:tcW w:w="7420" w:type="dxa"/>
            <w:vAlign w:val="bottom"/>
          </w:tcPr>
          <w:p>
            <w:pPr>
              <w:jc w:val="right"/>
              <w:ind w:right="18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.Totalcollection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570</w:t>
            </w:r>
          </w:p>
        </w:tc>
        <w:tc>
          <w:tcPr>
            <w:tcW w:w="1180" w:type="dxa"/>
            <w:vAlign w:val="bottom"/>
            <w:gridSpan w:val="2"/>
          </w:tcPr>
          <w:p>
            <w:pPr>
              <w:ind w:left="880"/>
              <w:spacing w:after="0" w:line="201" w:lineRule="exact"/>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17"/>
                <w:szCs w:val="17"/>
                <w:color w:val="auto"/>
              </w:rPr>
            </w:pPr>
          </w:p>
        </w:tc>
      </w:tr>
      <w:tr>
        <w:trPr>
          <w:trHeight w:val="229"/>
        </w:trPr>
        <w:tc>
          <w:tcPr>
            <w:tcW w:w="7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Landfill. . . . . . .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2.6</w:t>
            </w:r>
          </w:p>
        </w:tc>
        <w:tc>
          <w:tcPr>
            <w:tcW w:w="160" w:type="dxa"/>
            <w:vAlign w:val="bottom"/>
          </w:tcPr>
          <w:p>
            <w:pPr>
              <w:spacing w:after="0"/>
              <w:rPr>
                <w:sz w:val="19"/>
                <w:szCs w:val="19"/>
                <w:color w:val="auto"/>
              </w:rPr>
            </w:pPr>
          </w:p>
        </w:tc>
      </w:tr>
      <w:tr>
        <w:trPr>
          <w:trHeight w:val="250"/>
        </w:trPr>
        <w:tc>
          <w:tcPr>
            <w:tcW w:w="7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Transfer . . . . . . .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4.9</w:t>
            </w:r>
          </w:p>
        </w:tc>
        <w:tc>
          <w:tcPr>
            <w:tcW w:w="160" w:type="dxa"/>
            <w:vAlign w:val="bottom"/>
          </w:tcPr>
          <w:p>
            <w:pPr>
              <w:spacing w:after="0"/>
              <w:rPr>
                <w:sz w:val="21"/>
                <w:szCs w:val="21"/>
                <w:color w:val="auto"/>
              </w:rPr>
            </w:pPr>
          </w:p>
        </w:tc>
      </w:tr>
      <w:tr>
        <w:trPr>
          <w:trHeight w:val="230"/>
        </w:trPr>
        <w:tc>
          <w:tcPr>
            <w:tcW w:w="74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.TotalCollectionandDisposal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719</w:t>
            </w:r>
          </w:p>
        </w:tc>
        <w:tc>
          <w:tcPr>
            <w:tcW w:w="1340" w:type="dxa"/>
            <w:vAlign w:val="bottom"/>
            <w:gridSpan w:val="3"/>
          </w:tcPr>
          <w:p>
            <w:pPr>
              <w:ind w:left="880"/>
              <w:spacing w:after="0" w:line="221" w:lineRule="exact"/>
              <w:rPr>
                <w:sz w:val="20"/>
                <w:szCs w:val="20"/>
                <w:color w:val="auto"/>
              </w:rPr>
            </w:pPr>
            <w:r>
              <w:rPr>
                <w:rFonts w:ascii="Times New Roman" w:cs="Times New Roman" w:eastAsia="Times New Roman" w:hAnsi="Times New Roman"/>
                <w:sz w:val="20"/>
                <w:szCs w:val="20"/>
                <w:color w:val="auto"/>
                <w:w w:val="94"/>
              </w:rPr>
              <w:t>3.8 %</w:t>
            </w:r>
          </w:p>
        </w:tc>
      </w:tr>
    </w:tbl>
    <w:p>
      <w:pPr>
        <w:spacing w:after="0" w:line="21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overall pricing efforts are focused on keeping pace with the increasing costs and capital intensity of our business. We continue to focus on yield growth in our landfill business. This growth was primarily driven by municipal solid waste, which achieved yield of 6.5% in 2025.</w:t>
      </w:r>
    </w:p>
    <w:p>
      <w:pPr>
        <w:spacing w:after="0" w:line="18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Recycling Processing and Sales and Renewable Energy — </w:t>
      </w:r>
      <w:r>
        <w:rPr>
          <w:rFonts w:ascii="Times New Roman" w:cs="Times New Roman" w:eastAsia="Times New Roman" w:hAnsi="Times New Roman"/>
          <w:sz w:val="20"/>
          <w:szCs w:val="20"/>
          <w:color w:val="auto"/>
        </w:rPr>
        <w:t>Recycling Processing and Sales revenues attributable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yield decreased $166 million in 2025 as compared to prior year. Average market prices for single-stream recycled commodities declined approximately 20% in 2025 as compared to the prior year. Revenues attributable to yield in our Renewable Energy segment increased $11 million in 2025 as compared to prior year primarily driven by increases in natural gas and electricity pricing partially offset by declines in RINs pricing. While there may be short-term fluctuations in our commodity-driven businesses as prices change, we believe that our business models and processes appropriately mitigate the downside risk of changes in commodity prices.</w:t>
      </w:r>
    </w:p>
    <w:p>
      <w:pPr>
        <w:spacing w:after="0" w:line="19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Energy Surcharge and Mandated Fees — </w:t>
      </w:r>
      <w:r>
        <w:rPr>
          <w:rFonts w:ascii="Times New Roman" w:cs="Times New Roman" w:eastAsia="Times New Roman" w:hAnsi="Times New Roman"/>
          <w:sz w:val="20"/>
          <w:szCs w:val="20"/>
          <w:color w:val="auto"/>
        </w:rPr>
        <w:t>These fees increased $44 million as compared to prior year. Mandated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increased $33 million while fluctuations in energy surcharges drove an increase of $11 million as compared to prior year. The mandated fees are primarily related to fees and taxes assessed by various state, county and municipal government agencies at our landfills and transfer stations, particularly in our West Tier as a result of wildfire activity.</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Volume</w:t>
      </w:r>
    </w:p>
    <w:p>
      <w:pPr>
        <w:spacing w:after="0" w:line="2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revenues from volume (excluding volumes from acquisitions and divestitures) increased $206 million, or 0.9%, in 2025 as compared to prior year. Volume growth during 2025 was led by our landfill business, with notable increases in special waste and municipal solid waste volumes in the West Tier, particularly driven by wildfire clean-up efforts. Contributions from growth projects also drove gains in our Renewable Energy and Recycling Processing and Sales segments, and volumes in our Strategic Business Solutions business continued to see growth due to our differentiated service model. These gains were partially offset by declines in residential collection volumes, reflecting our strategic exit from lower-margin contracts.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Acquisitions and Divestitures</w:t>
      </w:r>
    </w:p>
    <w:p>
      <w:pPr>
        <w:spacing w:after="0" w:line="23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Acquisitions and divestitures resulted in a net increase in revenues of $2,334 million, or 10.6%, in 2025 as compared to prior year. The increase was primarily due to our acquisition of Stericycle in November 2024. The remaining increase was primarily related to our ongoing investment in tuck-in acquisitions of collection and disposal businesses.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9"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720"/>
          </w:cols>
          <w:pgMar w:left="1080" w:top="1066" w:right="1080" w:bottom="542" w:gutter="0" w:footer="0" w:header="0"/>
          <w:type w:val="continuous"/>
        </w:sectPr>
      </w:pPr>
    </w:p>
    <w:bookmarkStart w:id="136" w:name="page137"/>
    <w:bookmarkEnd w:id="136"/>
    <w:p>
      <w:pPr>
        <w:jc w:val="both"/>
        <w:spacing w:after="0" w:line="257" w:lineRule="auto"/>
        <w:rPr>
          <w:sz w:val="20"/>
          <w:szCs w:val="20"/>
          <w:color w:val="auto"/>
        </w:rPr>
      </w:pPr>
      <w:r>
        <w:rPr>
          <w:rFonts w:ascii="Times New Roman" w:cs="Times New Roman" w:eastAsia="Times New Roman" w:hAnsi="Times New Roman"/>
          <w:sz w:val="19"/>
          <w:szCs w:val="19"/>
          <w:color w:val="auto"/>
        </w:rPr>
        <w:t>and facilities and related labor costs; (iv) subcontractor costs, which include the costs of independent haulers who transport waste collected by us to disposal facilities and are affected by variables such as volumes, distance and fuel prices; (v) cost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5" w:lineRule="exact"/>
        <w:rPr>
          <w:sz w:val="20"/>
          <w:szCs w:val="20"/>
          <w:color w:val="auto"/>
        </w:rPr>
      </w:pPr>
    </w:p>
    <w:p>
      <w:pPr>
        <w:jc w:val="both"/>
        <w:ind w:firstLine="7"/>
        <w:spacing w:after="0" w:line="241" w:lineRule="auto"/>
        <w:tabs>
          <w:tab w:leader="none" w:pos="45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20"/>
          <w:szCs w:val="20"/>
          <w:i w:val="1"/>
          <w:iCs w:val="1"/>
          <w:color w:val="auto"/>
        </w:rPr>
        <w:t>Operating Revenues</w:t>
      </w:r>
      <w:r>
        <w:rPr>
          <w:rFonts w:ascii="Times New Roman" w:cs="Times New Roman" w:eastAsia="Times New Roman" w:hAnsi="Times New Roman"/>
          <w:sz w:val="20"/>
          <w:szCs w:val="20"/>
          <w:color w:val="auto"/>
        </w:rPr>
        <w:t>, in addition to cost inflation, affect the comparability of the components of our operating expenses.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major  components  of  our  operating  expenses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(dollars in millions and as a percentage of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vMerge w:val="restart"/>
          </w:tcPr>
          <w:p>
            <w:pPr>
              <w:jc w:val="right"/>
              <w:ind w:right="4200"/>
              <w:spacing w:after="0"/>
              <w:rPr>
                <w:sz w:val="20"/>
                <w:szCs w:val="20"/>
                <w:color w:val="auto"/>
              </w:rPr>
            </w:pPr>
            <w:r>
              <w:rPr>
                <w:rFonts w:ascii="Times New Roman" w:cs="Times New Roman" w:eastAsia="Times New Roman" w:hAnsi="Times New Roman"/>
                <w:sz w:val="20"/>
                <w:szCs w:val="20"/>
                <w:color w:val="auto"/>
                <w:w w:val="99"/>
              </w:rPr>
              <w:t>Labor and related benefits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32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6400" w:type="dxa"/>
            <w:vAlign w:val="bottom"/>
            <w:vMerge w:val="continue"/>
          </w:tcPr>
          <w:p>
            <w:pPr>
              <w:jc w:val="right"/>
              <w:ind w:right="1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4,476</w:t>
            </w:r>
          </w:p>
        </w:tc>
        <w:tc>
          <w:tcPr>
            <w:tcW w:w="16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17.8</w:t>
            </w:r>
          </w:p>
        </w:tc>
        <w:tc>
          <w:tcPr>
            <w:tcW w:w="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3,845</w:t>
            </w:r>
          </w:p>
        </w:tc>
        <w:tc>
          <w:tcPr>
            <w:tcW w:w="140" w:type="dxa"/>
            <w:vAlign w:val="bottom"/>
          </w:tcPr>
          <w:p>
            <w:pPr>
              <w:spacing w:after="0"/>
              <w:rPr>
                <w:sz w:val="17"/>
                <w:szCs w:val="17"/>
                <w:color w:val="auto"/>
              </w:rPr>
            </w:pP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17.4</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Transfer and disposal costs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Maintenance and repairs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2,079</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Subcontractor costs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2,514</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10.2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Cost of goods sold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5"/>
              </w:rPr>
              <w:t>Fuel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Disposal and franchise fees and taxes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Landfill operating costs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Risk management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1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15,012</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59.6</w:t>
            </w:r>
          </w:p>
        </w:tc>
        <w:tc>
          <w:tcPr>
            <w:tcW w:w="32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13,383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1"/>
              </w:rPr>
              <w:t>60.</w:t>
            </w:r>
            <w:r>
              <w:rPr>
                <w:rFonts w:ascii="Times New Roman" w:cs="Times New Roman" w:eastAsia="Times New Roman" w:hAnsi="Times New Roman"/>
                <w:sz w:val="20"/>
                <w:szCs w:val="20"/>
                <w:u w:val="single" w:color="auto"/>
                <w:color w:val="auto"/>
                <w:w w:val="91"/>
              </w:rPr>
              <w:t>7</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During 2025, efficiency gains, improved employee turnover, momentum in truck deliveries, the benefit of customer price increases and higher margin special waste volumes, positioned us to significantly reduce our operating expenses as a percentage of operating revenue. The increase in total operating expenses as compared to prior year related primarily to</w:t>
      </w:r>
    </w:p>
    <w:p>
      <w:pPr>
        <w:spacing w:after="0" w:line="2" w:lineRule="exact"/>
        <w:rPr>
          <w:sz w:val="20"/>
          <w:szCs w:val="20"/>
          <w:color w:val="auto"/>
        </w:rPr>
      </w:pPr>
    </w:p>
    <w:p>
      <w:pPr>
        <w:jc w:val="both"/>
        <w:ind w:firstLine="7"/>
        <w:spacing w:after="0" w:line="242" w:lineRule="auto"/>
        <w:tabs>
          <w:tab w:leader="none" w:pos="2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recent acquisitions, particularly Stericycle; (ii) incremental costs attributable to RNG facilities brought on line during 2025; (iii) increased landfill volumes and (iv) a decrease in gains on the sale of non-strategic assets in 2025. These increases were partially offset by (i) lower residential volumes; (ii) decreased cost of goods sold attributable to lower recycling commodity prices and (iii) continued operating efficiency and cost control initiatives in our Collection and Disposal businesses.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Significant items affecting the comparison of operating expenses between reported periods include:</w:t>
      </w:r>
    </w:p>
    <w:p>
      <w:pPr>
        <w:spacing w:after="0" w:line="239"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Labor and Related Benefits </w:t>
      </w:r>
      <w:r>
        <w:rPr>
          <w:rFonts w:ascii="Times New Roman" w:cs="Times New Roman" w:eastAsia="Times New Roman" w:hAnsi="Times New Roman"/>
          <w:sz w:val="19"/>
          <w:szCs w:val="19"/>
          <w:color w:val="auto"/>
        </w:rPr>
        <w:t>— The increase in labor and related benefits costs was driven by the addition of employees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a result of our recent acquisitions and annual employee wage increases. These increases were offset in part, by (i) lower annual incentive compensation and employee benefit expenses; (ii) collection efficiency improvements; (iii) lower residential volumes attributable to intentional shedding of lower margin contracts and (iv) improved driver retention.</w:t>
      </w:r>
    </w:p>
    <w:p>
      <w:pPr>
        <w:spacing w:after="0" w:line="1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Transfer and Disposal Costs </w:t>
      </w:r>
      <w:r>
        <w:rPr>
          <w:rFonts w:ascii="Times New Roman" w:cs="Times New Roman" w:eastAsia="Times New Roman" w:hAnsi="Times New Roman"/>
          <w:sz w:val="20"/>
          <w:szCs w:val="20"/>
          <w:color w:val="auto"/>
        </w:rPr>
        <w:t>— The increase in transfer and disposal costs was primarily due to our recent acquisitions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inflationary cost pressures, which includes increased disposal fees at third-party sites and higher rates from our third-party haulers. These increases were offset, in part, by lower residential volumes attributable to intentional shedding of lower margin contracts.</w:t>
      </w:r>
    </w:p>
    <w:p>
      <w:pPr>
        <w:spacing w:after="0" w:line="19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Maintenance and Repairs </w:t>
      </w:r>
      <w:r>
        <w:rPr>
          <w:rFonts w:ascii="Times New Roman" w:cs="Times New Roman" w:eastAsia="Times New Roman" w:hAnsi="Times New Roman"/>
          <w:sz w:val="20"/>
          <w:szCs w:val="20"/>
          <w:color w:val="auto"/>
        </w:rPr>
        <w:t>— The increase in maintenance and repairs costs was primarily due to (i) additional costs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incurred as part of our recent acquisitions; (ii) inflation in parts, supplies and third-party services; (iii) annual wage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720"/>
          </w:cols>
          <w:pgMar w:left="1080" w:top="1066" w:right="1080" w:bottom="542" w:gutter="0" w:footer="0" w:header="0"/>
          <w:type w:val="continuous"/>
        </w:sectPr>
      </w:pPr>
    </w:p>
    <w:bookmarkStart w:id="137" w:name="page138"/>
    <w:bookmarkEnd w:id="137"/>
    <w:p>
      <w:pPr>
        <w:jc w:val="both"/>
        <w:spacing w:after="0" w:line="278" w:lineRule="auto"/>
        <w:rPr>
          <w:sz w:val="20"/>
          <w:szCs w:val="20"/>
          <w:color w:val="auto"/>
        </w:rPr>
      </w:pPr>
      <w:r>
        <w:rPr>
          <w:rFonts w:ascii="Times New Roman" w:cs="Times New Roman" w:eastAsia="Times New Roman" w:hAnsi="Times New Roman"/>
          <w:sz w:val="20"/>
          <w:szCs w:val="20"/>
          <w:color w:val="auto"/>
        </w:rPr>
        <w:t>increases and (iv) higher technician headcount. These increases were offset, in part, by an increase in new truck deliveries, which lowered the average fleet age and reduced demand for parts, supplies and third-party services.</w:t>
      </w:r>
    </w:p>
    <w:p>
      <w:pPr>
        <w:spacing w:after="0" w:line="16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Subcontractor Costs </w:t>
      </w:r>
      <w:r>
        <w:rPr>
          <w:rFonts w:ascii="Times New Roman" w:cs="Times New Roman" w:eastAsia="Times New Roman" w:hAnsi="Times New Roman"/>
          <w:sz w:val="20"/>
          <w:szCs w:val="20"/>
          <w:color w:val="auto"/>
        </w:rPr>
        <w:t>— The increase in subcontractor costs was primarily due to additional costs incurred as a part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recent acquisitions and inflationary cost pressures, particularly labor costs from third-party haulers.</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Cost of Goods Sold — </w:t>
      </w:r>
      <w:r>
        <w:rPr>
          <w:rFonts w:ascii="Times New Roman" w:cs="Times New Roman" w:eastAsia="Times New Roman" w:hAnsi="Times New Roman"/>
          <w:sz w:val="20"/>
          <w:szCs w:val="20"/>
          <w:color w:val="auto"/>
        </w:rPr>
        <w:t>The decrease in cost of goods sold was primarily due to a nearly 20% decrease in average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prices for single-stream recycling commodities. This decrease was partially offset by additional pipeline transportation costs attributable to new RNG facilities brought on line during 2025.</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Fuel — </w:t>
      </w:r>
      <w:r>
        <w:rPr>
          <w:rFonts w:ascii="Times New Roman" w:cs="Times New Roman" w:eastAsia="Times New Roman" w:hAnsi="Times New Roman"/>
          <w:sz w:val="20"/>
          <w:szCs w:val="20"/>
          <w:color w:val="auto"/>
        </w:rPr>
        <w:t>The increase in fuel costs was primarily due to our recent acquisitions and the expiration of the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alternative fuel tax credit on December 31, 2024. This increase was partially offset by a decrease of approximately 3% in average market prices for diesel fuel and reduced diesel consumption due to declines in residential collection volumes.</w:t>
      </w:r>
    </w:p>
    <w:p>
      <w:pPr>
        <w:spacing w:after="0" w:line="186"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i w:val="1"/>
          <w:iCs w:val="1"/>
          <w:color w:val="auto"/>
        </w:rPr>
        <w:t xml:space="preserve">Disposal and Franchise Fees and Taxes — </w:t>
      </w:r>
      <w:r>
        <w:rPr>
          <w:rFonts w:ascii="Times New Roman" w:cs="Times New Roman" w:eastAsia="Times New Roman" w:hAnsi="Times New Roman"/>
          <w:sz w:val="19"/>
          <w:szCs w:val="19"/>
          <w:color w:val="auto"/>
        </w:rPr>
        <w:t>The increase in disposal and franchise fees and taxes was primarily due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 increase in landfill volumes and an overall rate increase in fees and taxes paid to municipalities on our disposal volumes.</w:t>
      </w:r>
    </w:p>
    <w:p>
      <w:pPr>
        <w:spacing w:after="0" w:line="144"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Landfill Operating Costs — </w:t>
      </w:r>
      <w:r>
        <w:rPr>
          <w:rFonts w:ascii="Times New Roman" w:cs="Times New Roman" w:eastAsia="Times New Roman" w:hAnsi="Times New Roman"/>
          <w:sz w:val="20"/>
          <w:szCs w:val="20"/>
          <w:color w:val="auto"/>
        </w:rPr>
        <w:t>The increase in landfill operating costs was primarily due to an increase in volumes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leachate treatment costs in our West Tier.</w:t>
      </w:r>
    </w:p>
    <w:p>
      <w:pPr>
        <w:spacing w:after="0" w:line="16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Risk Management </w:t>
      </w:r>
      <w:r>
        <w:rPr>
          <w:rFonts w:ascii="Times New Roman" w:cs="Times New Roman" w:eastAsia="Times New Roman" w:hAnsi="Times New Roman"/>
          <w:sz w:val="20"/>
          <w:szCs w:val="20"/>
          <w:color w:val="auto"/>
        </w:rPr>
        <w:t>— The increase in risk management costs was primarily due to additional claims and premiums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attributable to our recent acquisitions and higher insurance recoveries for property claims in the prior year as compared to 2025 offset, in part, by improved claims experience.</w:t>
      </w:r>
    </w:p>
    <w:p>
      <w:pPr>
        <w:spacing w:after="0" w:line="18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Other </w:t>
      </w:r>
      <w:r>
        <w:rPr>
          <w:rFonts w:ascii="Times New Roman" w:cs="Times New Roman" w:eastAsia="Times New Roman" w:hAnsi="Times New Roman"/>
          <w:sz w:val="20"/>
          <w:szCs w:val="20"/>
          <w:color w:val="auto"/>
        </w:rPr>
        <w:t>— The increase in other operating costs was primarily due to (i) additional expenses attributable to our recent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acquisitions; (ii) gains on the sale of real estate in 2024 and, to a much lesser extent, (iii) increased utility costs and property taxes largely attributable to new RNG plants brought on line during 2025.</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8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our selling, general and administrative expenses for the year ended December 31 (dollars in millions and as a percentage of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vMerge w:val="restart"/>
          </w:tcPr>
          <w:p>
            <w:pPr>
              <w:jc w:val="right"/>
              <w:ind w:right="4380"/>
              <w:spacing w:after="0"/>
              <w:rPr>
                <w:sz w:val="20"/>
                <w:szCs w:val="20"/>
                <w:color w:val="auto"/>
              </w:rPr>
            </w:pPr>
            <w:r>
              <w:rPr>
                <w:rFonts w:ascii="Times New Roman" w:cs="Times New Roman" w:eastAsia="Times New Roman" w:hAnsi="Times New Roman"/>
                <w:sz w:val="20"/>
                <w:szCs w:val="20"/>
                <w:color w:val="auto"/>
                <w:w w:val="99"/>
              </w:rPr>
              <w:t>Labor and related benefits</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6580" w:type="dxa"/>
            <w:vAlign w:val="bottom"/>
            <w:vMerge w:val="continue"/>
          </w:tcPr>
          <w:p>
            <w:pPr>
              <w:jc w:val="right"/>
              <w:ind w:right="1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$ 1,655</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6.5</w:t>
            </w:r>
          </w:p>
        </w:tc>
        <w:tc>
          <w:tcPr>
            <w:tcW w:w="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$ 1,400</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6.4</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Professional fees . . . . .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Provision for bad debts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rPr>
              <w:t>$ 2,722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8</w:t>
            </w:r>
          </w:p>
        </w:tc>
        <w:tc>
          <w:tcPr>
            <w:tcW w:w="32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3"/>
              </w:rPr>
              <w:t>$ 2,264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10.3</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Selling, general and administrative expenses increased from prior year primarily due to our recent acquisitions, particularly Stericycle.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720"/>
          </w:cols>
          <w:pgMar w:left="1080" w:top="1066" w:right="1080" w:bottom="542" w:gutter="0" w:footer="0" w:header="0"/>
          <w:type w:val="continuous"/>
        </w:sectPr>
      </w:pPr>
    </w:p>
    <w:bookmarkStart w:id="138" w:name="page139"/>
    <w:bookmarkEnd w:id="138"/>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Significant items affecting the comparison of our selling, general and administrative expenses between reported periods include:</w:t>
      </w:r>
    </w:p>
    <w:p>
      <w:pPr>
        <w:spacing w:after="0" w:line="16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Labor and Related Benefits </w:t>
      </w:r>
      <w:r>
        <w:rPr>
          <w:rFonts w:ascii="Times New Roman" w:cs="Times New Roman" w:eastAsia="Times New Roman" w:hAnsi="Times New Roman"/>
          <w:sz w:val="20"/>
          <w:szCs w:val="20"/>
          <w:color w:val="auto"/>
        </w:rPr>
        <w:t>— The increase in labor and related benefits costs was primarily due to (i) our recent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acquisitions; (ii) higher long-term incentive compensation costs and (iii) annual employee wage increases. These increases were partially offset by lower annual incentive compensation and employee benefit expense.</w:t>
      </w:r>
    </w:p>
    <w:p>
      <w:pPr>
        <w:spacing w:after="0" w:line="18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Professional Fees </w:t>
      </w:r>
      <w:r>
        <w:rPr>
          <w:rFonts w:ascii="Times New Roman" w:cs="Times New Roman" w:eastAsia="Times New Roman" w:hAnsi="Times New Roman"/>
          <w:sz w:val="20"/>
          <w:szCs w:val="20"/>
          <w:color w:val="auto"/>
        </w:rPr>
        <w:t>— The increase in professional fees was primarily due to our acquisition and integration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Stericycle.</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Provision for Bad Debts — </w:t>
      </w:r>
      <w:r>
        <w:rPr>
          <w:rFonts w:ascii="Times New Roman" w:cs="Times New Roman" w:eastAsia="Times New Roman" w:hAnsi="Times New Roman"/>
          <w:sz w:val="20"/>
          <w:szCs w:val="20"/>
          <w:color w:val="auto"/>
        </w:rPr>
        <w:t>The increase in the provision for bad debts was primarily attributable to our Healthcare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Solutions segment, driven by data and system challenges, and an overall increase in revenue and increase in customer account write-offs.</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Other — </w:t>
      </w:r>
      <w:r>
        <w:rPr>
          <w:rFonts w:ascii="Times New Roman" w:cs="Times New Roman" w:eastAsia="Times New Roman" w:hAnsi="Times New Roman"/>
          <w:sz w:val="20"/>
          <w:szCs w:val="20"/>
          <w:color w:val="auto"/>
        </w:rPr>
        <w:t>The increase in other expenses was primarily due to increased spend across multiple cost categories,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technology, risk management and advertising, largely driven by the acquisition and integration of Stericycle.</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Depreciation, Depletion and Amortization Expenses</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components of our depreciation, depletion and amortization expenses for the year ended December 31 (dollars in millions and as a percentage of 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vMerge w:val="restart"/>
          </w:tcPr>
          <w:p>
            <w:pPr>
              <w:jc w:val="right"/>
              <w:ind w:right="2480"/>
              <w:spacing w:after="0"/>
              <w:rPr>
                <w:sz w:val="20"/>
                <w:szCs w:val="20"/>
                <w:color w:val="auto"/>
              </w:rPr>
            </w:pPr>
            <w:r>
              <w:rPr>
                <w:rFonts w:ascii="Times New Roman" w:cs="Times New Roman" w:eastAsia="Times New Roman" w:hAnsi="Times New Roman"/>
                <w:sz w:val="20"/>
                <w:szCs w:val="20"/>
                <w:color w:val="auto"/>
                <w:w w:val="99"/>
              </w:rPr>
              <w:t>Depreciation of tangible property and equipment</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6500" w:type="dxa"/>
            <w:vAlign w:val="bottom"/>
            <w:vMerge w:val="continue"/>
          </w:tcPr>
          <w:p>
            <w:pPr>
              <w:jc w:val="right"/>
              <w:ind w:right="120"/>
              <w:spacing w:after="0" w:line="177" w:lineRule="exact"/>
              <w:rPr>
                <w:sz w:val="20"/>
                <w:szCs w:val="20"/>
                <w:color w:val="auto"/>
              </w:rPr>
            </w:pPr>
            <w:r>
              <w:rPr>
                <w:rFonts w:ascii="Times New Roman" w:cs="Times New Roman" w:eastAsia="Times New Roman" w:hAnsi="Times New Roman"/>
                <w:sz w:val="20"/>
                <w:szCs w:val="20"/>
                <w:color w:val="auto"/>
              </w:rPr>
              <w:t>. . . . . . . . . . . . . . . . . . . . . . . . .</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$ 1,544</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6.1</w:t>
            </w:r>
          </w:p>
        </w:tc>
        <w:tc>
          <w:tcPr>
            <w:tcW w:w="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$ 1,292</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5.9</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Depletion of landfill airspace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Amortization of intangible assets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rPr>
              <w:t>$ 2,863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11.4</w:t>
            </w:r>
          </w:p>
        </w:tc>
        <w:tc>
          <w:tcPr>
            <w:tcW w:w="32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rPr>
              <w:t>$ 2,267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10.3</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increase in depreciation of tangible property and equipment was primarily due to our recent acquisitions and increased investments in capital assets such as equipment, primarily within our sustainability businesses, and trucks. The increase in depletion of landfill airspace from prior year was primarily due to increased volumes at our landfills, particularly in our West Tier, and changes in amortization rates from revisions in landfill estimates. The increase in amortization of intangible assets from prior year was primarily due to the incremental amortization of customer relationships and other intangibles acquired as part of the Stericycle acquisition.</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Restructuring charges for the year ended December 31, 2025 were primarily due to employee costs related to integration of our acquisition of Stericycle as well as employee retention and severance costs incurred to support automation at our recycling facilities and in certain back-office functions.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4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(gain) loss from divestitures, asset impairments and unusual items, net for the year ended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vMerge w:val="restart"/>
          </w:tcPr>
          <w:p>
            <w:pPr>
              <w:jc w:val="right"/>
              <w:ind w:right="5180"/>
              <w:spacing w:after="0"/>
              <w:rPr>
                <w:sz w:val="20"/>
                <w:szCs w:val="20"/>
                <w:color w:val="auto"/>
              </w:rPr>
            </w:pPr>
            <w:r>
              <w:rPr>
                <w:rFonts w:ascii="Times New Roman" w:cs="Times New Roman" w:eastAsia="Times New Roman" w:hAnsi="Times New Roman"/>
                <w:sz w:val="20"/>
                <w:szCs w:val="20"/>
                <w:color w:val="auto"/>
                <w:w w:val="99"/>
              </w:rPr>
              <w:t>Gain from divestitures, net</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4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w:t>
            </w:r>
          </w:p>
        </w:tc>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Asset impairments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Other, net . . . . . .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2025, we recognized $248 million of net charges primarily consisting of (i) a $160 million impairment charge related to the decision to temporarily suspend the operations of a business engaged in</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720"/>
          </w:cols>
          <w:pgMar w:left="1080" w:top="1066" w:right="1080" w:bottom="542" w:gutter="0" w:footer="0" w:header="0"/>
          <w:type w:val="continuous"/>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0"/>
          <w:szCs w:val="20"/>
          <w:color w:val="auto"/>
        </w:rPr>
        <w:t>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(iii) a $16 million goodwill impairment charge related to a business engaged in oil recovery and sludge processing services reflected in Other Ancillary within our Collection and Disposal businesses and (iv) $11 million negotiated payment for early termination of a contract in our Renewable Energy segment.</w:t>
      </w:r>
    </w:p>
    <w:p>
      <w:pPr>
        <w:spacing w:after="0" w:line="20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segment to adjust an indirect wholly-owned subsidiary’s estimated potential share of the liability for a proposed environmental remediation plan at a closed site.</w:t>
      </w:r>
    </w:p>
    <w:p>
      <w:pPr>
        <w:spacing w:after="0" w:line="20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Operations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income from operations for the year ended December 31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8"/>
              </w:rPr>
              <w:t>Period-to-</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40" w:type="dxa"/>
            <w:vAlign w:val="bottom"/>
            <w:vMerge w:val="restart"/>
          </w:tcPr>
          <w:p>
            <w:pPr>
              <w:jc w:val="right"/>
              <w:ind w:right="2760"/>
              <w:spacing w:after="0"/>
              <w:rPr>
                <w:sz w:val="20"/>
                <w:szCs w:val="20"/>
                <w:color w:val="auto"/>
              </w:rPr>
            </w:pPr>
            <w:r>
              <w:rPr>
                <w:rFonts w:ascii="Times New Roman" w:cs="Times New Roman" w:eastAsia="Times New Roman" w:hAnsi="Times New Roman"/>
                <w:sz w:val="20"/>
                <w:szCs w:val="20"/>
                <w:color w:val="auto"/>
                <w:w w:val="99"/>
              </w:rPr>
              <w:t>Collection and Disposal:</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East Tier . . . . . . . . . . . . . . . . . . . . . . . .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w:t>
            </w:r>
          </w:p>
        </w:tc>
        <w:tc>
          <w:tcPr>
            <w:tcW w:w="26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w:t>
            </w:r>
          </w:p>
        </w:tc>
        <w:tc>
          <w:tcPr>
            <w:tcW w:w="2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4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0" w:type="dxa"/>
            <w:vAlign w:val="bottom"/>
          </w:tcPr>
          <w:p>
            <w:pPr>
              <w:spacing w:after="0"/>
              <w:rPr>
                <w:sz w:val="1"/>
                <w:szCs w:val="1"/>
                <w:color w:val="auto"/>
              </w:rPr>
            </w:pPr>
          </w:p>
        </w:tc>
      </w:tr>
      <w:tr>
        <w:trPr>
          <w:trHeight w:val="229"/>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West Tier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Other Ancillary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40" w:type="dxa"/>
            <w:vAlign w:val="bottom"/>
          </w:tcPr>
          <w:p>
            <w:pPr>
              <w:jc w:val="right"/>
              <w:ind w:right="180"/>
              <w:spacing w:after="0" w:line="201" w:lineRule="exact"/>
              <w:rPr>
                <w:sz w:val="20"/>
                <w:szCs w:val="20"/>
                <w:color w:val="auto"/>
              </w:rPr>
            </w:pPr>
            <w:r>
              <w:rPr>
                <w:rFonts w:ascii="Times New Roman" w:cs="Times New Roman" w:eastAsia="Times New Roman" w:hAnsi="Times New Roman"/>
                <w:sz w:val="20"/>
                <w:szCs w:val="20"/>
                <w:color w:val="auto"/>
              </w:rPr>
              <w:t>. . . . . . . . . . . . . . . . . . . . . . . . . . .CollectionandDisposal</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5,777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5,444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333</w:t>
            </w:r>
          </w:p>
        </w:tc>
        <w:tc>
          <w:tcPr>
            <w:tcW w:w="44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Recycling Processing and Sales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5"/>
              </w:rPr>
              <w:t>Renewable Energy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Healthcare Solutions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Corporate and Other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(1,497)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245</w:t>
            </w:r>
          </w:p>
        </w:tc>
        <w:tc>
          <w:tcPr>
            <w:tcW w:w="440" w:type="dxa"/>
            <w:vAlign w:val="bottom"/>
          </w:tcPr>
          <w:p>
            <w:pPr>
              <w:spacing w:after="0"/>
              <w:rPr>
                <w:sz w:val="19"/>
                <w:szCs w:val="19"/>
                <w:color w:val="auto"/>
              </w:rPr>
            </w:pPr>
          </w:p>
        </w:tc>
        <w:tc>
          <w:tcPr>
            <w:tcW w:w="7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6.0 %</w:t>
            </w:r>
          </w:p>
        </w:tc>
        <w:tc>
          <w:tcPr>
            <w:tcW w:w="0" w:type="dxa"/>
            <w:vAlign w:val="bottom"/>
          </w:tcPr>
          <w:p>
            <w:pPr>
              <w:spacing w:after="0"/>
              <w:rPr>
                <w:sz w:val="1"/>
                <w:szCs w:val="1"/>
                <w:color w:val="auto"/>
              </w:rPr>
            </w:pPr>
          </w:p>
        </w:tc>
      </w:tr>
      <w:tr>
        <w:trPr>
          <w:trHeight w:val="242"/>
        </w:trPr>
        <w:tc>
          <w:tcPr>
            <w:tcW w:w="4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.Percentageofrevenues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ind w:left="360" w:hanging="353"/>
        <w:spacing w:after="0"/>
        <w:tabs>
          <w:tab w:leader="none" w:pos="3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change does not provide a meaningful comparison.</w:t>
      </w:r>
    </w:p>
    <w:p>
      <w:pPr>
        <w:spacing w:after="0" w:line="240"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Significant items affecting the comparison of income from operations for our segments between the reported periods include:</w:t>
      </w:r>
    </w:p>
    <w:p>
      <w:pPr>
        <w:spacing w:after="0" w:line="181" w:lineRule="exact"/>
        <w:rPr>
          <w:sz w:val="20"/>
          <w:szCs w:val="20"/>
          <w:color w:val="auto"/>
        </w:rPr>
      </w:pPr>
    </w:p>
    <w:p>
      <w:pPr>
        <w:jc w:val="both"/>
        <w:ind w:left="720" w:hanging="353"/>
        <w:spacing w:after="0" w:line="246" w:lineRule="auto"/>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Collection and Disposal — </w:t>
      </w:r>
      <w:r>
        <w:rPr>
          <w:rFonts w:ascii="Times New Roman" w:cs="Times New Roman" w:eastAsia="Times New Roman" w:hAnsi="Times New Roman"/>
          <w:sz w:val="20"/>
          <w:szCs w:val="20"/>
          <w:color w:val="auto"/>
        </w:rPr>
        <w:t>Income from operations in our Collection and Disposal businesses increased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due to (i) revenue growth from price increases, which translate into increased yield or average unit price; (ii) actions to improve the efficiency and operating costs incurred to serve our customers and (iii) elevated special waste volume in our West Tier, which was favorably impacted by the wildfire clean-up activities. These increases were partially offset by higher depreciation and depletion costs, as discussed in Depreciation, Depletion and Amortization Expenses above, as well as a decrease on the gains on the sale of non-strategic assets when compared to prior year.</w:t>
      </w:r>
    </w:p>
    <w:p>
      <w:pPr>
        <w:spacing w:after="0" w:line="92" w:lineRule="exact"/>
        <w:rPr>
          <w:rFonts w:ascii="Arial" w:cs="Arial" w:eastAsia="Arial" w:hAnsi="Arial"/>
          <w:sz w:val="20"/>
          <w:szCs w:val="20"/>
          <w:color w:val="auto"/>
        </w:rPr>
      </w:pPr>
    </w:p>
    <w:p>
      <w:pPr>
        <w:jc w:val="both"/>
        <w:ind w:left="720" w:hanging="353"/>
        <w:spacing w:after="0" w:line="270" w:lineRule="auto"/>
        <w:tabs>
          <w:tab w:leader="none" w:pos="720" w:val="left"/>
        </w:tabs>
        <w:numPr>
          <w:ilvl w:val="0"/>
          <w:numId w:val="9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Recycling Processing and Sales </w:t>
      </w:r>
      <w:r>
        <w:rPr>
          <w:rFonts w:ascii="Times New Roman" w:cs="Times New Roman" w:eastAsia="Times New Roman" w:hAnsi="Times New Roman"/>
          <w:sz w:val="19"/>
          <w:szCs w:val="19"/>
          <w:color w:val="auto"/>
        </w:rPr>
        <w:t>— Income from operations in our Recycling Processing and Sales segment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decreased primarily due to a $160 million impairment charge related to the decision to temporarily suspend the operations of a business engaged in accelerating plastic film and wrap recycling capabilities due to significant deterioration of market pricing and demand for post-consumer plastics and declining commodity prices compared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720"/>
          </w:cols>
          <w:pgMar w:left="1080" w:top="1066" w:right="1080" w:bottom="542" w:gutter="0" w:footer="0" w:header="0"/>
          <w:type w:val="continuous"/>
        </w:sectPr>
      </w:pPr>
    </w:p>
    <w:bookmarkStart w:id="140" w:name="page141"/>
    <w:bookmarkEnd w:id="140"/>
    <w:p>
      <w:pPr>
        <w:jc w:val="both"/>
        <w:ind w:left="720"/>
        <w:spacing w:after="0" w:line="259" w:lineRule="auto"/>
        <w:rPr>
          <w:sz w:val="20"/>
          <w:szCs w:val="20"/>
          <w:color w:val="auto"/>
        </w:rPr>
      </w:pPr>
      <w:r>
        <w:rPr>
          <w:rFonts w:ascii="Times New Roman" w:cs="Times New Roman" w:eastAsia="Times New Roman" w:hAnsi="Times New Roman"/>
          <w:sz w:val="20"/>
          <w:szCs w:val="20"/>
          <w:color w:val="auto"/>
        </w:rPr>
        <w:t>to prior year. This decrease was partially offset by increased volumes, which can be attributed to the improved throughput of our facilities, the addition of new market facilities and improved operating costs from the automation of our recycling facilities.</w:t>
      </w:r>
    </w:p>
    <w:p>
      <w:pPr>
        <w:spacing w:after="0" w:line="121" w:lineRule="exact"/>
        <w:rPr>
          <w:sz w:val="20"/>
          <w:szCs w:val="20"/>
          <w:color w:val="auto"/>
        </w:rPr>
      </w:pPr>
    </w:p>
    <w:p>
      <w:pPr>
        <w:jc w:val="both"/>
        <w:ind w:left="720" w:hanging="353"/>
        <w:spacing w:after="0" w:line="258"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Renewable Energy </w:t>
      </w:r>
      <w:r>
        <w:rPr>
          <w:rFonts w:ascii="Times New Roman" w:cs="Times New Roman" w:eastAsia="Times New Roman" w:hAnsi="Times New Roman"/>
          <w:sz w:val="20"/>
          <w:szCs w:val="20"/>
          <w:color w:val="auto"/>
        </w:rPr>
        <w:t>— Income from operations in our Renewable Energy segment increased primarily due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volumes resulting from the completion of projects that increase the beneficial use of landfill gas sold to third parties and higher electricity pricing.</w:t>
      </w:r>
    </w:p>
    <w:p>
      <w:pPr>
        <w:spacing w:after="0" w:line="121"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Healthcare Solutions — </w:t>
      </w:r>
      <w:r>
        <w:rPr>
          <w:rFonts w:ascii="Times New Roman" w:cs="Times New Roman" w:eastAsia="Times New Roman" w:hAnsi="Times New Roman"/>
          <w:sz w:val="20"/>
          <w:szCs w:val="20"/>
          <w:color w:val="auto"/>
        </w:rPr>
        <w:t>The positive earnings contributions from the Healthcare Solutions business were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offset by depreciation and amortization expenses and integration related expenses, driving a loss in both periods.</w:t>
      </w:r>
    </w:p>
    <w:p>
      <w:pPr>
        <w:spacing w:after="0" w:line="118" w:lineRule="exact"/>
        <w:rPr>
          <w:rFonts w:ascii="Arial" w:cs="Arial" w:eastAsia="Arial" w:hAnsi="Arial"/>
          <w:sz w:val="20"/>
          <w:szCs w:val="20"/>
          <w:color w:val="auto"/>
        </w:rPr>
      </w:pPr>
    </w:p>
    <w:p>
      <w:pPr>
        <w:ind w:left="720" w:hanging="353"/>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Corporate and Other </w:t>
      </w:r>
      <w:r>
        <w:rPr>
          <w:rFonts w:ascii="Times New Roman" w:cs="Times New Roman" w:eastAsia="Times New Roman" w:hAnsi="Times New Roman"/>
          <w:sz w:val="20"/>
          <w:szCs w:val="20"/>
          <w:color w:val="auto"/>
        </w:rPr>
        <w:t>— Income from operations in our Corporate and Other segment increased primarily due to</w:t>
      </w:r>
    </w:p>
    <w:p>
      <w:pPr>
        <w:spacing w:after="0" w:line="27" w:lineRule="exact"/>
        <w:rPr>
          <w:rFonts w:ascii="Arial" w:cs="Arial" w:eastAsia="Arial" w:hAnsi="Arial"/>
          <w:sz w:val="20"/>
          <w:szCs w:val="20"/>
          <w:color w:val="auto"/>
        </w:rPr>
      </w:pPr>
    </w:p>
    <w:p>
      <w:pPr>
        <w:ind w:left="960" w:hanging="233"/>
        <w:spacing w:after="0"/>
        <w:tabs>
          <w:tab w:leader="none" w:pos="9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transaction costs incurred in the prior year in connection with our Stericycle acquisition;</w:t>
      </w:r>
    </w:p>
    <w:p>
      <w:pPr>
        <w:jc w:val="both"/>
        <w:ind w:left="720" w:firstLine="7"/>
        <w:spacing w:after="0" w:line="243" w:lineRule="auto"/>
        <w:tabs>
          <w:tab w:leader="none" w:pos="101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annual incentive compensation, and (iii) a decline in risk management expenses. The increase was partially offset by (i) annual employee wage increases; (ii) higher long term incentive compensation and (iii) increases in consulting fees driven by integration and business optimization activities related to the acquisition of Stericycle.</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4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interest expense, net was $912 million and $598 million in 2025 and 2024, respectively. The increase in interest expense, net was primarily related to an increase in our average debt balances and borrowing rates resulting from debt incurred to fund our acquisition of Stericycle. See Note 6 to the Consolidated Financial Statements for more information related to our debt balances.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recorded income tax expense of $717 million and $713 million in 2025 and 2024, respectively, resulting in effective income tax rates of 20.9% and 20.6% for the years ended December 31, 2025 and 2024, respectively. The comparability of our income tax expense for the reported periods has been primarily affected by the following:</w:t>
      </w:r>
    </w:p>
    <w:p>
      <w:pPr>
        <w:spacing w:after="0" w:line="200" w:lineRule="exact"/>
        <w:rPr>
          <w:sz w:val="20"/>
          <w:szCs w:val="20"/>
          <w:color w:val="auto"/>
        </w:rPr>
      </w:pPr>
    </w:p>
    <w:p>
      <w:pPr>
        <w:jc w:val="both"/>
        <w:ind w:left="720" w:hanging="353"/>
        <w:spacing w:after="0" w:line="247"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Renewable Natural Gas — </w:t>
      </w:r>
      <w:r>
        <w:rPr>
          <w:rFonts w:ascii="Times New Roman" w:cs="Times New Roman" w:eastAsia="Times New Roman" w:hAnsi="Times New Roman"/>
          <w:sz w:val="20"/>
          <w:szCs w:val="20"/>
          <w:color w:val="auto"/>
        </w:rPr>
        <w:t>Through our Renewable Energy segment, we have invested in building landfill gas-to-energy facilities in the U.S. and Canada that produce renewable electricity and RNG. We expect our new RNG facilities to qualify for federal tax credits and to realize those credits through 2027 under Section 48 of the Internal Revenue Code. We completed construction of seven RNG facilities in 2025 and five RNG facilities in 2024, resulting in a reduction to our income tax expense of $184 million and $137 million, respectively (additional information related to these tax credits is included below under the Tax Legislation section);</w:t>
      </w:r>
    </w:p>
    <w:p>
      <w:pPr>
        <w:spacing w:after="0" w:line="93" w:lineRule="exact"/>
        <w:rPr>
          <w:rFonts w:ascii="Arial" w:cs="Arial" w:eastAsia="Arial" w:hAnsi="Arial"/>
          <w:sz w:val="20"/>
          <w:szCs w:val="20"/>
          <w:color w:val="auto"/>
        </w:rPr>
      </w:pPr>
    </w:p>
    <w:p>
      <w:pPr>
        <w:jc w:val="both"/>
        <w:ind w:left="720" w:hanging="353"/>
        <w:spacing w:after="0" w:line="249"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Low-Income Housing </w:t>
      </w:r>
      <w:r>
        <w:rPr>
          <w:rFonts w:ascii="Times New Roman" w:cs="Times New Roman" w:eastAsia="Times New Roman" w:hAnsi="Times New Roman"/>
          <w:sz w:val="20"/>
          <w:szCs w:val="20"/>
          <w:color w:val="auto"/>
        </w:rPr>
        <w:t>— During the years ended December 31, 2025 and 2024, we recognized income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of $96 million and $78 million, respectively, related to amortization under ASU 2023-02, and a reduction in our income tax expense of $137 million and $104 million, respectively, primarily due to federal tax credits realized from these investments. See Notes 2, 8, and 18 to the Consolidated Financial Statements for additional information related to these unconsolidated variable interest entities;</w:t>
      </w:r>
    </w:p>
    <w:p>
      <w:pPr>
        <w:spacing w:after="0" w:line="90" w:lineRule="exact"/>
        <w:rPr>
          <w:rFonts w:ascii="Arial" w:cs="Arial" w:eastAsia="Arial" w:hAnsi="Arial"/>
          <w:sz w:val="20"/>
          <w:szCs w:val="20"/>
          <w:color w:val="auto"/>
        </w:rPr>
      </w:pPr>
    </w:p>
    <w:p>
      <w:pPr>
        <w:jc w:val="both"/>
        <w:ind w:left="720" w:hanging="353"/>
        <w:spacing w:after="0" w:line="252"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Tax Implications of Impairments </w:t>
      </w:r>
      <w:r>
        <w:rPr>
          <w:rFonts w:ascii="Times New Roman" w:cs="Times New Roman" w:eastAsia="Times New Roman" w:hAnsi="Times New Roman"/>
          <w:sz w:val="20"/>
          <w:szCs w:val="20"/>
          <w:color w:val="auto"/>
        </w:rPr>
        <w:t>— During the year ended December 31, 2024, we recognized additional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 expense of $14 million due to non-cash impairment charges that were not deductible for tax purposes in the year of impairment. See Note 11 to the Consolidated Financial Statements for more information related to our impairment charges; and</w:t>
      </w:r>
    </w:p>
    <w:p>
      <w:pPr>
        <w:spacing w:after="0" w:line="88"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Tax Legislation </w:t>
      </w:r>
      <w:r>
        <w:rPr>
          <w:rFonts w:ascii="Times New Roman" w:cs="Times New Roman" w:eastAsia="Times New Roman" w:hAnsi="Times New Roman"/>
          <w:sz w:val="20"/>
          <w:szCs w:val="20"/>
          <w:color w:val="auto"/>
        </w:rPr>
        <w:t>— On July 4, 2025, President Trump signed the One Big Beautiful Bill Act (the “OBBBA”) into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law. We have evaluated the business tax provisions in the legislation, none of which had a material impact on our effective tax rate. However, we had a beneficial impact to cash taxes related to bonus depreciation.</w:t>
      </w:r>
    </w:p>
    <w:p>
      <w:pPr>
        <w:spacing w:after="0" w:line="187"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The Inflation Reduction Act of 2022 (“IRA”) contains several tax-related provisions, including with respect to</w:t>
      </w:r>
    </w:p>
    <w:p>
      <w:pPr>
        <w:spacing w:after="0" w:line="28"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Times New Roman" w:cs="Times New Roman" w:eastAsia="Times New Roman" w:hAnsi="Times New Roman"/>
          <w:sz w:val="19"/>
          <w:szCs w:val="19"/>
          <w:color w:val="auto"/>
        </w:rPr>
        <w:t>(i) alternative fuel tax credits; (ii) tax incentives for investments in renewable energy production, carbon capture,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720"/>
          </w:cols>
          <w:pgMar w:left="1080" w:top="1066" w:right="1080" w:bottom="542" w:gutter="0" w:footer="0" w:header="0"/>
          <w:type w:val="continuous"/>
        </w:sectPr>
      </w:pPr>
    </w:p>
    <w:bookmarkStart w:id="141" w:name="page142"/>
    <w:bookmarkEnd w:id="141"/>
    <w:p>
      <w:pPr>
        <w:jc w:val="both"/>
        <w:ind w:left="720"/>
        <w:spacing w:after="0" w:line="243" w:lineRule="auto"/>
        <w:rPr>
          <w:sz w:val="20"/>
          <w:szCs w:val="20"/>
          <w:color w:val="auto"/>
        </w:rPr>
      </w:pPr>
      <w:r>
        <w:rPr>
          <w:rFonts w:ascii="Times New Roman" w:cs="Times New Roman" w:eastAsia="Times New Roman" w:hAnsi="Times New Roman"/>
          <w:sz w:val="20"/>
          <w:szCs w:val="20"/>
          <w:color w:val="auto"/>
        </w:rPr>
        <w:t>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secured approximately $60 million of annual pre-tax benefit (recorded as a reduction in our operating expense) from tax credits in 2024. The alternative fuel credit expired at the end of 2024 and will not provide any future benefit to the Company without further legislative action. With respect to the investment tax credit, we expect the cumulative benefit to be between $400 million and $425 million, the remainder of which we expect to recognize through 2027. The expected benefit from the investment tax credit is dependent on a number of estimates and assumptions, including the timing of project completion. Finally, we believe that the production tax credit incentives for investments in renewable energy and carbon capture, as expanded by the IRA, may result in an incremental benefit to the Company, although at this time, the anticipated amount of such benefit has not been quantified due, in part, to the lack of regulatory guidance.</w:t>
      </w:r>
    </w:p>
    <w:p>
      <w:pPr>
        <w:spacing w:after="0" w:line="84" w:lineRule="exact"/>
        <w:rPr>
          <w:sz w:val="20"/>
          <w:szCs w:val="20"/>
          <w:color w:val="auto"/>
        </w:rPr>
      </w:pPr>
    </w:p>
    <w:p>
      <w:pPr>
        <w:ind w:left="160" w:right="1100" w:firstLine="576"/>
        <w:spacing w:after="0" w:line="403" w:lineRule="auto"/>
        <w:rPr>
          <w:sz w:val="20"/>
          <w:szCs w:val="20"/>
          <w:color w:val="auto"/>
        </w:rPr>
      </w:pPr>
      <w:r>
        <w:rPr>
          <w:rFonts w:ascii="Times New Roman" w:cs="Times New Roman" w:eastAsia="Times New Roman" w:hAnsi="Times New Roman"/>
          <w:sz w:val="20"/>
          <w:szCs w:val="20"/>
          <w:color w:val="auto"/>
        </w:rPr>
        <w:t xml:space="preserve">See Note 8 to the Consolidated Financial Statements for more information related to income taxes. </w:t>
      </w:r>
      <w:r>
        <w:rPr>
          <w:rFonts w:ascii="Times New Roman" w:cs="Times New Roman" w:eastAsia="Times New Roman" w:hAnsi="Times New Roman"/>
          <w:sz w:val="20"/>
          <w:szCs w:val="20"/>
          <w:b w:val="1"/>
          <w:bCs w:val="1"/>
          <w:i w:val="1"/>
          <w:iCs w:val="1"/>
          <w:color w:val="auto"/>
        </w:rPr>
        <w:t>Landfill and Environmental Remediation Discussion and Analysis</w:t>
      </w:r>
    </w:p>
    <w:p>
      <w:pPr>
        <w:spacing w:after="0" w:line="4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owned or operated 253 solid waste landfills and four hazardous waste landfills as of December 31, 2025 and 257 solid waste landfills and five hazardous waste landfills as of December 31, 2024. For these landfills, the following table reflects changes in capacity, as measured in tons of waste, for the year ended December 31 and remaining airspace, measured in cubic yards of waste, as of December 31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Permitted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Expansion</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Permitted</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Expansion</w:t>
            </w: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as of beginning of year (in tons)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0" w:type="dxa"/>
            <w:vAlign w:val="bottom"/>
          </w:tcPr>
          <w:p>
            <w:pPr>
              <w:spacing w:after="0"/>
              <w:rPr>
                <w:sz w:val="1"/>
                <w:szCs w:val="1"/>
                <w:color w:val="auto"/>
              </w:rPr>
            </w:pPr>
          </w:p>
        </w:tc>
      </w:tr>
      <w:tr>
        <w:trPr>
          <w:trHeight w:val="202"/>
        </w:trPr>
        <w:tc>
          <w:tcPr>
            <w:tcW w:w="434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w:t>
            </w: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5,174</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5,339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5,211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5,372</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Acquisitions, divestitures, newly permitted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landfills and closures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Changes in expansions pursued (a) . . . . . . . . . . . . .</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Expansion permits granted (b)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4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Depletable tons received . . . . . . . . . . . . . . . . . . . . .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(129)</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(129)</w:t>
            </w:r>
          </w:p>
        </w:tc>
        <w:tc>
          <w:tcPr>
            <w:tcW w:w="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50"/>
        </w:trPr>
        <w:tc>
          <w:tcPr>
            <w:tcW w:w="4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Changes in engineering estimates and other (c) . .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 . . . . . . . . . .Balanceasofendofyear(intons)(d)</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5,102</w:t>
            </w:r>
          </w:p>
        </w:tc>
        <w:tc>
          <w:tcPr>
            <w:tcW w:w="1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5,242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5,339</w:t>
            </w:r>
          </w:p>
        </w:tc>
        <w:tc>
          <w:tcPr>
            <w:tcW w:w="0" w:type="dxa"/>
            <w:vAlign w:val="bottom"/>
          </w:tcPr>
          <w:p>
            <w:pPr>
              <w:spacing w:after="0"/>
              <w:rPr>
                <w:sz w:val="1"/>
                <w:szCs w:val="1"/>
                <w:color w:val="auto"/>
              </w:rPr>
            </w:pPr>
          </w:p>
        </w:tc>
      </w:tr>
      <w:tr>
        <w:trPr>
          <w:trHeight w:val="242"/>
        </w:trPr>
        <w:tc>
          <w:tcPr>
            <w:tcW w:w="43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Balance as of end of year (in cubic yards) (d) . . . . .</w:t>
            </w: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4,982</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5,049</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jc w:val="both"/>
        <w:ind w:left="360" w:hanging="353"/>
        <w:spacing w:after="0" w:line="278" w:lineRule="auto"/>
        <w:tabs>
          <w:tab w:leader="none" w:pos="36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50" w:lineRule="exact"/>
        <w:rPr>
          <w:rFonts w:ascii="Times New Roman" w:cs="Times New Roman" w:eastAsia="Times New Roman" w:hAnsi="Times New Roman"/>
          <w:sz w:val="19"/>
          <w:szCs w:val="19"/>
          <w:color w:val="auto"/>
        </w:rPr>
      </w:pPr>
    </w:p>
    <w:p>
      <w:pPr>
        <w:jc w:val="both"/>
        <w:ind w:left="360" w:hanging="353"/>
        <w:spacing w:after="0" w:line="258" w:lineRule="auto"/>
        <w:tabs>
          <w:tab w:leader="none" w:pos="3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received expansion permits at 13 of our landfills during 2025 and 11 of our landfills during 2024, demonstrating our continued success in working with municipalities and regulatory agencies to expand the disposal airspace of our existing landfills.</w:t>
      </w:r>
    </w:p>
    <w:p>
      <w:pPr>
        <w:spacing w:after="0" w:line="68" w:lineRule="exact"/>
        <w:rPr>
          <w:rFonts w:ascii="Times New Roman" w:cs="Times New Roman" w:eastAsia="Times New Roman" w:hAnsi="Times New Roman"/>
          <w:sz w:val="20"/>
          <w:szCs w:val="20"/>
          <w:color w:val="auto"/>
        </w:rPr>
      </w:pPr>
    </w:p>
    <w:p>
      <w:pPr>
        <w:jc w:val="both"/>
        <w:ind w:left="360" w:hanging="353"/>
        <w:spacing w:after="0" w:line="244" w:lineRule="auto"/>
        <w:tabs>
          <w:tab w:leader="none" w:pos="3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84"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2 to the Consolidated Financial Statements for discussion of converting remaining cubic yards of airspace to tons of capacity.</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720"/>
          </w:cols>
          <w:pgMar w:left="1080" w:top="1066" w:right="1080" w:bottom="542" w:gutter="0" w:footer="0" w:header="0"/>
          <w:type w:val="continuous"/>
        </w:sectPr>
      </w:pPr>
    </w:p>
    <w:bookmarkStart w:id="142" w:name="page143"/>
    <w:bookmarkEnd w:id="142"/>
    <w:p>
      <w:pPr>
        <w:ind w:left="360"/>
        <w:spacing w:after="0"/>
        <w:rPr>
          <w:sz w:val="20"/>
          <w:szCs w:val="20"/>
          <w:color w:val="auto"/>
        </w:rPr>
      </w:pPr>
      <w:r>
        <w:rPr>
          <w:rFonts w:ascii="Times New Roman" w:cs="Times New Roman" w:eastAsia="Times New Roman" w:hAnsi="Times New Roman"/>
          <w:sz w:val="20"/>
          <w:szCs w:val="20"/>
          <w:color w:val="auto"/>
        </w:rPr>
        <w:t>The depletable tons received at our landfills for the year ended December 31 are shown below (tons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5"/>
              </w:rPr>
              <w:t>Depletable</w:t>
            </w: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Tons per</w:t>
            </w:r>
          </w:p>
        </w:tc>
        <w:tc>
          <w:tcPr>
            <w:tcW w:w="1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Depletable</w:t>
            </w: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Tons per</w:t>
            </w:r>
          </w:p>
        </w:tc>
        <w:tc>
          <w:tcPr>
            <w:tcW w:w="0" w:type="dxa"/>
            <w:vAlign w:val="bottom"/>
          </w:tcPr>
          <w:p>
            <w:pPr>
              <w:spacing w:after="0"/>
              <w:rPr>
                <w:sz w:val="1"/>
                <w:szCs w:val="1"/>
                <w:color w:val="auto"/>
              </w:rPr>
            </w:pPr>
          </w:p>
        </w:tc>
      </w:tr>
      <w:tr>
        <w:trPr>
          <w:trHeight w:val="204"/>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Solid waste landfills (a)</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Sites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Tons</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Day</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Sites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Tons</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Day</w:t>
            </w:r>
          </w:p>
        </w:tc>
        <w:tc>
          <w:tcPr>
            <w:tcW w:w="0" w:type="dxa"/>
            <w:vAlign w:val="bottom"/>
          </w:tcPr>
          <w:p>
            <w:pPr>
              <w:spacing w:after="0"/>
              <w:rPr>
                <w:sz w:val="1"/>
                <w:szCs w:val="1"/>
                <w:color w:val="auto"/>
              </w:rPr>
            </w:pPr>
          </w:p>
        </w:tc>
      </w:tr>
      <w:tr>
        <w:trPr>
          <w:trHeight w:val="202"/>
        </w:trPr>
        <w:tc>
          <w:tcPr>
            <w:tcW w:w="5360" w:type="dxa"/>
            <w:vAlign w:val="bottom"/>
            <w:vMerge w:val="continue"/>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127,698</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470</w:t>
            </w:r>
          </w:p>
        </w:tc>
        <w:tc>
          <w:tcPr>
            <w:tcW w:w="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124,271</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51"/>
        </w:trPr>
        <w:tc>
          <w:tcPr>
            <w:tcW w:w="5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Hazardous waste landfills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9"/>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Solid waste landfills closed, divested, held for sale, or lease or</w:t>
            </w:r>
          </w:p>
        </w:tc>
        <w:tc>
          <w:tcPr>
            <w:tcW w:w="4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128,385</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473</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124,897</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458</w:t>
            </w:r>
          </w:p>
        </w:tc>
        <w:tc>
          <w:tcPr>
            <w:tcW w:w="0" w:type="dxa"/>
            <w:vAlign w:val="bottom"/>
          </w:tcPr>
          <w:p>
            <w:pPr>
              <w:spacing w:after="0"/>
              <w:rPr>
                <w:sz w:val="1"/>
                <w:szCs w:val="1"/>
                <w:color w:val="auto"/>
              </w:rPr>
            </w:pPr>
          </w:p>
        </w:tc>
      </w:tr>
      <w:tr>
        <w:trPr>
          <w:trHeight w:val="212"/>
        </w:trPr>
        <w:tc>
          <w:tcPr>
            <w:tcW w:w="53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contractual agreement expired during related year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128,819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125,010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As of December 31, 2025 and 2024, we had 16 and 15 landfills, respectively, which were not accepting waste.</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we owned or managed 244 sites that are either in closure or post-closure, have received a certification post-closure, or are regulated under a remedial action plan.</w:t>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Based on remaining permitted airspace as of December 31, 2025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15 of our landfills that meet the expansion criteria outlined in the </w:t>
      </w:r>
      <w:r>
        <w:rPr>
          <w:rFonts w:ascii="Times New Roman" w:cs="Times New Roman" w:eastAsia="Times New Roman" w:hAnsi="Times New Roman"/>
          <w:sz w:val="20"/>
          <w:szCs w:val="20"/>
          <w:i w:val="1"/>
          <w:iCs w:val="1"/>
          <w:color w:val="auto"/>
        </w:rPr>
        <w:t xml:space="preserve">Critical Accounting Estimates and Assumptions — Landfills </w:t>
      </w:r>
      <w:r>
        <w:rPr>
          <w:rFonts w:ascii="Times New Roman" w:cs="Times New Roman" w:eastAsia="Times New Roman" w:hAnsi="Times New Roman"/>
          <w:sz w:val="20"/>
          <w:szCs w:val="20"/>
          <w:color w:val="auto"/>
        </w:rPr>
        <w:t>section below. Although no assurances can be made that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202"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number of landfills owned or operated as of December 31, 2025, segregated by their estimated operating lives based on remaining permitted and expansion airspace and projected annual disposal volume,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0 to 5 years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Landfills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0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 .</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6 to 10 years . . . . . . . . . . . . . . .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11 to 20 years . . . . . . . . . . . . . .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21 to 40 years . . . . . . . . . . . . . .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41+ years . . . . . . . . . . . . . . . . . . . . . . . . . . . . . . . . . . . . . . . . . . . . . . . . . . . . . . . . . . . . . . . . . . . . . . . . . . . .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8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257</w:t>
            </w:r>
          </w:p>
        </w:tc>
        <w:tc>
          <w:tcPr>
            <w:tcW w:w="2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w w:val="89"/>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1" w:lineRule="exact"/>
        <w:rPr>
          <w:sz w:val="20"/>
          <w:szCs w:val="20"/>
          <w:color w:val="auto"/>
        </w:rPr>
      </w:pPr>
    </w:p>
    <w:p>
      <w:pPr>
        <w:jc w:val="both"/>
        <w:ind w:left="360" w:hanging="353"/>
        <w:spacing w:after="0" w:line="258"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257 landfills, 219 are owned, 26 are operated under lease agreements and 12 are operated under other contractual agreements. For the landfills not owned, we are usually responsible for final capping, closure and post-closure obligations.</w:t>
      </w:r>
    </w:p>
    <w:p>
      <w:pPr>
        <w:spacing w:after="0" w:line="188"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Landfill Assets — </w:t>
      </w:r>
      <w:r>
        <w:rPr>
          <w:rFonts w:ascii="Times New Roman" w:cs="Times New Roman" w:eastAsia="Times New Roman" w:hAnsi="Times New Roman"/>
          <w:sz w:val="19"/>
          <w:szCs w:val="19"/>
          <w:color w:val="auto"/>
        </w:rPr>
        <w:t>We capitalize various costs that we incur to prepare a landfill to accept waste. These costs generally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 -site road construction and other capital infrastructure costs. The cost basis of our landfill assets also includes estimates of future costs associated with landfill final capping, closure and post-closure activities, which are discussed further below.</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720"/>
          </w:cols>
          <w:pgMar w:left="1080" w:top="1067" w:right="1080" w:bottom="542" w:gutter="0" w:footer="0" w:header="0"/>
          <w:type w:val="continuous"/>
        </w:sectPr>
      </w:pPr>
    </w:p>
    <w:bookmarkStart w:id="143" w:name="page144"/>
    <w:bookmarkEnd w:id="143"/>
    <w:p>
      <w:pPr>
        <w:ind w:left="360"/>
        <w:spacing w:after="0"/>
        <w:rPr>
          <w:sz w:val="20"/>
          <w:szCs w:val="20"/>
          <w:color w:val="auto"/>
        </w:rPr>
      </w:pPr>
      <w:r>
        <w:rPr>
          <w:rFonts w:ascii="Times New Roman" w:cs="Times New Roman" w:eastAsia="Times New Roman" w:hAnsi="Times New Roman"/>
          <w:sz w:val="20"/>
          <w:szCs w:val="20"/>
          <w:color w:val="auto"/>
        </w:rPr>
        <w:t>The changes to the cost basis of our landfill assets and accumulated landfill airspace depletion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are reflected in the table below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Cost Basis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Landfill Airspace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203"/>
        </w:trPr>
        <w:tc>
          <w:tcPr>
            <w:tcW w:w="4340" w:type="dxa"/>
            <w:vAlign w:val="bottom"/>
            <w:vMerge w:val="restart"/>
          </w:tcPr>
          <w:p>
            <w:pPr>
              <w:jc w:val="right"/>
              <w:ind w:right="2660"/>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Landfill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Depletion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Landfill Assets</w:t>
            </w:r>
          </w:p>
        </w:tc>
        <w:tc>
          <w:tcPr>
            <w:tcW w:w="0" w:type="dxa"/>
            <w:vAlign w:val="bottom"/>
          </w:tcPr>
          <w:p>
            <w:pPr>
              <w:spacing w:after="0"/>
              <w:rPr>
                <w:sz w:val="1"/>
                <w:szCs w:val="1"/>
                <w:color w:val="auto"/>
              </w:rPr>
            </w:pPr>
          </w:p>
        </w:tc>
      </w:tr>
      <w:tr>
        <w:trPr>
          <w:trHeight w:val="201"/>
        </w:trPr>
        <w:tc>
          <w:tcPr>
            <w:tcW w:w="43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20,273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(12,259)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8,014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Capital additions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Asset retirement obligations incurred and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capitalized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Depletion of landfill airspace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(898)</w:t>
            </w:r>
          </w:p>
        </w:tc>
        <w:tc>
          <w:tcPr>
            <w:tcW w:w="0" w:type="dxa"/>
            <w:vAlign w:val="bottom"/>
          </w:tcPr>
          <w:p>
            <w:pPr>
              <w:spacing w:after="0"/>
              <w:rPr>
                <w:sz w:val="1"/>
                <w:szCs w:val="1"/>
                <w:color w:val="auto"/>
              </w:rPr>
            </w:pPr>
          </w:p>
        </w:tc>
      </w:tr>
      <w:tr>
        <w:trPr>
          <w:trHeight w:val="230"/>
        </w:trPr>
        <w:tc>
          <w:tcPr>
            <w:tcW w:w="4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Foreign currency translation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Asset retirements and other adjustments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.December31,2025</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21,176</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(12,944)</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As of December 31, 2025, we estimate that we will spend approximately $874 million in 2026, and approximately $1.8 billion in 2027 and 2028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7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Landfill and Environmental Remediation Liabilities — </w:t>
      </w:r>
      <w:r>
        <w:rPr>
          <w:rFonts w:ascii="Times New Roman" w:cs="Times New Roman" w:eastAsia="Times New Roman" w:hAnsi="Times New Roman"/>
          <w:sz w:val="19"/>
          <w:szCs w:val="19"/>
          <w:color w:val="auto"/>
        </w:rPr>
        <w:t>As we accept waste at our landfills, we incur significant asset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changes to landfill and environmental remediation liabilities for the year ended December 31, 2025 are reflected in the table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0" w:type="dxa"/>
            <w:vAlign w:val="bottom"/>
          </w:tcPr>
          <w:p>
            <w:pPr>
              <w:spacing w:after="0"/>
              <w:rPr>
                <w:sz w:val="1"/>
                <w:szCs w:val="1"/>
                <w:color w:val="auto"/>
              </w:rPr>
            </w:pPr>
          </w:p>
        </w:tc>
      </w:tr>
      <w:tr>
        <w:trPr>
          <w:trHeight w:val="204"/>
        </w:trPr>
        <w:tc>
          <w:tcPr>
            <w:tcW w:w="7180" w:type="dxa"/>
            <w:vAlign w:val="bottom"/>
            <w:vMerge w:val="restart"/>
          </w:tcPr>
          <w:p>
            <w:pPr>
              <w:jc w:val="right"/>
              <w:ind w:right="5500"/>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0" w:type="dxa"/>
            <w:vAlign w:val="bottom"/>
          </w:tcPr>
          <w:p>
            <w:pPr>
              <w:spacing w:after="0"/>
              <w:rPr>
                <w:sz w:val="1"/>
                <w:szCs w:val="1"/>
                <w:color w:val="auto"/>
              </w:rPr>
            </w:pPr>
          </w:p>
        </w:tc>
      </w:tr>
      <w:tr>
        <w:trPr>
          <w:trHeight w:val="202"/>
        </w:trPr>
        <w:tc>
          <w:tcPr>
            <w:tcW w:w="7180" w:type="dxa"/>
            <w:vAlign w:val="bottom"/>
            <w:vMerge w:val="continue"/>
          </w:tcPr>
          <w:p>
            <w:pPr>
              <w:jc w:val="right"/>
              <w:ind w:right="22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3,057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r>
        <w:trPr>
          <w:trHeight w:val="232"/>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Obligations incurred and capitalized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Obligations settled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2"/>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Interest accretion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Revisions in estimates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1"/>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Acquisitions, divestitures and other adjustments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.December31,2025</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3,305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Landfill Operating Costs — </w:t>
      </w:r>
      <w:r>
        <w:rPr>
          <w:rFonts w:ascii="Times New Roman" w:cs="Times New Roman" w:eastAsia="Times New Roman" w:hAnsi="Times New Roman"/>
          <w:sz w:val="20"/>
          <w:szCs w:val="20"/>
          <w:color w:val="auto"/>
        </w:rPr>
        <w:t>The following table summarizes our landfill operating costs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accretion on landfill and environmental remediation liabilities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71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w:t>
            </w: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Leachate and methane collection and treatment . . . . . . . . . . . . . . . . . . . . . . . . . . . . . . . .</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Landfill remediation costs and discount rate adjustments to environmental</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remediation liabilities and recovery assets . . . . . . . . . . . . . . . . . . . . . . . . . . . . . . . . . . .</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0"/>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Other landfill site costs . . . . . . . . . . . . . . . . . . . . . . . . . . . . . . . . . . . . . . . . . . . . . . . . . . . .</w:t>
            </w:r>
          </w:p>
        </w:tc>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.Totallandfilloperatingcosts</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549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720"/>
          </w:cols>
          <w:pgMar w:left="1080" w:top="1066" w:right="1080" w:bottom="542" w:gutter="0" w:footer="0" w:header="0"/>
          <w:type w:val="continuous"/>
        </w:sectPr>
      </w:pPr>
    </w:p>
    <w:bookmarkStart w:id="144" w:name="page145"/>
    <w:bookmarkEnd w:id="144"/>
    <w:p>
      <w:pPr>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Depletion of Landfill Airspace </w:t>
      </w:r>
      <w:r>
        <w:rPr>
          <w:rFonts w:ascii="Times New Roman" w:cs="Times New Roman" w:eastAsia="Times New Roman" w:hAnsi="Times New Roman"/>
          <w:sz w:val="20"/>
          <w:szCs w:val="20"/>
          <w:color w:val="auto"/>
        </w:rPr>
        <w:t>— Depletion of landfill airspace, which is included as a component of depreciation,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depletion and amortization expenses, includes the following:</w:t>
      </w:r>
    </w:p>
    <w:p>
      <w:pPr>
        <w:spacing w:after="0" w:line="182" w:lineRule="exact"/>
        <w:rPr>
          <w:sz w:val="20"/>
          <w:szCs w:val="20"/>
          <w:color w:val="auto"/>
        </w:rPr>
      </w:pPr>
    </w:p>
    <w:p>
      <w:pPr>
        <w:jc w:val="both"/>
        <w:ind w:left="720" w:hanging="353"/>
        <w:spacing w:after="0" w:line="258" w:lineRule="auto"/>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81"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the depletion of asset retirement costs arising from landfill final capping, closure and post-closure obligations, including (i) costs that have been incurred and capitalized and (ii) projected asset retirement costs.</w:t>
      </w:r>
    </w:p>
    <w:p>
      <w:pPr>
        <w:spacing w:after="0" w:line="16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Depletion expense is recorded on a units -of-consumption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our landfill airspace depletion expense on a per-ton basis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vMerge w:val="restart"/>
          </w:tcPr>
          <w:p>
            <w:pPr>
              <w:jc w:val="right"/>
              <w:ind w:right="3980"/>
              <w:spacing w:after="0"/>
              <w:rPr>
                <w:sz w:val="20"/>
                <w:szCs w:val="20"/>
                <w:color w:val="auto"/>
              </w:rPr>
            </w:pPr>
            <w:r>
              <w:rPr>
                <w:rFonts w:ascii="Times New Roman" w:cs="Times New Roman" w:eastAsia="Times New Roman" w:hAnsi="Times New Roman"/>
                <w:sz w:val="20"/>
                <w:szCs w:val="20"/>
                <w:color w:val="auto"/>
                <w:w w:val="99"/>
              </w:rPr>
              <w:t>Depletion of landfill airspace (in millions)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7480" w:type="dxa"/>
            <w:vAlign w:val="bottom"/>
            <w:vMerge w:val="continue"/>
          </w:tcPr>
          <w:p>
            <w:pPr>
              <w:jc w:val="right"/>
              <w:ind w:right="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16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898</w:t>
            </w:r>
          </w:p>
        </w:tc>
        <w:tc>
          <w:tcPr>
            <w:tcW w:w="2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795</w:t>
            </w:r>
          </w:p>
        </w:tc>
        <w:tc>
          <w:tcPr>
            <w:tcW w:w="0" w:type="dxa"/>
            <w:vAlign w:val="bottom"/>
          </w:tcPr>
          <w:p>
            <w:pPr>
              <w:spacing w:after="0"/>
              <w:rPr>
                <w:sz w:val="1"/>
                <w:szCs w:val="1"/>
                <w:color w:val="auto"/>
              </w:rPr>
            </w:pPr>
          </w:p>
        </w:tc>
      </w:tr>
      <w:tr>
        <w:trPr>
          <w:trHeight w:val="229"/>
        </w:trPr>
        <w:tc>
          <w:tcPr>
            <w:tcW w:w="7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7"/>
              </w:rPr>
              <w:t>Tons received, net of redirected waste (in millions) . . . . . . . . . . . . . . . . . . . . . . . . . . . . . . . . .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7"/>
        </w:trPr>
        <w:tc>
          <w:tcPr>
            <w:tcW w:w="7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Average landfill airspace depletion expense per ton. . . . . . . . . . . . . . . . . . . . . . . . . . . . . . . .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Different per-ton depletion rates are applied at each of our 257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3" w:lineRule="exact"/>
        <w:rPr>
          <w:sz w:val="20"/>
          <w:szCs w:val="20"/>
          <w:color w:val="auto"/>
        </w:rPr>
      </w:pPr>
    </w:p>
    <w:p>
      <w:pPr>
        <w:jc w:val="both"/>
        <w:ind w:firstLine="8"/>
        <w:spacing w:after="0" w:line="244" w:lineRule="auto"/>
        <w:tabs>
          <w:tab w:leader="none" w:pos="29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720"/>
          </w:cols>
          <w:pgMar w:left="1080" w:top="1066" w:right="1080" w:bottom="542"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Summary of Contractual Obligations</w:t>
      </w:r>
    </w:p>
    <w:p>
      <w:pPr>
        <w:spacing w:after="0" w:line="24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following table summarizes our significant contractual obligations as of December 31, 2025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Recorded Obligations: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2030</w:t>
            </w:r>
          </w:p>
        </w:tc>
        <w:tc>
          <w:tcPr>
            <w:tcW w:w="1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9"/>
        </w:trPr>
        <w:tc>
          <w:tcPr>
            <w:tcW w:w="4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Final capping, closure and post-closure liabilities (a)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06"/>
        </w:trPr>
        <w:tc>
          <w:tcPr>
            <w:tcW w:w="45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Debt payments (b)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1,802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1,997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1,968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2,106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1,672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13,518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Unrecorded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debt (c)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Estimated unconditional purchase obligations (d)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8"/>
        </w:trPr>
        <w:tc>
          <w:tcPr>
            <w:tcW w:w="4560" w:type="dxa"/>
            <w:vAlign w:val="bottom"/>
          </w:tcPr>
          <w:p>
            <w:pPr>
              <w:ind w:left="120"/>
              <w:spacing w:after="0" w:line="200" w:lineRule="exact"/>
              <w:rPr>
                <w:sz w:val="20"/>
                <w:szCs w:val="20"/>
                <w:color w:val="auto"/>
              </w:rPr>
            </w:pPr>
            <w:r>
              <w:rPr>
                <w:rFonts w:ascii="Times New Roman" w:cs="Times New Roman" w:eastAsia="Times New Roman" w:hAnsi="Times New Roman"/>
                <w:sz w:val="18"/>
                <w:szCs w:val="18"/>
                <w:color w:val="auto"/>
              </w:rPr>
              <w:t>. . . .AnticipatedliquidityimpactasofDecember31,2025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8"/>
              </w:rPr>
              <w:t>3,199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8"/>
              </w:rPr>
              <w:t>3,306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8"/>
              </w:rPr>
              <w:t>3,105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8"/>
              </w:rPr>
              <w:t>3,089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8"/>
              </w:rPr>
              <w:t>2,677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22,545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37,921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jc w:val="both"/>
        <w:ind w:left="360" w:hanging="353"/>
        <w:spacing w:after="0" w:line="252" w:lineRule="auto"/>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liabilities for final capping, closure and post-closure costs recorded in our Consolidated Balance Sheet as of December 31, 2025, without the impact of discounting and inflation. Our recorded liabilities for final capping, closure and post-closure costs will increase as we continue to place additional tons within the permitted airspace at our landfills.</w:t>
      </w:r>
    </w:p>
    <w:p>
      <w:pPr>
        <w:spacing w:after="0" w:line="74" w:lineRule="exact"/>
        <w:rPr>
          <w:rFonts w:ascii="Times New Roman" w:cs="Times New Roman" w:eastAsia="Times New Roman" w:hAnsi="Times New Roman"/>
          <w:sz w:val="20"/>
          <w:szCs w:val="20"/>
          <w:color w:val="auto"/>
        </w:rPr>
      </w:pPr>
    </w:p>
    <w:p>
      <w:pPr>
        <w:jc w:val="both"/>
        <w:ind w:left="360" w:hanging="353"/>
        <w:spacing w:after="0" w:line="258" w:lineRule="auto"/>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68" w:lineRule="exact"/>
        <w:rPr>
          <w:rFonts w:ascii="Times New Roman" w:cs="Times New Roman" w:eastAsia="Times New Roman" w:hAnsi="Times New Roman"/>
          <w:sz w:val="20"/>
          <w:szCs w:val="20"/>
          <w:color w:val="auto"/>
        </w:rPr>
      </w:pPr>
    </w:p>
    <w:p>
      <w:pPr>
        <w:jc w:val="both"/>
        <w:ind w:left="360" w:hanging="353"/>
        <w:spacing w:after="0" w:line="258" w:lineRule="auto"/>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our fixed-rate debt was calculated based on contractual rates and interest on our variable-rate debt was calculated based on interest rates as of December 31, 2025. As of December 31, 2025, we had $233 million of accrued interest related to our debt obligations.</w:t>
      </w:r>
    </w:p>
    <w:p>
      <w:pPr>
        <w:spacing w:after="0" w:line="58" w:lineRule="exact"/>
        <w:rPr>
          <w:rFonts w:ascii="Times New Roman" w:cs="Times New Roman" w:eastAsia="Times New Roman" w:hAnsi="Times New Roman"/>
          <w:sz w:val="20"/>
          <w:szCs w:val="20"/>
          <w:color w:val="auto"/>
        </w:rPr>
      </w:pPr>
    </w:p>
    <w:p>
      <w:pPr>
        <w:jc w:val="both"/>
        <w:ind w:left="360" w:hanging="353"/>
        <w:spacing w:after="0"/>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720"/>
          </w:cols>
          <w:pgMar w:left="1080" w:top="1063" w:right="1080" w:bottom="542" w:gutter="0" w:footer="0" w:header="0"/>
          <w:type w:val="continuous"/>
        </w:sectPr>
      </w:pPr>
    </w:p>
    <w:bookmarkStart w:id="146" w:name="page147"/>
    <w:bookmarkEnd w:id="146"/>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and Cash Equivalents, Restricted Funds and Debt Obligations</w:t>
      </w:r>
    </w:p>
    <w:p>
      <w:pPr>
        <w:spacing w:after="0" w:line="23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is a summary of our cash and cash equivalents, restricted funds and debt balances as of December 31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0"/>
        </w:trPr>
        <w:tc>
          <w:tcPr>
            <w:tcW w:w="752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414</w:t>
            </w:r>
          </w:p>
        </w:tc>
        <w:tc>
          <w:tcPr>
            <w:tcW w:w="0" w:type="dxa"/>
            <w:vAlign w:val="bottom"/>
          </w:tcPr>
          <w:p>
            <w:pPr>
              <w:spacing w:after="0"/>
              <w:rPr>
                <w:sz w:val="1"/>
                <w:szCs w:val="1"/>
                <w:color w:val="auto"/>
              </w:rPr>
            </w:pPr>
          </w:p>
        </w:tc>
      </w:tr>
      <w:tr>
        <w:trPr>
          <w:trHeight w:val="212"/>
        </w:trPr>
        <w:tc>
          <w:tcPr>
            <w:tcW w:w="75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Restricted funds: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Insurance reserves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Final capping, closure, post-closure and environmental remediation funds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Other . . . . . . . .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.Totalrestrictedfunds(a)</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12"/>
        </w:trPr>
        <w:tc>
          <w:tcPr>
            <w:tcW w:w="75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Current portion . . .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Long-term portion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22,196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0" w:type="dxa"/>
            <w:vAlign w:val="bottom"/>
          </w:tcPr>
          <w:p>
            <w:pPr>
              <w:spacing w:after="0"/>
              <w:rPr>
                <w:sz w:val="1"/>
                <w:szCs w:val="1"/>
                <w:color w:val="auto"/>
              </w:rPr>
            </w:pPr>
          </w:p>
        </w:tc>
      </w:tr>
      <w:tr>
        <w:trPr>
          <w:trHeight w:val="231"/>
        </w:trPr>
        <w:tc>
          <w:tcPr>
            <w:tcW w:w="752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.Totaldebt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22,907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ind w:left="360" w:hanging="353"/>
        <w:spacing w:after="0" w:line="278" w:lineRule="auto"/>
        <w:tabs>
          <w:tab w:leader="none" w:pos="36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$109 million and $100 million, respectively, of these account balances was included in other current assets in our Consolidated Balance Sheets.</w:t>
      </w:r>
    </w:p>
    <w:p>
      <w:pPr>
        <w:spacing w:after="0" w:line="16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Debt — </w:t>
      </w:r>
      <w:r>
        <w:rPr>
          <w:rFonts w:ascii="Times New Roman" w:cs="Times New Roman" w:eastAsia="Times New Roman" w:hAnsi="Times New Roman"/>
          <w:sz w:val="20"/>
          <w:szCs w:val="20"/>
          <w:color w:val="auto"/>
        </w:rPr>
        <w:t>We use long-term borrowings in addition to the cash we generate from operations as part of our overall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strategy to support and grow our business. We primarily use senior notes and tax-exempt bonds to borrow on a long-term basis, but we also use other instruments and facilities, when appropriate. The components of our borrowings as of December 31, 2025 are described in Note 6 to the Consolidated Financial Statements.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we had approximately $3.7 billion of debt maturing within the next 12 months, including</w:t>
      </w:r>
    </w:p>
    <w:p>
      <w:pPr>
        <w:spacing w:after="0" w:line="28" w:lineRule="exact"/>
        <w:rPr>
          <w:sz w:val="20"/>
          <w:szCs w:val="20"/>
          <w:color w:val="auto"/>
        </w:rPr>
      </w:pPr>
    </w:p>
    <w:p>
      <w:pPr>
        <w:jc w:val="both"/>
        <w:ind w:firstLine="7"/>
        <w:spacing w:after="0" w:line="241" w:lineRule="auto"/>
        <w:tabs>
          <w:tab w:leader="none" w:pos="23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billion of tax-exempt bonds with term interest rate periods that expire within the next 12 months, which is prior to their scheduled maturities; (ii) $1.1 billion of short-term borrowings under our commercial paper program (net of related discount on issuance); (iii) $223 million of 7.1% senior notes that mature in August 2026; (iv) $364 million of 2.6% Canadian senior notes that mature in September 2026 and (v) $200 million of other debt with scheduled maturities within the next 12 months. As of December 31,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$711 million of debt maturing in the next 12 months is classified as current obligations.</w:t>
      </w:r>
    </w:p>
    <w:p>
      <w:pPr>
        <w:spacing w:after="0" w:line="20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We have credit lines in place to support our liquidity and financial assurance needs. The following table summarizes our outstanding letters of credit, categorized by type of facility as of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80" w:type="dxa"/>
            <w:vAlign w:val="bottom"/>
            <w:vMerge w:val="restart"/>
          </w:tcPr>
          <w:p>
            <w:pPr>
              <w:jc w:val="right"/>
              <w:ind w:right="5340"/>
              <w:spacing w:after="0"/>
              <w:rPr>
                <w:sz w:val="20"/>
                <w:szCs w:val="20"/>
                <w:color w:val="auto"/>
              </w:rPr>
            </w:pPr>
            <w:r>
              <w:rPr>
                <w:rFonts w:ascii="Times New Roman" w:cs="Times New Roman" w:eastAsia="Times New Roman" w:hAnsi="Times New Roman"/>
                <w:sz w:val="20"/>
                <w:szCs w:val="20"/>
                <w:color w:val="auto"/>
                <w:w w:val="99"/>
              </w:rPr>
              <w:t>Revolving credit facility (a)</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7680" w:type="dxa"/>
            <w:vAlign w:val="bottom"/>
            <w:vMerge w:val="continue"/>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51"/>
        </w:trPr>
        <w:tc>
          <w:tcPr>
            <w:tcW w:w="7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letter of credit lines (b)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1,147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ind w:left="360" w:hanging="353"/>
        <w:spacing w:after="0" w:line="278" w:lineRule="auto"/>
        <w:tabs>
          <w:tab w:leader="none" w:pos="3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we had an unused and available credit capacity of $2.2 billion and $2.1 billion, respectively.</w:t>
      </w:r>
    </w:p>
    <w:p>
      <w:pPr>
        <w:spacing w:after="0" w:line="46"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these other letter of credit lines are uncommitted with terms extending through December 2029.</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Guarantor Financial Information</w:t>
      </w:r>
    </w:p>
    <w:p>
      <w:pPr>
        <w:spacing w:after="0" w:line="23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WM Holdings has fully and unconditionally guaranteed all of Waste Management, Inc.’s (“WMI’s”) senior indebtedness. WMI has fully and unconditionally guaranteed all of WM Holdings’ senior indebtedness. None of WMI’s</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720"/>
          </w:cols>
          <w:pgMar w:left="1080" w:top="1067" w:right="1080" w:bottom="542" w:gutter="0" w:footer="0" w:header="0"/>
          <w:type w:val="continuous"/>
        </w:sectPr>
      </w:pPr>
    </w:p>
    <w:bookmarkStart w:id="147" w:name="page148"/>
    <w:bookmarkEnd w:id="147"/>
    <w:p>
      <w:pPr>
        <w:jc w:val="both"/>
        <w:spacing w:after="0" w:line="249" w:lineRule="auto"/>
        <w:rPr>
          <w:sz w:val="20"/>
          <w:szCs w:val="20"/>
          <w:color w:val="auto"/>
        </w:rPr>
      </w:pPr>
      <w:r>
        <w:rPr>
          <w:rFonts w:ascii="Times New Roman" w:cs="Times New Roman" w:eastAsia="Times New Roman" w:hAnsi="Times New Roman"/>
          <w:sz w:val="20"/>
          <w:szCs w:val="20"/>
          <w:color w:val="auto"/>
        </w:rPr>
        <w:t>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Sheet Information:</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01"/>
        </w:trPr>
        <w:tc>
          <w:tcPr>
            <w:tcW w:w="8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7"/>
              </w:rPr>
              <w:t>Current assets . . . . . . . . . . . . . . . . . . . . . . . . . . . . . . . . . . . . . . . . . . . . . . . . . . . . . . . . . .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8"/>
              </w:rPr>
              <w:t>Noncurrent assets . . . . . . . . . . . . . . . . . . . . . . . . . . . . . . . . . . . . . . . . . . . . . . . . .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7"/>
              </w:rPr>
              <w:t>Current liabilities . . . . . . . . . . . . . . . . . . . . . . . . . . . . . . . . . . . . . . . . . . . . . . . . . . . . . . . . . . . . . . . . . . .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Advances due to affiliates . . . . . . . . . . . . . . . . . . . . . . . . . . . . . . . . . . . . . . . . .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18,160</w:t>
            </w:r>
          </w:p>
        </w:tc>
        <w:tc>
          <w:tcPr>
            <w:tcW w:w="0" w:type="dxa"/>
            <w:vAlign w:val="bottom"/>
          </w:tcPr>
          <w:p>
            <w:pPr>
              <w:spacing w:after="0"/>
              <w:rPr>
                <w:sz w:val="1"/>
                <w:szCs w:val="1"/>
                <w:color w:val="auto"/>
              </w:rPr>
            </w:pPr>
          </w:p>
        </w:tc>
      </w:tr>
      <w:tr>
        <w:trPr>
          <w:trHeight w:val="267"/>
        </w:trPr>
        <w:tc>
          <w:tcPr>
            <w:tcW w:w="80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Other noncurrent liabilities . . . . . . . . . . . . . . . . . . . . . . . . . . . . . . . . . . . . . . . . . . . . . . . . . . . . . . . . .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19,733</w:t>
            </w:r>
          </w:p>
        </w:tc>
        <w:tc>
          <w:tcPr>
            <w:tcW w:w="0" w:type="dxa"/>
            <w:vAlign w:val="bottom"/>
          </w:tcPr>
          <w:p>
            <w:pPr>
              <w:spacing w:after="0"/>
              <w:rPr>
                <w:sz w:val="1"/>
                <w:szCs w:val="1"/>
                <w:color w:val="auto"/>
              </w:rPr>
            </w:pPr>
          </w:p>
        </w:tc>
      </w:tr>
      <w:tr>
        <w:trPr>
          <w:trHeight w:val="378"/>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4"/>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Statement Information:</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8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7"/>
              </w:rPr>
              <w:t>Revenue . . . . . . . . . . . . . . . . . . . . . . . . . . . . . . . . . . . . . . . . . . . . . . . . . . . . . . . . . . . . . .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8"/>
              </w:rPr>
              <w:t>Operating income . . . . . . . . . . . . . . . . . . . . . . . . . . . . . . . . . . . . . . . . . . . . . . . . .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w w:val="97"/>
              </w:rPr>
              <w:t>Net loss . . . . . . . . . . . . . . . . . . . . . . . . . . . . . . . . . . . . . . . . . . . . . . . . . . . . . . . . . . . . . . . . . . . . . . . . . . .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Flow Activity</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our cash flows for the year ended December 31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60" w:type="dxa"/>
            <w:vAlign w:val="bottom"/>
            <w:vMerge w:val="restart"/>
          </w:tcPr>
          <w:p>
            <w:pPr>
              <w:jc w:val="right"/>
              <w:ind w:right="4180"/>
              <w:spacing w:after="0"/>
              <w:rPr>
                <w:sz w:val="20"/>
                <w:szCs w:val="20"/>
                <w:color w:val="auto"/>
              </w:rPr>
            </w:pPr>
            <w:r>
              <w:rPr>
                <w:rFonts w:ascii="Times New Roman" w:cs="Times New Roman" w:eastAsia="Times New Roman" w:hAnsi="Times New Roman"/>
                <w:sz w:val="20"/>
                <w:szCs w:val="20"/>
                <w:color w:val="auto"/>
                <w:w w:val="99"/>
              </w:rPr>
              <w:t>Net cash provided by operating activities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5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6,043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5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.Netcashusedininvestingactivities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(3,566)</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6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.Netcashprovidedby(usedin)financingactivities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(2,673)</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Net Cash Provided by Operating Activities — </w:t>
      </w:r>
      <w:r>
        <w:rPr>
          <w:rFonts w:ascii="Times New Roman" w:cs="Times New Roman" w:eastAsia="Times New Roman" w:hAnsi="Times New Roman"/>
          <w:sz w:val="20"/>
          <w:szCs w:val="20"/>
          <w:color w:val="auto"/>
        </w:rPr>
        <w:t>Our operating cash flows increased $653 million in 2025 compared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primarily due to (i) higher earnings in our Collection and Disposal businesses; (ii) contributions from our recent acquisitions and (iii) lower cash tax payments. This increase was partially offset by (i) higher cash interest payments primarily due to additional debt incurred to fund our acquisition of Stericycle; (ii) higher annual incentive compensation payments and (iii) unfavorable changes in working capital, net of effects from acquisitions and divestitures. We continue to execute well in optimizing working capital, particularly in the reduction of days sales outstanding for our Healthcare Solutions business and alignment of our days-to-pay measure with contract terms, though overall working capital changes have been pressured by the Stericycle acquisition.</w:t>
      </w:r>
    </w:p>
    <w:p>
      <w:pPr>
        <w:spacing w:after="0" w:line="162"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Net Cash Used in Investing Activities — </w:t>
      </w:r>
      <w:r>
        <w:rPr>
          <w:rFonts w:ascii="Times New Roman" w:cs="Times New Roman" w:eastAsia="Times New Roman" w:hAnsi="Times New Roman"/>
          <w:sz w:val="20"/>
          <w:szCs w:val="20"/>
          <w:color w:val="auto"/>
        </w:rPr>
        <w:t>The most significant items affecting the comparison of our investing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flows for the periods presented are summarized below:</w:t>
      </w:r>
    </w:p>
    <w:p>
      <w:pPr>
        <w:spacing w:after="0" w:line="61" w:lineRule="exact"/>
        <w:rPr>
          <w:sz w:val="20"/>
          <w:szCs w:val="20"/>
          <w:color w:val="auto"/>
        </w:rPr>
      </w:pPr>
    </w:p>
    <w:p>
      <w:pPr>
        <w:jc w:val="both"/>
        <w:ind w:left="720" w:hanging="353"/>
        <w:spacing w:after="0" w:line="249"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Acquisitions — </w:t>
      </w:r>
      <w:r>
        <w:rPr>
          <w:rFonts w:ascii="Times New Roman" w:cs="Times New Roman" w:eastAsia="Times New Roman" w:hAnsi="Times New Roman"/>
          <w:sz w:val="20"/>
          <w:szCs w:val="20"/>
          <w:color w:val="auto"/>
        </w:rPr>
        <w:t>Our spending on acquisitions was $404 million and $7,503 million in 2025 and 2024, respectively,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which $395 million and $7,488 million, respectively, are considered cash used in investing activities. The remaining spend is cash used in financing activity related to the timing of contingent consideration paid. Excluding our acquisition of Stericycle in 2024, substantially all of the remaining acquisitions are related to our solid waste and recycling businesses.</w:t>
      </w:r>
    </w:p>
    <w:p>
      <w:pPr>
        <w:spacing w:after="0" w:line="90"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Capital Expenditures — </w:t>
      </w:r>
      <w:r>
        <w:rPr>
          <w:rFonts w:ascii="Times New Roman" w:cs="Times New Roman" w:eastAsia="Times New Roman" w:hAnsi="Times New Roman"/>
          <w:sz w:val="20"/>
          <w:szCs w:val="20"/>
          <w:color w:val="auto"/>
        </w:rPr>
        <w:t>We used $3,227 million and $3,231 million for capital expenditures in 2025 and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 The decrease in capital spending in 2025 compared to 2024 is primarily due to planned reductions in capital investment in our sustainability growth projects as we move from peak construction of this portfolio into a period where we will harvest strong returns on these businesses. The decrease in capital spending was mostly offset by increased capital expenditures to support the business and incremental spend within our Healthcare Solutions segment driven by the timing of the acquisition in late 2024.</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720"/>
          </w:cols>
          <w:pgMar w:left="1080" w:top="1066" w:right="1080" w:bottom="542" w:gutter="0" w:footer="0" w:header="0"/>
          <w:type w:val="continuous"/>
        </w:sectPr>
      </w:pPr>
    </w:p>
    <w:bookmarkStart w:id="148" w:name="page149"/>
    <w:bookmarkEnd w:id="148"/>
    <w:p>
      <w:pPr>
        <w:jc w:val="both"/>
        <w:ind w:left="720" w:hanging="353"/>
        <w:spacing w:after="0" w:line="252" w:lineRule="auto"/>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Divestitures — </w:t>
      </w:r>
      <w:r>
        <w:rPr>
          <w:rFonts w:ascii="Times New Roman" w:cs="Times New Roman" w:eastAsia="Times New Roman" w:hAnsi="Times New Roman"/>
          <w:sz w:val="20"/>
          <w:szCs w:val="20"/>
          <w:color w:val="auto"/>
        </w:rPr>
        <w:t>Proceeds from divestitures of businesses and other assets, net of cash divested, were $121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$158 million in 2025 and 2024, respectively. Proceeds in 2025 primarily related to the sale of our Healthcare Solutions segment’s Spain and Portugal subsidiaries. The remaining 2025 and 2024 proceeds were from the sale of certain non-strategic assets.</w:t>
      </w:r>
    </w:p>
    <w:p>
      <w:pPr>
        <w:spacing w:after="0" w:line="88" w:lineRule="exact"/>
        <w:rPr>
          <w:rFonts w:ascii="Arial" w:cs="Arial" w:eastAsia="Arial" w:hAnsi="Arial"/>
          <w:sz w:val="20"/>
          <w:szCs w:val="20"/>
          <w:color w:val="auto"/>
        </w:rPr>
      </w:pPr>
    </w:p>
    <w:p>
      <w:pPr>
        <w:jc w:val="both"/>
        <w:ind w:left="720" w:hanging="353"/>
        <w:spacing w:after="0" w:line="252" w:lineRule="auto"/>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Net — </w:t>
      </w:r>
      <w:r>
        <w:rPr>
          <w:rFonts w:ascii="Times New Roman" w:cs="Times New Roman" w:eastAsia="Times New Roman" w:hAnsi="Times New Roman"/>
          <w:sz w:val="20"/>
          <w:szCs w:val="20"/>
          <w:color w:val="auto"/>
        </w:rPr>
        <w:t>Our spending within other, net was $65 million and $40 million in 2025 and 2024, respectively.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2025 and 2024, we used $56 million and $4 million, respectively, of cash from restricted cash and cash equivalents to invest in available-for-sale securities. During 2024, we used $33 million to make initial cash payments associated with a low-income housing investment.</w:t>
      </w:r>
    </w:p>
    <w:p>
      <w:pPr>
        <w:spacing w:after="0" w:line="194"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Net Cash Provided by (Used in) Financing Activities — </w:t>
      </w:r>
      <w:r>
        <w:rPr>
          <w:rFonts w:ascii="Times New Roman" w:cs="Times New Roman" w:eastAsia="Times New Roman" w:hAnsi="Times New Roman"/>
          <w:sz w:val="20"/>
          <w:szCs w:val="20"/>
          <w:color w:val="auto"/>
        </w:rPr>
        <w:t>The most significant items affecting the comparison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financing cash flows for the periods presented are summarized below:</w:t>
      </w:r>
    </w:p>
    <w:p>
      <w:pPr>
        <w:spacing w:after="0" w:line="61" w:lineRule="exact"/>
        <w:rPr>
          <w:sz w:val="20"/>
          <w:szCs w:val="20"/>
          <w:color w:val="auto"/>
        </w:rPr>
      </w:pPr>
    </w:p>
    <w:p>
      <w:pPr>
        <w:ind w:left="720" w:hanging="353"/>
        <w:spacing w:after="0" w:line="277" w:lineRule="auto"/>
        <w:tabs>
          <w:tab w:leader="none" w:pos="720" w:val="left"/>
        </w:tabs>
        <w:numPr>
          <w:ilvl w:val="0"/>
          <w:numId w:val="10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Debt Borrowings (Repayments) — </w:t>
      </w:r>
      <w:r>
        <w:rPr>
          <w:rFonts w:ascii="Times New Roman" w:cs="Times New Roman" w:eastAsia="Times New Roman" w:hAnsi="Times New Roman"/>
          <w:sz w:val="20"/>
          <w:szCs w:val="20"/>
          <w:color w:val="auto"/>
        </w:rPr>
        <w:t>The following summarizes our cash borrowings and repayments of debt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year ended December 31 (in millions):</w:t>
      </w:r>
    </w:p>
    <w:p>
      <w:pPr>
        <w:spacing w:after="0" w:line="169"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Commercial paper program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Term loan (a)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Senior notes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Tax-exempt bonds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Repayments</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20,414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Commercial paper program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(20,374)</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(12,319)</w:t>
            </w:r>
          </w:p>
        </w:tc>
        <w:tc>
          <w:tcPr>
            <w:tcW w:w="0" w:type="dxa"/>
            <w:vAlign w:val="bottom"/>
          </w:tcPr>
          <w:p>
            <w:pPr>
              <w:spacing w:after="0"/>
              <w:rPr>
                <w:sz w:val="1"/>
                <w:szCs w:val="1"/>
                <w:color w:val="auto"/>
              </w:rPr>
            </w:pPr>
          </w:p>
        </w:tc>
      </w:tr>
      <w:tr>
        <w:trPr>
          <w:trHeight w:val="229"/>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Term loan (a)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(5,200)</w:t>
            </w:r>
          </w:p>
        </w:tc>
        <w:tc>
          <w:tcPr>
            <w:tcW w:w="0" w:type="dxa"/>
            <w:vAlign w:val="bottom"/>
          </w:tcPr>
          <w:p>
            <w:pPr>
              <w:spacing w:after="0"/>
              <w:rPr>
                <w:sz w:val="1"/>
                <w:szCs w:val="1"/>
                <w:color w:val="auto"/>
              </w:rPr>
            </w:pPr>
          </w:p>
        </w:tc>
      </w:tr>
      <w:tr>
        <w:trPr>
          <w:trHeight w:val="23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Senior notes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23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Tax-exempt bonds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50"/>
        </w:trPr>
        <w:tc>
          <w:tcPr>
            <w:tcW w:w="6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debt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Net cash borrowings (repayments)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(21,747)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(1,333)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461010</wp:posOffset>
                </wp:positionH>
                <wp:positionV relativeFrom="paragraph">
                  <wp:posOffset>106045</wp:posOffset>
                </wp:positionV>
                <wp:extent cx="15411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8.35pt" to="157.65pt,8.35pt" o:allowincell="f" strokecolor="#000000" strokeweight="1.0199pt"/>
            </w:pict>
          </mc:Fallback>
        </mc:AlternateContent>
      </w:r>
    </w:p>
    <w:p>
      <w:pPr>
        <w:spacing w:after="0" w:line="190" w:lineRule="exact"/>
        <w:rPr>
          <w:sz w:val="20"/>
          <w:szCs w:val="20"/>
          <w:color w:val="auto"/>
        </w:rPr>
      </w:pPr>
    </w:p>
    <w:p>
      <w:pPr>
        <w:jc w:val="both"/>
        <w:ind w:left="1080" w:hanging="353"/>
        <w:spacing w:after="0" w:line="259"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2024, we drew $5.2 billion of borrowings under a term credit agreement that were applied to funding our acquisition of Stericycle. In November 2024, we repaid all outstanding borrowings and contemporaneously terminated the term credit agreement.</w:t>
      </w:r>
    </w:p>
    <w:p>
      <w:pPr>
        <w:spacing w:after="0" w:line="186" w:lineRule="exact"/>
        <w:rPr>
          <w:sz w:val="20"/>
          <w:szCs w:val="20"/>
          <w:color w:val="auto"/>
        </w:rPr>
      </w:pPr>
    </w:p>
    <w:p>
      <w:pPr>
        <w:ind w:left="720"/>
        <w:spacing w:after="0" w:line="278" w:lineRule="auto"/>
        <w:rPr>
          <w:sz w:val="20"/>
          <w:szCs w:val="20"/>
          <w:color w:val="auto"/>
        </w:rPr>
      </w:pPr>
      <w:r>
        <w:rPr>
          <w:rFonts w:ascii="Times New Roman" w:cs="Times New Roman" w:eastAsia="Times New Roman" w:hAnsi="Times New Roman"/>
          <w:sz w:val="20"/>
          <w:szCs w:val="20"/>
          <w:color w:val="auto"/>
        </w:rPr>
        <w:t>Refer to Note 6 to the Consolidated Financial Statements for additional information related to our debt borrowings and repayments.</w:t>
      </w:r>
    </w:p>
    <w:p>
      <w:pPr>
        <w:spacing w:after="0" w:line="181" w:lineRule="exact"/>
        <w:rPr>
          <w:sz w:val="20"/>
          <w:szCs w:val="20"/>
          <w:color w:val="auto"/>
        </w:rPr>
      </w:pPr>
    </w:p>
    <w:p>
      <w:pPr>
        <w:jc w:val="both"/>
        <w:ind w:left="720" w:hanging="353"/>
        <w:spacing w:after="0" w:line="252" w:lineRule="auto"/>
        <w:tabs>
          <w:tab w:leader="none" w:pos="720" w:val="left"/>
        </w:tabs>
        <w:numPr>
          <w:ilvl w:val="0"/>
          <w:numId w:val="10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Common Stock Repurchase Program — </w:t>
      </w:r>
      <w:r>
        <w:rPr>
          <w:rFonts w:ascii="Times New Roman" w:cs="Times New Roman" w:eastAsia="Times New Roman" w:hAnsi="Times New Roman"/>
          <w:sz w:val="20"/>
          <w:szCs w:val="20"/>
          <w:color w:val="auto"/>
        </w:rPr>
        <w:t>For the periods presented, all share repurchases have been made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financial plans approved by our Board of Directors. No share repurchases were made in 2025. During 2024, we allocated $262 million of available cash to common stock repurchases. See Note 13 to the Consolidated Financial Statements for additional information about our share repurchase activity.</w:t>
      </w:r>
    </w:p>
    <w:p>
      <w:pPr>
        <w:spacing w:after="0" w:line="73" w:lineRule="exact"/>
        <w:rPr>
          <w:rFonts w:ascii="Arial" w:cs="Arial" w:eastAsia="Arial" w:hAnsi="Arial"/>
          <w:sz w:val="20"/>
          <w:szCs w:val="20"/>
          <w:color w:val="auto"/>
        </w:rPr>
      </w:pPr>
    </w:p>
    <w:p>
      <w:pPr>
        <w:jc w:val="both"/>
        <w:ind w:left="720"/>
        <w:spacing w:after="0" w:line="247" w:lineRule="auto"/>
        <w:rPr>
          <w:rFonts w:ascii="Arial" w:cs="Arial" w:eastAsia="Arial" w:hAnsi="Arial"/>
          <w:sz w:val="20"/>
          <w:szCs w:val="20"/>
          <w:color w:val="auto"/>
        </w:rPr>
      </w:pPr>
      <w:r>
        <w:rPr>
          <w:rFonts w:ascii="Times New Roman" w:cs="Times New Roman" w:eastAsia="Times New Roman" w:hAnsi="Times New Roman"/>
          <w:sz w:val="20"/>
          <w:szCs w:val="20"/>
          <w:color w:val="auto"/>
        </w:rPr>
        <w:t>We announced in December 2025 that our Board of Directors has authorized up to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214"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10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Cash Dividends — </w:t>
      </w:r>
      <w:r>
        <w:rPr>
          <w:rFonts w:ascii="Times New Roman" w:cs="Times New Roman" w:eastAsia="Times New Roman" w:hAnsi="Times New Roman"/>
          <w:sz w:val="20"/>
          <w:szCs w:val="20"/>
          <w:color w:val="auto"/>
        </w:rPr>
        <w:t>For the periods presented, all dividends have been declared by our Board of Directors.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declared and paid were $1.3 billion in 2025, or $3.30 per common share and $1.2 billion in 2024, or $3.00 per common share.</w:t>
      </w:r>
    </w:p>
    <w:p>
      <w:pPr>
        <w:spacing w:after="0" w:line="67" w:lineRule="exact"/>
        <w:rPr>
          <w:rFonts w:ascii="Arial" w:cs="Arial" w:eastAsia="Arial" w:hAnsi="Arial"/>
          <w:sz w:val="20"/>
          <w:szCs w:val="20"/>
          <w:color w:val="auto"/>
        </w:rPr>
      </w:pPr>
    </w:p>
    <w:p>
      <w:pPr>
        <w:jc w:val="both"/>
        <w:ind w:left="720"/>
        <w:spacing w:after="0" w:line="277" w:lineRule="auto"/>
        <w:rPr>
          <w:rFonts w:ascii="Arial" w:cs="Arial" w:eastAsia="Arial" w:hAnsi="Arial"/>
          <w:sz w:val="20"/>
          <w:szCs w:val="20"/>
          <w:color w:val="auto"/>
        </w:rPr>
      </w:pPr>
      <w:r>
        <w:rPr>
          <w:rFonts w:ascii="Times New Roman" w:cs="Times New Roman" w:eastAsia="Times New Roman" w:hAnsi="Times New Roman"/>
          <w:sz w:val="20"/>
          <w:szCs w:val="20"/>
          <w:color w:val="auto"/>
        </w:rPr>
        <w:t>In December 2025, we announced that our Board of Directors expects to increase the quarterly dividend from $0.825 to $0.945 per share for dividends declared in 2026. However, all future dividend declarations are at the</w:t>
      </w:r>
    </w:p>
    <w:p>
      <w:pPr>
        <w:sectPr>
          <w:pgSz w:w="11880" w:h="15480" w:orient="portrait"/>
          <w:cols w:equalWidth="0" w:num="1">
            <w:col w:w="9720"/>
          </w:cols>
          <w:pgMar w:left="1080" w:top="1080" w:right="1080" w:bottom="542"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720"/>
          </w:cols>
          <w:pgMar w:left="1080" w:top="1080" w:right="1080" w:bottom="542" w:gutter="0" w:footer="0" w:header="0"/>
          <w:type w:val="continuous"/>
        </w:sectPr>
      </w:pPr>
    </w:p>
    <w:bookmarkStart w:id="149" w:name="page150"/>
    <w:bookmarkEnd w:id="149"/>
    <w:p>
      <w:pPr>
        <w:jc w:val="both"/>
        <w:ind w:left="720"/>
        <w:spacing w:after="0" w:line="259" w:lineRule="auto"/>
        <w:rPr>
          <w:sz w:val="20"/>
          <w:szCs w:val="20"/>
          <w:color w:val="auto"/>
        </w:rPr>
      </w:pPr>
      <w:r>
        <w:rPr>
          <w:rFonts w:ascii="Times New Roman" w:cs="Times New Roman" w:eastAsia="Times New Roman" w:hAnsi="Times New Roman"/>
          <w:sz w:val="20"/>
          <w:szCs w:val="20"/>
          <w:color w:val="auto"/>
        </w:rPr>
        <w:t>discretion of the Board of Directors and depend on various factors, including our leverage level,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jc w:val="both"/>
        <w:ind w:left="720" w:hanging="353"/>
        <w:spacing w:after="0" w:line="259" w:lineRule="auto"/>
        <w:tabs>
          <w:tab w:leader="none" w:pos="72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Exercise of Common Stock Options — </w:t>
      </w:r>
      <w:r>
        <w:rPr>
          <w:rFonts w:ascii="Times New Roman" w:cs="Times New Roman" w:eastAsia="Times New Roman" w:hAnsi="Times New Roman"/>
          <w:sz w:val="20"/>
          <w:szCs w:val="20"/>
          <w:color w:val="auto"/>
        </w:rPr>
        <w:t>The exercise of common stock options generated financing cash inflows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$61 million and $53 million from the exercise of 676,000 and 693,000 of employee stock options during 2025 and 2024, respectively.</w:t>
      </w:r>
    </w:p>
    <w:p>
      <w:pPr>
        <w:spacing w:after="0" w:line="198"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Net — </w:t>
      </w:r>
      <w:r>
        <w:rPr>
          <w:rFonts w:ascii="Times New Roman" w:cs="Times New Roman" w:eastAsia="Times New Roman" w:hAnsi="Times New Roman"/>
          <w:sz w:val="20"/>
          <w:szCs w:val="20"/>
          <w:color w:val="auto"/>
        </w:rPr>
        <w:t>During 2024, we acquired the remaining minority interests in a business engaged in accelerating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film and plastic wrap recycling capabilities for $41 million.</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3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60" w:type="dxa"/>
            <w:vAlign w:val="bottom"/>
            <w:vMerge w:val="restart"/>
          </w:tcPr>
          <w:p>
            <w:pPr>
              <w:jc w:val="right"/>
              <w:ind w:right="4160"/>
              <w:spacing w:after="0"/>
              <w:rPr>
                <w:sz w:val="20"/>
                <w:szCs w:val="20"/>
                <w:color w:val="auto"/>
              </w:rPr>
            </w:pPr>
            <w:r>
              <w:rPr>
                <w:rFonts w:ascii="Times New Roman" w:cs="Times New Roman" w:eastAsia="Times New Roman" w:hAnsi="Times New Roman"/>
                <w:sz w:val="20"/>
                <w:szCs w:val="20"/>
                <w:color w:val="auto"/>
                <w:w w:val="99"/>
              </w:rPr>
              <w:t>Net cash provided by operating activities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6,043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Capital expenditures to support the business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(2,281)</w:t>
            </w:r>
          </w:p>
        </w:tc>
        <w:tc>
          <w:tcPr>
            <w:tcW w:w="0" w:type="dxa"/>
            <w:vAlign w:val="bottom"/>
          </w:tcPr>
          <w:p>
            <w:pPr>
              <w:spacing w:after="0"/>
              <w:rPr>
                <w:sz w:val="1"/>
                <w:szCs w:val="1"/>
                <w:color w:val="auto"/>
              </w:rPr>
            </w:pPr>
          </w:p>
        </w:tc>
      </w:tr>
      <w:tr>
        <w:trPr>
          <w:trHeight w:val="250"/>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Capital expenditures - sustainability growth investments (a)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(950)</w:t>
            </w:r>
          </w:p>
        </w:tc>
        <w:tc>
          <w:tcPr>
            <w:tcW w:w="0" w:type="dxa"/>
            <w:vAlign w:val="bottom"/>
          </w:tcPr>
          <w:p>
            <w:pPr>
              <w:spacing w:after="0"/>
              <w:rPr>
                <w:sz w:val="1"/>
                <w:szCs w:val="1"/>
                <w:color w:val="auto"/>
              </w:rPr>
            </w:pPr>
          </w:p>
        </w:tc>
      </w:tr>
      <w:tr>
        <w:trPr>
          <w:trHeight w:val="201"/>
        </w:trPr>
        <w:tc>
          <w:tcPr>
            <w:tcW w:w="756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.Totalcapitalexpenditures</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(3,227)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Proceeds from divestitures of businesses and other assets, net of cash divested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.Freecashflow</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2,937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growth investments are intended to further our sustainability leadership position by increasing recycling volumes and growing RNG generation and we expect they will deliver circular solutions for our customers and drive environmental value to the communities we serve.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 and Assumptions</w:t>
      </w:r>
    </w:p>
    <w:p>
      <w:pPr>
        <w:spacing w:after="0" w:line="24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720"/>
          </w:cols>
          <w:pgMar w:left="1080" w:top="1066" w:right="1080" w:bottom="542" w:gutter="0" w:footer="0" w:header="0"/>
          <w:type w:val="continuous"/>
        </w:sectPr>
      </w:pPr>
    </w:p>
    <w:bookmarkStart w:id="150" w:name="page151"/>
    <w:bookmarkEnd w:id="150"/>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Landfills</w:t>
      </w:r>
    </w:p>
    <w:p>
      <w:pPr>
        <w:spacing w:after="0" w:line="2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9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Landfill Costs — </w:t>
      </w:r>
      <w:r>
        <w:rPr>
          <w:rFonts w:ascii="Times New Roman" w:cs="Times New Roman" w:eastAsia="Times New Roman" w:hAnsi="Times New Roman"/>
          <w:sz w:val="20"/>
          <w:szCs w:val="20"/>
          <w:color w:val="auto"/>
        </w:rPr>
        <w:t>We estimate the total cost to develop each of our landfill sites to its remaining permitted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20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Final Capping Costs — </w:t>
      </w:r>
      <w:r>
        <w:rPr>
          <w:rFonts w:ascii="Times New Roman" w:cs="Times New Roman" w:eastAsia="Times New Roman" w:hAnsi="Times New Roman"/>
          <w:sz w:val="20"/>
          <w:szCs w:val="20"/>
          <w:color w:val="auto"/>
        </w:rPr>
        <w:t>We estimate the cost for each final capping event based on the area to be capped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20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Closure and Post-Closure Costs — </w:t>
      </w:r>
      <w:r>
        <w:rPr>
          <w:rFonts w:ascii="Times New Roman" w:cs="Times New Roman" w:eastAsia="Times New Roman" w:hAnsi="Times New Roman"/>
          <w:sz w:val="20"/>
          <w:szCs w:val="20"/>
          <w:color w:val="auto"/>
        </w:rPr>
        <w:t>We base our estimates for closure and post-closure costs on our interpretations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20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Times New Roman" w:cs="Times New Roman" w:eastAsia="Times New Roman" w:hAnsi="Times New Roman"/>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Expansion Airspace — </w:t>
      </w:r>
      <w:r>
        <w:rPr>
          <w:rFonts w:ascii="Times New Roman" w:cs="Times New Roman" w:eastAsia="Times New Roman" w:hAnsi="Times New Roman"/>
          <w:sz w:val="20"/>
          <w:szCs w:val="20"/>
          <w:color w:val="auto"/>
        </w:rPr>
        <w:t>We also include currently unpermitted expansion airspace in our estimate of remaining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211" w:lineRule="exact"/>
        <w:rPr>
          <w:sz w:val="20"/>
          <w:szCs w:val="20"/>
          <w:color w:val="auto"/>
        </w:rPr>
      </w:pPr>
    </w:p>
    <w:p>
      <w:pPr>
        <w:ind w:left="720" w:hanging="353"/>
        <w:spacing w:after="0" w:line="277"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Personnel are actively working on the expansion of an existing landfill, including efforts to obtain land use and local, state or provincial approvals;</w:t>
      </w:r>
    </w:p>
    <w:p>
      <w:pPr>
        <w:spacing w:after="0" w:line="63" w:lineRule="exact"/>
        <w:rPr>
          <w:rFonts w:ascii="Arial" w:cs="Arial" w:eastAsia="Arial" w:hAnsi="Arial"/>
          <w:sz w:val="20"/>
          <w:szCs w:val="20"/>
          <w:color w:val="auto"/>
        </w:rPr>
      </w:pPr>
    </w:p>
    <w:p>
      <w:pPr>
        <w:ind w:left="720" w:hanging="353"/>
        <w:spacing w:after="0"/>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legal right to use or obtain land to be included in the expansion plan;</w:t>
      </w:r>
    </w:p>
    <w:p>
      <w:pPr>
        <w:spacing w:after="0" w:line="132"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no significant known technical, legal, community, business, or political restrictions or similar issues that could negatively affect the success of such expansion; and</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720"/>
          </w:cols>
          <w:pgMar w:left="1080" w:top="1067" w:right="1080" w:bottom="542" w:gutter="0" w:footer="0" w:header="0"/>
          <w:type w:val="continuous"/>
        </w:sectPr>
      </w:pPr>
    </w:p>
    <w:bookmarkStart w:id="151" w:name="page152"/>
    <w:bookmarkEnd w:id="151"/>
    <w:p>
      <w:pPr>
        <w:ind w:left="720" w:hanging="353"/>
        <w:spacing w:after="0" w:line="277"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analysis has been completed based on conceptual design, and the results demonstrate that the expansion meets Company criteria for investment.</w:t>
      </w:r>
    </w:p>
    <w:p>
      <w:pPr>
        <w:spacing w:after="0" w:line="16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0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Remediation Liabilities</w:t>
      </w:r>
    </w:p>
    <w:p>
      <w:pPr>
        <w:spacing w:after="0" w:line="23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w:t>
      </w:r>
    </w:p>
    <w:p>
      <w:pPr>
        <w:sectPr>
          <w:pgSz w:w="11880" w:h="15480" w:orient="portrait"/>
          <w:cols w:equalWidth="0" w:num="1">
            <w:col w:w="9720"/>
          </w:cols>
          <w:pgMar w:left="1080" w:top="1080" w:right="1080" w:bottom="542"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720"/>
          </w:cols>
          <w:pgMar w:left="1080" w:top="1080" w:right="1080" w:bottom="542" w:gutter="0" w:footer="0" w:header="0"/>
          <w:type w:val="continuous"/>
        </w:sectPr>
      </w:pPr>
    </w:p>
    <w:bookmarkStart w:id="152" w:name="page153"/>
    <w:bookmarkEnd w:id="152"/>
    <w:p>
      <w:pPr>
        <w:jc w:val="both"/>
        <w:spacing w:after="0" w:line="259" w:lineRule="auto"/>
        <w:rPr>
          <w:sz w:val="20"/>
          <w:szCs w:val="20"/>
          <w:color w:val="auto"/>
        </w:rPr>
      </w:pPr>
      <w:r>
        <w:rPr>
          <w:rFonts w:ascii="Times New Roman" w:cs="Times New Roman" w:eastAsia="Times New Roman" w:hAnsi="Times New Roman"/>
          <w:sz w:val="20"/>
          <w:szCs w:val="20"/>
          <w:color w:val="auto"/>
        </w:rPr>
        <w:t>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201" w:lineRule="exact"/>
        <w:rPr>
          <w:sz w:val="20"/>
          <w:szCs w:val="20"/>
          <w:color w:val="auto"/>
        </w:rPr>
      </w:pPr>
    </w:p>
    <w:p>
      <w:pPr>
        <w:ind w:left="720" w:hanging="353"/>
        <w:spacing w:after="0"/>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Management’s judgment and experience in remediating our own and unrelated parties’ sites;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available from regulatory agencies as to costs of remediation;</w:t>
      </w:r>
    </w:p>
    <w:p>
      <w:pPr>
        <w:spacing w:after="0" w:line="133"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20"/>
          <w:szCs w:val="20"/>
          <w:color w:val="auto"/>
        </w:rPr>
      </w:pPr>
    </w:p>
    <w:p>
      <w:pPr>
        <w:ind w:left="720" w:hanging="353"/>
        <w:spacing w:after="0"/>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The typical allocation of costs among PRPs, unless the actual allocation has been determined.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to the Consolidated Financial Statements for additional information on our environmental liabilities.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Nonfinancial Assets and Liabilities</w:t>
      </w:r>
    </w:p>
    <w:p>
      <w:pPr>
        <w:spacing w:after="0" w:line="2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Significant estimates are made in determining the fair value of long- 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Including Landfills and Definite-Lived Intangible Assets — </w:t>
      </w:r>
      <w:r>
        <w:rPr>
          <w:rFonts w:ascii="Times New Roman" w:cs="Times New Roman" w:eastAsia="Times New Roman" w:hAnsi="Times New Roman"/>
          <w:sz w:val="20"/>
          <w:szCs w:val="20"/>
          <w:color w:val="auto"/>
        </w:rPr>
        <w:t>We monitor the carrying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720"/>
          </w:cols>
          <w:pgMar w:left="1080" w:top="1066" w:right="1080" w:bottom="542" w:gutter="0" w:footer="0" w:header="0"/>
          <w:type w:val="continuous"/>
        </w:sectPr>
      </w:pPr>
    </w:p>
    <w:bookmarkStart w:id="153" w:name="page154"/>
    <w:bookmarkEnd w:id="153"/>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Times New Roman" w:cs="Times New Roman" w:eastAsia="Times New Roman" w:hAnsi="Times New Roman"/>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more frequently if warranted, we assess the indefinite-lived intangible assets including the goodwill of our reporting units for impairment using Level 3 inputs.</w:t>
      </w:r>
    </w:p>
    <w:p>
      <w:pPr>
        <w:spacing w:after="0" w:line="186"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We may perform either a qualitative or quantitative assessment; however, if a qualitative assessment is performed and we determine that the fair value of a reporting unit is more likely than not to be less than its carrying amount, a quantitative assessment is performed. The quantitative assessment compares the estimated fair value of a reporting unit to its carrying amount, including goodwill. An impairment charge is recognized if the reporting unit’s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 -traded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21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Reporting units within our Healthcare Solutions segment are more sensitive than others to changes in estimated fair values, specifically changes driven by revenue growth, cost and discount rate assumptions, as compared to our other reporting units due to the fact that the Stericycle business comprising these reporting units was recently acquired. As such, the reporting units within our Healthcare Solutions segment have a greater risk of impairment should their operations or market conditions experience a significant downturn.</w:t>
      </w:r>
    </w:p>
    <w:p>
      <w:pPr>
        <w:spacing w:after="0" w:line="19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Acquisitions </w:t>
      </w:r>
      <w:r>
        <w:rPr>
          <w:rFonts w:ascii="Times New Roman" w:cs="Times New Roman" w:eastAsia="Times New Roman" w:hAnsi="Times New Roman"/>
          <w:sz w:val="20"/>
          <w:szCs w:val="20"/>
          <w:color w:val="auto"/>
        </w:rPr>
        <w:t>— In accordance with the acquisition method of accounting, the purchase price paid for an acquisition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assets and liabilities rely on complex estimates and assumptions.</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9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See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(Gain) Loss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Divestitures, Asset Impairments and Unusual Items, Net</w:t>
      </w:r>
      <w:r>
        <w:rPr>
          <w:rFonts w:ascii="Times New Roman" w:cs="Times New Roman" w:eastAsia="Times New Roman" w:hAnsi="Times New Roman"/>
          <w:sz w:val="20"/>
          <w:szCs w:val="20"/>
          <w:color w:val="auto"/>
        </w:rPr>
        <w:t>. See Note 11 to the Consolidated Financial Statements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information related to Asset Impairments and Unusual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4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further discussion.</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720"/>
          </w:cols>
          <w:pgMar w:left="1080" w:top="1066" w:right="1080" w:bottom="542"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the normal course of business, we are exposed to market risks, including changes in interest rates, certain commodity prices and currency rates. From time to time, we use derivatives to manage some portion of these risks. As of December 31, 2025 our outstanding derivatives were immaterial.</w:t>
      </w:r>
    </w:p>
    <w:p>
      <w:pPr>
        <w:spacing w:after="0" w:line="18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Interest Rate Exposure — </w:t>
      </w:r>
      <w:r>
        <w:rPr>
          <w:rFonts w:ascii="Times New Roman" w:cs="Times New Roman" w:eastAsia="Times New Roman" w:hAnsi="Times New Roman"/>
          <w:sz w:val="19"/>
          <w:szCs w:val="19"/>
          <w:color w:val="auto"/>
        </w:rPr>
        <w:t>Our exposure to market risk for changes in interest rates relates primarily to our financing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activities. As of December 31, 2025 and 2024, we had $22.9 billion and $24.1 billion, respectively, of long-term debt, excluding the impacts of accounting for debt issuance costs, discounts and fair value adjustments attributable to terminated interest rate derivatives. As of December 31, 2025, we have $2.9 billion of debt that is exposed to changes in market interest rates within the next 12 months, compared to $2.7 million as of December 31, 2024, comprised primarily of</w:t>
      </w:r>
    </w:p>
    <w:p>
      <w:pPr>
        <w:spacing w:after="0" w:line="4" w:lineRule="exact"/>
        <w:rPr>
          <w:sz w:val="20"/>
          <w:szCs w:val="20"/>
          <w:color w:val="auto"/>
        </w:rPr>
      </w:pPr>
    </w:p>
    <w:p>
      <w:pPr>
        <w:jc w:val="both"/>
        <w:ind w:firstLine="7"/>
        <w:spacing w:after="0" w:line="243" w:lineRule="auto"/>
        <w:tabs>
          <w:tab w:leader="none" w:pos="2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billion of short-term borrowings under our commercial paper program and (ii) $1.8 billion of tax-exempt bonds with term interest rate periods that expire within the next 12 months. We currently estimate that a 100-basis point increase in the interest rates of our outstanding variable-rate debt obligations would increase our 2025 interest expense by $35 million.</w:t>
      </w:r>
    </w:p>
    <w:p>
      <w:pPr>
        <w:spacing w:after="0" w:line="20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6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$0.8 billion as of December 31, 2025.</w:t>
      </w:r>
    </w:p>
    <w:p>
      <w:pPr>
        <w:spacing w:after="0" w:line="19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ten years, as well as equity securities.</w:t>
      </w:r>
    </w:p>
    <w:p>
      <w:pPr>
        <w:spacing w:after="0" w:line="20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Commodity Price Exposure — </w:t>
      </w:r>
      <w:r>
        <w:rPr>
          <w:rFonts w:ascii="Times New Roman" w:cs="Times New Roman" w:eastAsia="Times New Roman" w:hAnsi="Times New Roman"/>
          <w:sz w:val="20"/>
          <w:szCs w:val="20"/>
          <w:color w:val="auto"/>
        </w:rPr>
        <w:t>In the normal course of our business, we are subject to operating agreements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expose us to market risks arising from changes in the prices for commodities such as diesel fuel, natural gas,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decreased $166 million and increased $245 million in 2025 and 2024, respectively, as compared to prior year periods. During 2025, we experienced decreases in market prices for recycled commodities when compared to prior year caused by a number of factors, including the closure of domestic paper mills, a decrease in demand for recycled content by certain consumer goods producers, focused reduction in cardboard packaging and overall market conditions. Average market prices for single-stream recycled commodities were down 20% and up 50% in 2025 and 2024, respectively, as compared to prior year periods. Variability in commodity prices can also impact the margins of our business as certain components of our revenue are structured as a pass through of costs, including recycling brokerage and fuel surcharges.</w:t>
      </w:r>
    </w:p>
    <w:p>
      <w:pPr>
        <w:spacing w:after="0" w:line="20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recent years, we have discussed our sustainability growth strategy that includes significant planned and ongoing investments in our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federal tax credits for investments in RNG under the IRA and OBBBA, and federal and state incentive programs, such as the federal RFS program, California’s Low Carbon Fuel</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720"/>
          </w:cols>
          <w:pgMar w:left="1080" w:top="1063" w:right="1080" w:bottom="542" w:gutter="0" w:footer="0" w:header="0"/>
          <w:type w:val="continuous"/>
        </w:sectPr>
      </w:pPr>
    </w:p>
    <w:bookmarkStart w:id="155" w:name="page156"/>
    <w:bookmarkEnd w:id="155"/>
    <w:p>
      <w:pPr>
        <w:jc w:val="both"/>
        <w:spacing w:after="0" w:line="246" w:lineRule="auto"/>
        <w:rPr>
          <w:sz w:val="20"/>
          <w:szCs w:val="20"/>
          <w:color w:val="auto"/>
        </w:rPr>
      </w:pPr>
      <w:r>
        <w:rPr>
          <w:rFonts w:ascii="Times New Roman" w:cs="Times New Roman" w:eastAsia="Times New Roman" w:hAnsi="Times New Roman"/>
          <w:sz w:val="20"/>
          <w:szCs w:val="20"/>
          <w:color w:val="auto"/>
        </w:rPr>
        <w:t>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20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RINs prices generally respond to regulations enacted by the EPA, as well as fluctuations in supply and demand. The value of the RINs is set through a market established by the RFS program, which market has historically been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The current U.S. presidential administration, meanwhile, revisited and retroactively lowered the 2024 blending volumes, has proposed to revisit and lower the 2025 standards, has proposed low volumes for compliance years 2026 and 2027 and departed from the previous administration in granting small refinery exemptions from RFS program requirements. We do not yet know how these changes may impact the demand for renewable fuels and the value of RINs. In an effort to mitigate against such risk and stabilize our RNG portfolio, we are pursuing long-term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Such changes could impact or alter our projected future investments, and such investments may not yield the results anticipated. Revenue in our Renewable Energy segment attributable to yield increased $11 million and $26 million in 2025 and 2024, respectively, as compared to prior year periods, primarily driven by the fluctuations in energy and RIN market prices.</w:t>
      </w:r>
    </w:p>
    <w:p>
      <w:pPr>
        <w:spacing w:after="0" w:line="20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A similar program has been adopted in Canada under the Clean Fuel Regulations.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203"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Currency Rate Exposure — </w:t>
      </w:r>
      <w:r>
        <w:rPr>
          <w:rFonts w:ascii="Times New Roman" w:cs="Times New Roman" w:eastAsia="Times New Roman" w:hAnsi="Times New Roman"/>
          <w:sz w:val="19"/>
          <w:szCs w:val="19"/>
          <w:color w:val="auto"/>
        </w:rPr>
        <w:t>Our operations are primarily in the U.S. but we also have significant operations in Canada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certain countries in Europe. Additionally, we have certain support functions in India. Where significant, we have quantified and described the impact of foreign currency translation on components of income, including operating revenues and operating expenses. However, the impact of foreign currency has not materially affected our results of operations.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720"/>
          </w:cols>
          <w:pgMar w:left="1080" w:top="1066" w:right="1080" w:bottom="542"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 TO</w:t>
      </w:r>
    </w:p>
    <w:p>
      <w:pPr>
        <w:spacing w:after="0" w:line="24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4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36"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Reports of Independent Registered Public Accounting Firm (PCAOB ID 42)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1"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Consolidated Balance Sheets as of December 31, 2025 and 2024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 . . . . . . . . . . . . . .</w:t>
      </w:r>
      <w:r>
        <w:rPr>
          <w:sz w:val="20"/>
          <w:szCs w:val="20"/>
          <w:color w:val="auto"/>
        </w:rPr>
        <w:tab/>
      </w:r>
      <w:r>
        <w:rPr>
          <w:rFonts w:ascii="Times New Roman" w:cs="Times New Roman" w:eastAsia="Times New Roman" w:hAnsi="Times New Roman"/>
          <w:sz w:val="20"/>
          <w:szCs w:val="20"/>
          <w:color w:val="auto"/>
        </w:rPr>
        <w:t>77</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2024 and 2023 . . .</w:t>
      </w:r>
      <w:r>
        <w:rPr>
          <w:sz w:val="20"/>
          <w:szCs w:val="20"/>
          <w:color w:val="auto"/>
        </w:rPr>
        <w:tab/>
      </w:r>
      <w:r>
        <w:rPr>
          <w:rFonts w:ascii="Times New Roman" w:cs="Times New Roman" w:eastAsia="Times New Roman" w:hAnsi="Times New Roman"/>
          <w:sz w:val="20"/>
          <w:szCs w:val="20"/>
          <w:color w:val="auto"/>
        </w:rPr>
        <w:t>77</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 . . . . . . . . . . . . . .</w:t>
      </w:r>
      <w:r>
        <w:rPr>
          <w:sz w:val="20"/>
          <w:szCs w:val="20"/>
          <w:color w:val="auto"/>
        </w:rPr>
        <w:tab/>
      </w:r>
      <w:r>
        <w:rPr>
          <w:rFonts w:ascii="Times New Roman" w:cs="Times New Roman" w:eastAsia="Times New Roman" w:hAnsi="Times New Roman"/>
          <w:sz w:val="20"/>
          <w:szCs w:val="20"/>
          <w:color w:val="auto"/>
        </w:rPr>
        <w:t>78</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Consolidated Statements of Changes in Equity for the Years Ended December 31, 2025, 2024 and 2023 . . . . . . . .</w:t>
      </w:r>
      <w:r>
        <w:rPr>
          <w:sz w:val="20"/>
          <w:szCs w:val="20"/>
          <w:color w:val="auto"/>
        </w:rPr>
        <w:tab/>
      </w:r>
      <w:r>
        <w:rPr>
          <w:rFonts w:ascii="Times New Roman" w:cs="Times New Roman" w:eastAsia="Times New Roman" w:hAnsi="Times New Roman"/>
          <w:sz w:val="20"/>
          <w:szCs w:val="20"/>
          <w:color w:val="auto"/>
        </w:rPr>
        <w:t>79</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 .</w:t>
      </w:r>
      <w:r>
        <w:rPr>
          <w:sz w:val="20"/>
          <w:szCs w:val="20"/>
          <w:color w:val="auto"/>
        </w:rPr>
        <w:tab/>
      </w:r>
      <w:r>
        <w:rPr>
          <w:rFonts w:ascii="Times New Roman" w:cs="Times New Roman" w:eastAsia="Times New Roman" w:hAnsi="Times New Roman"/>
          <w:sz w:val="20"/>
          <w:szCs w:val="20"/>
          <w:color w:val="auto"/>
        </w:rPr>
        <w:t>80</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720"/>
          </w:cols>
          <w:pgMar w:left="1080" w:top="1063" w:right="1080" w:bottom="542" w:gutter="0" w:footer="0" w:header="0"/>
          <w:type w:val="continuous"/>
        </w:sectPr>
      </w:pPr>
    </w:p>
    <w:bookmarkStart w:id="157" w:name="page158"/>
    <w:bookmarkEnd w:id="157"/>
    <w:p>
      <w:pPr>
        <w:ind w:right="1440" w:firstLine="1424"/>
        <w:spacing w:after="0" w:line="468"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Waste Management,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have audited Waste Management, Inc.’s internal control over financial reporting as of December 31, 2025,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2025, based on the COSO criteria.</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2025 consolidated financial statements of the Company, and our report dated February 9, 2026 expressed an unqualified opinion thereon.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32" w:lineRule="exact"/>
        <w:rPr>
          <w:sz w:val="20"/>
          <w:szCs w:val="20"/>
          <w:color w:val="auto"/>
        </w:rPr>
      </w:pPr>
    </w:p>
    <w:p>
      <w:pPr>
        <w:jc w:val="both"/>
        <w:ind w:firstLine="1"/>
        <w:spacing w:after="0" w:line="24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rPr>
          <w:sz w:val="20"/>
          <w:szCs w:val="20"/>
          <w:color w:val="auto"/>
        </w:rPr>
      </w:pPr>
      <w:r>
        <w:rPr>
          <w:rFonts w:ascii="Times New Roman" w:cs="Times New Roman" w:eastAsia="Times New Roman" w:hAnsi="Times New Roman"/>
          <w:sz w:val="20"/>
          <w:szCs w:val="20"/>
          <w:color w:val="auto"/>
        </w:rPr>
        <w:t>February 9, 2026</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720"/>
          </w:cols>
          <w:pgMar w:left="1080" w:top="1063" w:right="1080" w:bottom="542" w:gutter="0" w:footer="0" w:header="0"/>
          <w:type w:val="continuous"/>
        </w:sectPr>
      </w:pPr>
    </w:p>
    <w:bookmarkStart w:id="158" w:name="page159"/>
    <w:bookmarkEnd w:id="158"/>
    <w:p>
      <w:pPr>
        <w:ind w:left="1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Waste Management,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Waste Management, Inc. (the Company) as of December 31, 2025 and 2024, the related consolidated statements of operations, comprehensive income, cash flows and changes in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9, 2026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720"/>
          </w:cols>
          <w:pgMar w:left="1080" w:top="1063" w:right="1080" w:bottom="542" w:gutter="0" w:footer="0" w:header="0"/>
          <w:type w:val="continuous"/>
        </w:sectPr>
      </w:pPr>
    </w:p>
    <w:bookmarkStart w:id="159" w:name="page160"/>
    <w:bookmarkEnd w:id="159"/>
    <w:p>
      <w:pPr>
        <w:ind w:left="1980"/>
        <w:spacing w:after="0"/>
        <w:rPr>
          <w:sz w:val="20"/>
          <w:szCs w:val="20"/>
          <w:color w:val="auto"/>
        </w:rPr>
      </w:pPr>
      <w:r>
        <w:rPr>
          <w:rFonts w:ascii="Times New Roman" w:cs="Times New Roman" w:eastAsia="Times New Roman" w:hAnsi="Times New Roman"/>
          <w:sz w:val="19"/>
          <w:szCs w:val="19"/>
          <w:b w:val="1"/>
          <w:bCs w:val="1"/>
          <w:i w:val="1"/>
          <w:iCs w:val="1"/>
          <w:color w:val="auto"/>
        </w:rPr>
        <w:t>Landfill Depletion Expense</w:t>
      </w:r>
    </w:p>
    <w:p>
      <w:pPr>
        <w:sectPr>
          <w:pgSz w:w="11880" w:h="15480" w:orient="portrait"/>
          <w:cols w:equalWidth="0" w:num="1">
            <w:col w:w="9240"/>
          </w:cols>
          <w:pgMar w:left="1200" w:top="1087" w:right="1440" w:bottom="542" w:gutter="0" w:footer="0" w:header="0"/>
        </w:sectPr>
      </w:pPr>
    </w:p>
    <w:p>
      <w:pPr>
        <w:spacing w:after="0" w:line="24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20"/>
          <w:szCs w:val="20"/>
          <w:color w:val="auto"/>
        </w:rPr>
        <w:t>At December 31, 2025, the Company’s landfill assets, net of accumulated depletion, totaled $8.2 billion and the associated depletion expense for 2025 was $898 million. As discussed in Note 2 of the consolidated financial statements, the Company updates the estimates used to calculate individual landfill depletion rates at least annually, or more often if significant facts change. Landfill depletion rates are used in the computation of landfill depletion expense.</w:t>
      </w:r>
    </w:p>
    <w:p>
      <w:pPr>
        <w:spacing w:after="0" w:line="191" w:lineRule="exact"/>
        <w:rPr>
          <w:sz w:val="20"/>
          <w:szCs w:val="20"/>
          <w:color w:val="auto"/>
        </w:rPr>
      </w:pPr>
    </w:p>
    <w:p>
      <w:pPr>
        <w:sectPr>
          <w:pgSz w:w="11880" w:h="15480" w:orient="portrait"/>
          <w:cols w:equalWidth="0" w:num="2">
            <w:col w:w="1440" w:space="540"/>
            <w:col w:w="7260"/>
          </w:cols>
          <w:pgMar w:left="1200" w:top="1087" w:right="1440" w:bottom="542" w:gutter="0" w:footer="0" w:header="0"/>
          <w:type w:val="continuous"/>
        </w:sectPr>
      </w:pPr>
    </w:p>
    <w:p>
      <w:pPr>
        <w:jc w:val="both"/>
        <w:ind w:left="1980" w:right="100"/>
        <w:spacing w:after="0" w:line="249" w:lineRule="auto"/>
        <w:rPr>
          <w:sz w:val="20"/>
          <w:szCs w:val="20"/>
          <w:color w:val="auto"/>
        </w:rPr>
      </w:pPr>
      <w:r>
        <w:rPr>
          <w:rFonts w:ascii="Times New Roman" w:cs="Times New Roman" w:eastAsia="Times New Roman" w:hAnsi="Times New Roman"/>
          <w:sz w:val="20"/>
          <w:szCs w:val="20"/>
          <w:color w:val="auto"/>
        </w:rPr>
        <w:t>Auditing landfill depletion rates and related depletion expense is complex due to the highly judgmental nature of assumptions used in estimating the rates. Significant assumptions used in the calculation of the rates include: estimated future development costs associated with the construction and retirement of the landfill, estimated remaining permitted and expansion airspace, and airspace utilization factors.</w:t>
      </w:r>
    </w:p>
    <w:p>
      <w:pPr>
        <w:sectPr>
          <w:pgSz w:w="11880" w:h="15480" w:orient="portrait"/>
          <w:cols w:equalWidth="0" w:num="1">
            <w:col w:w="9240"/>
          </w:cols>
          <w:pgMar w:left="1200" w:top="1087" w:right="1440" w:bottom="542" w:gutter="0" w:footer="0" w:header="0"/>
          <w:type w:val="continuous"/>
        </w:sectPr>
      </w:pP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the Company’s controls over determining landfill depletion rates and calculating depletion expense. Our audit procedures included, among others, testing controls over: the Company’s process for evaluating and updating the significant assumptions used in the development of the landfill depletion rates, management’s review of those significant assumptions, and the mathematical accuracy of the calculation and recording of depletion expense.</w:t>
      </w:r>
    </w:p>
    <w:p>
      <w:pPr>
        <w:spacing w:after="0" w:line="190" w:lineRule="exact"/>
        <w:rPr>
          <w:sz w:val="20"/>
          <w:szCs w:val="20"/>
          <w:color w:val="auto"/>
        </w:rPr>
      </w:pPr>
    </w:p>
    <w:p>
      <w:pPr>
        <w:sectPr>
          <w:pgSz w:w="11880" w:h="15480" w:orient="portrait"/>
          <w:cols w:equalWidth="0" w:num="2">
            <w:col w:w="1560" w:space="420"/>
            <w:col w:w="7260"/>
          </w:cols>
          <w:pgMar w:left="1200" w:top="1087" w:right="1440" w:bottom="542" w:gutter="0" w:footer="0" w:header="0"/>
          <w:type w:val="continuous"/>
        </w:sectPr>
      </w:pPr>
    </w:p>
    <w:p>
      <w:pPr>
        <w:jc w:val="both"/>
        <w:ind w:left="1980" w:right="100"/>
        <w:spacing w:after="0" w:line="256" w:lineRule="auto"/>
        <w:rPr>
          <w:sz w:val="20"/>
          <w:szCs w:val="20"/>
          <w:color w:val="auto"/>
        </w:rPr>
      </w:pPr>
      <w:r>
        <w:rPr>
          <w:rFonts w:ascii="Times New Roman" w:cs="Times New Roman" w:eastAsia="Times New Roman" w:hAnsi="Times New Roman"/>
          <w:sz w:val="19"/>
          <w:szCs w:val="19"/>
          <w:color w:val="auto"/>
        </w:rPr>
        <w:t>To test the landfill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comparably sized landfills accepting a similar type of waste. Regarding expansion airspace, we evaluated the Company’s criteria for inclusion of unpermitted expansions in remaining airspace and the application of that criteria to relevant facts.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ind w:left="1980"/>
        <w:spacing w:after="0"/>
        <w:rPr>
          <w:sz w:val="20"/>
          <w:szCs w:val="20"/>
          <w:color w:val="auto"/>
        </w:rPr>
      </w:pPr>
      <w:r>
        <w:rPr>
          <w:rFonts w:ascii="Times New Roman" w:cs="Times New Roman" w:eastAsia="Times New Roman" w:hAnsi="Times New Roman"/>
          <w:sz w:val="20"/>
          <w:szCs w:val="20"/>
          <w:b w:val="1"/>
          <w:bCs w:val="1"/>
          <w:i w:val="1"/>
          <w:iCs w:val="1"/>
          <w:color w:val="auto"/>
        </w:rPr>
        <w:t>Landfill – Final Capping, Closure and Post-Closure Costs</w:t>
      </w:r>
    </w:p>
    <w:p>
      <w:pPr>
        <w:sectPr>
          <w:pgSz w:w="11880" w:h="15480" w:orient="portrait"/>
          <w:cols w:equalWidth="0" w:num="1">
            <w:col w:w="9240"/>
          </w:cols>
          <w:pgMar w:left="1200" w:top="1087" w:right="1440" w:bottom="542" w:gutter="0" w:footer="0" w:header="0"/>
          <w:type w:val="continuous"/>
        </w:sectPr>
      </w:pPr>
    </w:p>
    <w:p>
      <w:pPr>
        <w:spacing w:after="0" w:line="15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9"/>
          <w:szCs w:val="19"/>
          <w:color w:val="auto"/>
        </w:rPr>
        <w:t>At December 31, 2025, the Company’s landfill asset retirement obligations related to final capping, closure and post-closure costs totaled $3.3 billion. As discussed in Note 2 of the consolidated financial statements, the Company updates the estimates used to measure the asset retirement obligations annually, or more often if significant facts change.</w:t>
      </w:r>
    </w:p>
    <w:p>
      <w:pPr>
        <w:spacing w:after="0" w:line="167" w:lineRule="exact"/>
        <w:rPr>
          <w:sz w:val="20"/>
          <w:szCs w:val="20"/>
          <w:color w:val="auto"/>
        </w:rPr>
      </w:pPr>
    </w:p>
    <w:p>
      <w:pPr>
        <w:sectPr>
          <w:pgSz w:w="11880" w:h="15480" w:orient="portrait"/>
          <w:cols w:equalWidth="0" w:num="2">
            <w:col w:w="1440" w:space="540"/>
            <w:col w:w="7260"/>
          </w:cols>
          <w:pgMar w:left="1200" w:top="1087" w:right="1440" w:bottom="542" w:gutter="0" w:footer="0" w:header="0"/>
          <w:type w:val="continuous"/>
        </w:sectPr>
      </w:pPr>
    </w:p>
    <w:p>
      <w:pPr>
        <w:jc w:val="both"/>
        <w:ind w:left="1980" w:right="100"/>
        <w:spacing w:after="0" w:line="249" w:lineRule="auto"/>
        <w:rPr>
          <w:sz w:val="20"/>
          <w:szCs w:val="20"/>
          <w:color w:val="auto"/>
        </w:rPr>
      </w:pPr>
      <w:r>
        <w:rPr>
          <w:rFonts w:ascii="Times New Roman" w:cs="Times New Roman" w:eastAsia="Times New Roman" w:hAnsi="Times New Roman"/>
          <w:sz w:val="20"/>
          <w:szCs w:val="20"/>
          <w:color w:val="auto"/>
        </w:rPr>
        <w:t>Auditing the landfill asset retirement obligation is complex due to the highly judgmental nature of the assumptions used in the measurement process. Significant assumptions include: estimated future costs associated with the capping, closure and post-closure activities at each landfill, airspace consumed to date in relation to total estimated permitted and expansion airspace and the projected remaining landfill life.</w:t>
      </w:r>
    </w:p>
    <w:p>
      <w:pPr>
        <w:sectPr>
          <w:pgSz w:w="11880" w:h="15480" w:orient="portrait"/>
          <w:cols w:equalWidth="0" w:num="1">
            <w:col w:w="9240"/>
          </w:cols>
          <w:pgMar w:left="1200" w:top="1087" w:right="1440" w:bottom="542" w:gutter="0" w:footer="0" w:header="0"/>
          <w:type w:val="continuous"/>
        </w:sectPr>
      </w:pPr>
    </w:p>
    <w:p>
      <w:pPr>
        <w:spacing w:after="0" w:line="20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the Company’s controls over the calculation of landfill asset retirement obligations. Our audit procedures included, among others, testing the Company’s controls over the landfill asset retirement obligation estimation process and management’s review of the significant assumptions used in the estimation of the liability, including the amount and timing of retirement costs.</w:t>
      </w:r>
    </w:p>
    <w:p>
      <w:pPr>
        <w:spacing w:after="0" w:line="200" w:lineRule="exact"/>
        <w:rPr>
          <w:sz w:val="20"/>
          <w:szCs w:val="20"/>
          <w:color w:val="auto"/>
        </w:rPr>
      </w:pPr>
    </w:p>
    <w:p>
      <w:pPr>
        <w:sectPr>
          <w:pgSz w:w="11880" w:h="15480" w:orient="portrait"/>
          <w:cols w:equalWidth="0" w:num="2">
            <w:col w:w="1560" w:space="420"/>
            <w:col w:w="7260"/>
          </w:cols>
          <w:pgMar w:left="1200" w:top="1087" w:right="1440" w:bottom="542"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240"/>
          </w:cols>
          <w:pgMar w:left="1200" w:top="1087" w:right="1440" w:bottom="542" w:gutter="0" w:footer="0" w:header="0"/>
          <w:type w:val="continuous"/>
        </w:sectPr>
      </w:pPr>
    </w:p>
    <w:bookmarkStart w:id="160" w:name="page161"/>
    <w:bookmarkEnd w:id="160"/>
    <w:p>
      <w:pPr>
        <w:ind w:left="2100"/>
        <w:spacing w:after="0"/>
        <w:rPr>
          <w:sz w:val="20"/>
          <w:szCs w:val="20"/>
          <w:color w:val="auto"/>
        </w:rPr>
      </w:pPr>
      <w:r>
        <w:rPr>
          <w:rFonts w:ascii="Times New Roman" w:cs="Times New Roman" w:eastAsia="Times New Roman" w:hAnsi="Times New Roman"/>
          <w:sz w:val="20"/>
          <w:szCs w:val="20"/>
          <w:color w:val="auto"/>
        </w:rPr>
        <w:t>To test the landfill asset retirement obligation, we performed audit procedures that</w:t>
      </w:r>
    </w:p>
    <w:p>
      <w:pPr>
        <w:spacing w:after="0" w:line="2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included, among others, assessing methodologies used by the Company, testing the</w:t>
      </w:r>
    </w:p>
    <w:p>
      <w:pPr>
        <w:ind w:left="2100"/>
        <w:spacing w:after="0"/>
        <w:rPr>
          <w:sz w:val="20"/>
          <w:szCs w:val="20"/>
          <w:color w:val="auto"/>
        </w:rPr>
      </w:pPr>
      <w:r>
        <w:rPr>
          <w:rFonts w:ascii="Times New Roman" w:cs="Times New Roman" w:eastAsia="Times New Roman" w:hAnsi="Times New Roman"/>
          <w:sz w:val="20"/>
          <w:szCs w:val="20"/>
          <w:color w:val="auto"/>
        </w:rPr>
        <w:t>completeness of activities included in the estimate (e.g., gas monitoring and extraction),</w:t>
      </w:r>
    </w:p>
    <w:p>
      <w:pPr>
        <w:ind w:left="2100"/>
        <w:spacing w:after="0"/>
        <w:rPr>
          <w:sz w:val="20"/>
          <w:szCs w:val="20"/>
          <w:color w:val="auto"/>
        </w:rPr>
      </w:pPr>
      <w:r>
        <w:rPr>
          <w:rFonts w:ascii="Times New Roman" w:cs="Times New Roman" w:eastAsia="Times New Roman" w:hAnsi="Times New Roman"/>
          <w:sz w:val="20"/>
          <w:szCs w:val="20"/>
          <w:color w:val="auto"/>
        </w:rPr>
        <w:t>and testing the significant assumptions discussed above, inclusive of the underlying data</w:t>
      </w:r>
    </w:p>
    <w:p>
      <w:pPr>
        <w:ind w:left="2100"/>
        <w:spacing w:after="0"/>
        <w:rPr>
          <w:sz w:val="20"/>
          <w:szCs w:val="20"/>
          <w:color w:val="auto"/>
        </w:rPr>
      </w:pPr>
      <w:r>
        <w:rPr>
          <w:rFonts w:ascii="Times New Roman" w:cs="Times New Roman" w:eastAsia="Times New Roman" w:hAnsi="Times New Roman"/>
          <w:sz w:val="20"/>
          <w:szCs w:val="20"/>
          <w:color w:val="auto"/>
        </w:rPr>
        <w:t>used by the Company in its development of these assumptions. We compared the</w:t>
      </w:r>
    </w:p>
    <w:p>
      <w:pPr>
        <w:ind w:left="2100"/>
        <w:spacing w:after="0"/>
        <w:rPr>
          <w:sz w:val="20"/>
          <w:szCs w:val="20"/>
          <w:color w:val="auto"/>
        </w:rPr>
      </w:pPr>
      <w:r>
        <w:rPr>
          <w:rFonts w:ascii="Times New Roman" w:cs="Times New Roman" w:eastAsia="Times New Roman" w:hAnsi="Times New Roman"/>
          <w:sz w:val="20"/>
          <w:szCs w:val="20"/>
          <w:color w:val="auto"/>
        </w:rPr>
        <w:t>significant assumptions used by management to historical trends and, when available, to</w:t>
      </w:r>
    </w:p>
    <w:p>
      <w:pPr>
        <w:ind w:left="2100"/>
        <w:spacing w:after="0"/>
        <w:rPr>
          <w:sz w:val="20"/>
          <w:szCs w:val="20"/>
          <w:color w:val="auto"/>
        </w:rPr>
      </w:pPr>
      <w:r>
        <w:rPr>
          <w:rFonts w:ascii="Times New Roman" w:cs="Times New Roman" w:eastAsia="Times New Roman" w:hAnsi="Times New Roman"/>
          <w:sz w:val="20"/>
          <w:szCs w:val="20"/>
          <w:color w:val="auto"/>
        </w:rPr>
        <w:t>comparably sized landfills accepting the same type of waste. In addition, we considered</w:t>
      </w:r>
    </w:p>
    <w:p>
      <w:pPr>
        <w:ind w:left="2100"/>
        <w:spacing w:after="0"/>
        <w:rPr>
          <w:sz w:val="20"/>
          <w:szCs w:val="20"/>
          <w:color w:val="auto"/>
        </w:rPr>
      </w:pPr>
      <w:r>
        <w:rPr>
          <w:rFonts w:ascii="Times New Roman" w:cs="Times New Roman" w:eastAsia="Times New Roman" w:hAnsi="Times New Roman"/>
          <w:sz w:val="20"/>
          <w:szCs w:val="20"/>
          <w:color w:val="auto"/>
        </w:rPr>
        <w:t>the professional qualifications and objectivity of management’s internal engineers</w:t>
      </w:r>
    </w:p>
    <w:p>
      <w:pPr>
        <w:ind w:left="2100"/>
        <w:spacing w:after="0"/>
        <w:rPr>
          <w:sz w:val="20"/>
          <w:szCs w:val="20"/>
          <w:color w:val="auto"/>
        </w:rPr>
      </w:pPr>
      <w:r>
        <w:rPr>
          <w:rFonts w:ascii="Times New Roman" w:cs="Times New Roman" w:eastAsia="Times New Roman" w:hAnsi="Times New Roman"/>
          <w:sz w:val="20"/>
          <w:szCs w:val="20"/>
          <w:color w:val="auto"/>
        </w:rPr>
        <w:t>responsible for developing the assumptions. We involved EY engineering specialists to</w:t>
      </w:r>
    </w:p>
    <w:p>
      <w:pPr>
        <w:ind w:left="2100"/>
        <w:spacing w:after="0"/>
        <w:rPr>
          <w:sz w:val="20"/>
          <w:szCs w:val="20"/>
          <w:color w:val="auto"/>
        </w:rPr>
      </w:pPr>
      <w:r>
        <w:rPr>
          <w:rFonts w:ascii="Times New Roman" w:cs="Times New Roman" w:eastAsia="Times New Roman" w:hAnsi="Times New Roman"/>
          <w:sz w:val="20"/>
          <w:szCs w:val="20"/>
          <w:color w:val="auto"/>
        </w:rPr>
        <w:t>assist us in evaluating the reasons for significant changes in assumptions from the</w:t>
      </w:r>
    </w:p>
    <w:p>
      <w:pPr>
        <w:ind w:left="2100"/>
        <w:spacing w:after="0"/>
        <w:rPr>
          <w:sz w:val="20"/>
          <w:szCs w:val="20"/>
          <w:color w:val="auto"/>
        </w:rPr>
      </w:pPr>
      <w:r>
        <w:rPr>
          <w:rFonts w:ascii="Times New Roman" w:cs="Times New Roman" w:eastAsia="Times New Roman" w:hAnsi="Times New Roman"/>
          <w:sz w:val="20"/>
          <w:szCs w:val="20"/>
          <w:color w:val="auto"/>
        </w:rPr>
        <w:t>historical trend and determining whether the change from the historical trend was</w:t>
      </w:r>
    </w:p>
    <w:p>
      <w:pPr>
        <w:ind w:left="2100"/>
        <w:spacing w:after="0"/>
        <w:rPr>
          <w:sz w:val="20"/>
          <w:szCs w:val="20"/>
          <w:color w:val="auto"/>
        </w:rPr>
      </w:pPr>
      <w:r>
        <w:rPr>
          <w:rFonts w:ascii="Times New Roman" w:cs="Times New Roman" w:eastAsia="Times New Roman" w:hAnsi="Times New Roman"/>
          <w:sz w:val="20"/>
          <w:szCs w:val="20"/>
          <w:color w:val="auto"/>
        </w:rPr>
        <w:t>appropriate and identified timely. We also tested the completeness and accuracy of the</w:t>
      </w:r>
    </w:p>
    <w:p>
      <w:pPr>
        <w:ind w:left="2100"/>
        <w:spacing w:after="0"/>
        <w:rPr>
          <w:sz w:val="20"/>
          <w:szCs w:val="20"/>
          <w:color w:val="auto"/>
        </w:rPr>
      </w:pPr>
      <w:r>
        <w:rPr>
          <w:rFonts w:ascii="Times New Roman" w:cs="Times New Roman" w:eastAsia="Times New Roman" w:hAnsi="Times New Roman"/>
          <w:sz w:val="20"/>
          <w:szCs w:val="20"/>
          <w:color w:val="auto"/>
        </w:rPr>
        <w:t>historical data utilized in preparing the estimate.</w:t>
      </w:r>
    </w:p>
    <w:p>
      <w:pPr>
        <w:spacing w:after="0" w:line="20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Assessment - Healthcare Solutions Segment</w:t>
      </w:r>
    </w:p>
    <w:p>
      <w:pPr>
        <w:spacing w:after="0" w:line="239"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At December 31, 2025, the Company’s goodwill related to the Healthcare Solutions</w:t>
      </w:r>
    </w:p>
    <w:p>
      <w:pPr>
        <w:spacing w:after="0" w:line="28"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segment totaled $3.8 billion. As discussed in Note 2 and Note 5 of the consolidated</w:t>
      </w:r>
    </w:p>
    <w:p>
      <w:pPr>
        <w:ind w:left="2100"/>
        <w:spacing w:after="0"/>
        <w:rPr>
          <w:sz w:val="20"/>
          <w:szCs w:val="20"/>
          <w:color w:val="auto"/>
        </w:rPr>
      </w:pPr>
      <w:r>
        <w:rPr>
          <w:rFonts w:ascii="Times New Roman" w:cs="Times New Roman" w:eastAsia="Times New Roman" w:hAnsi="Times New Roman"/>
          <w:sz w:val="20"/>
          <w:szCs w:val="20"/>
          <w:color w:val="auto"/>
        </w:rPr>
        <w:t>financial statements, goodwill is tested for impairment at least annually on October 1 at</w:t>
      </w:r>
    </w:p>
    <w:p>
      <w:pPr>
        <w:ind w:left="2100"/>
        <w:spacing w:after="0"/>
        <w:rPr>
          <w:sz w:val="20"/>
          <w:szCs w:val="20"/>
          <w:color w:val="auto"/>
        </w:rPr>
      </w:pPr>
      <w:r>
        <w:rPr>
          <w:rFonts w:ascii="Times New Roman" w:cs="Times New Roman" w:eastAsia="Times New Roman" w:hAnsi="Times New Roman"/>
          <w:sz w:val="19"/>
          <w:szCs w:val="19"/>
          <w:color w:val="auto"/>
        </w:rPr>
        <w:t>the reporting unit level, or more frequently if impairment indicators arise. The assessment</w:t>
      </w:r>
    </w:p>
    <w:p>
      <w:pPr>
        <w:spacing w:after="0" w:line="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color w:val="auto"/>
        </w:rPr>
        <w:t>of goodwill for impairment requires a comparison of the fair value of the reporting unit to</w:t>
      </w:r>
    </w:p>
    <w:p>
      <w:pPr>
        <w:spacing w:after="0" w:line="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color w:val="auto"/>
        </w:rPr>
        <w:t>its carrying amount, including goodwill. If the fair value of a reporting unit is less than its</w:t>
      </w:r>
    </w:p>
    <w:p>
      <w:pPr>
        <w:spacing w:after="0" w:line="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carrying amount, an impairment loss would be recognized.</w:t>
      </w:r>
    </w:p>
    <w:p>
      <w:pPr>
        <w:spacing w:after="0" w:line="20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Auditing the Company’s annual goodwill impairment test for one Healthcare Solutions</w:t>
      </w:r>
    </w:p>
    <w:p>
      <w:pPr>
        <w:spacing w:after="0" w:line="2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reporting unit was complex due to the significant estimation uncertainty in determining</w:t>
      </w:r>
    </w:p>
    <w:p>
      <w:pPr>
        <w:ind w:left="2100"/>
        <w:spacing w:after="0"/>
        <w:rPr>
          <w:sz w:val="20"/>
          <w:szCs w:val="20"/>
          <w:color w:val="auto"/>
        </w:rPr>
      </w:pPr>
      <w:r>
        <w:rPr>
          <w:rFonts w:ascii="Times New Roman" w:cs="Times New Roman" w:eastAsia="Times New Roman" w:hAnsi="Times New Roman"/>
          <w:sz w:val="20"/>
          <w:szCs w:val="20"/>
          <w:color w:val="auto"/>
        </w:rPr>
        <w:t>the fair value of the reporting unit. The significant estimation uncertainty was primarily</w:t>
      </w:r>
    </w:p>
    <w:p>
      <w:pPr>
        <w:ind w:left="2100"/>
        <w:spacing w:after="0"/>
        <w:rPr>
          <w:sz w:val="20"/>
          <w:szCs w:val="20"/>
          <w:color w:val="auto"/>
        </w:rPr>
      </w:pPr>
      <w:r>
        <w:rPr>
          <w:rFonts w:ascii="Times New Roman" w:cs="Times New Roman" w:eastAsia="Times New Roman" w:hAnsi="Times New Roman"/>
          <w:sz w:val="20"/>
          <w:szCs w:val="20"/>
          <w:color w:val="auto"/>
        </w:rPr>
        <w:t>due to the sensitivity of the fair value to underlying assumptions used in the income</w:t>
      </w:r>
    </w:p>
    <w:p>
      <w:pPr>
        <w:ind w:left="2100"/>
        <w:spacing w:after="0"/>
        <w:rPr>
          <w:sz w:val="20"/>
          <w:szCs w:val="20"/>
          <w:color w:val="auto"/>
        </w:rPr>
      </w:pPr>
      <w:r>
        <w:rPr>
          <w:rFonts w:ascii="Times New Roman" w:cs="Times New Roman" w:eastAsia="Times New Roman" w:hAnsi="Times New Roman"/>
          <w:sz w:val="20"/>
          <w:szCs w:val="20"/>
          <w:color w:val="auto"/>
        </w:rPr>
        <w:t>approach, including EBITDA margin and discount rate. These significant assumptions</w:t>
      </w:r>
    </w:p>
    <w:p>
      <w:pPr>
        <w:ind w:left="2100"/>
        <w:spacing w:after="0"/>
        <w:rPr>
          <w:sz w:val="20"/>
          <w:szCs w:val="20"/>
          <w:color w:val="auto"/>
        </w:rPr>
      </w:pPr>
      <w:r>
        <w:rPr>
          <w:rFonts w:ascii="Times New Roman" w:cs="Times New Roman" w:eastAsia="Times New Roman" w:hAnsi="Times New Roman"/>
          <w:sz w:val="20"/>
          <w:szCs w:val="20"/>
          <w:color w:val="auto"/>
        </w:rPr>
        <w:t>could be impacted by future economic and market conditions.</w:t>
      </w:r>
    </w:p>
    <w:p>
      <w:pPr>
        <w:spacing w:after="0" w:line="202"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i w:val="1"/>
          <w:iCs w:val="1"/>
          <w:color w:val="auto"/>
        </w:rPr>
        <w:t>How We Addressed</w:t>
      </w:r>
      <w:r>
        <w:rPr>
          <w:sz w:val="20"/>
          <w:szCs w:val="20"/>
          <w:color w:val="auto"/>
        </w:rPr>
        <w:tab/>
      </w:r>
      <w:r>
        <w:rPr>
          <w:rFonts w:ascii="Times New Roman" w:cs="Times New Roman" w:eastAsia="Times New Roman" w:hAnsi="Times New Roman"/>
          <w:sz w:val="19"/>
          <w:szCs w:val="19"/>
          <w:color w:val="auto"/>
        </w:rPr>
        <w:t>We obtained an understanding, evaluated the design, and tested the operating effectiveness</w:t>
      </w:r>
    </w:p>
    <w:p>
      <w:pPr>
        <w:spacing w:after="0" w:line="28"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i w:val="1"/>
          <w:iCs w:val="1"/>
          <w:color w:val="auto"/>
        </w:rPr>
        <w:t>the Matter in Our</w:t>
      </w:r>
      <w:r>
        <w:rPr>
          <w:sz w:val="20"/>
          <w:szCs w:val="20"/>
          <w:color w:val="auto"/>
        </w:rPr>
        <w:tab/>
      </w:r>
      <w:r>
        <w:rPr>
          <w:rFonts w:ascii="Times New Roman" w:cs="Times New Roman" w:eastAsia="Times New Roman" w:hAnsi="Times New Roman"/>
          <w:sz w:val="20"/>
          <w:szCs w:val="20"/>
          <w:color w:val="auto"/>
        </w:rPr>
        <w:t>of  the  Company’s  controls  over  the  goodwill  impairment  process.  We  tested</w:t>
      </w:r>
    </w:p>
    <w:p>
      <w:pPr>
        <w:ind w:left="120"/>
        <w:spacing w:after="0"/>
        <w:tabs>
          <w:tab w:leader="none" w:pos="208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management’s review controls over the significant assumptions described above.</w:t>
      </w:r>
    </w:p>
    <w:p>
      <w:pPr>
        <w:spacing w:after="0" w:line="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To test the estimated fair value of the Healthcare Solutions reporting unit, our audit</w:t>
      </w:r>
    </w:p>
    <w:p>
      <w:pPr>
        <w:ind w:left="2100"/>
        <w:spacing w:after="0"/>
        <w:rPr>
          <w:sz w:val="20"/>
          <w:szCs w:val="20"/>
          <w:color w:val="auto"/>
        </w:rPr>
      </w:pPr>
      <w:r>
        <w:rPr>
          <w:rFonts w:ascii="Times New Roman" w:cs="Times New Roman" w:eastAsia="Times New Roman" w:hAnsi="Times New Roman"/>
          <w:sz w:val="20"/>
          <w:szCs w:val="20"/>
          <w:color w:val="auto"/>
        </w:rPr>
        <w:t>procedures included, among others, evaluating the Company's selection of the valuation</w:t>
      </w:r>
    </w:p>
    <w:p>
      <w:pPr>
        <w:ind w:left="2100"/>
        <w:spacing w:after="0"/>
        <w:rPr>
          <w:sz w:val="20"/>
          <w:szCs w:val="20"/>
          <w:color w:val="auto"/>
        </w:rPr>
      </w:pPr>
      <w:r>
        <w:rPr>
          <w:rFonts w:ascii="Times New Roman" w:cs="Times New Roman" w:eastAsia="Times New Roman" w:hAnsi="Times New Roman"/>
          <w:sz w:val="19"/>
          <w:szCs w:val="19"/>
          <w:color w:val="auto"/>
        </w:rPr>
        <w:t>methodology, evaluating the significant assumptions described above used to develop the</w:t>
      </w:r>
    </w:p>
    <w:p>
      <w:pPr>
        <w:spacing w:after="0" w:line="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prospective financial information and testing the completeness and accuracy of the</w:t>
      </w:r>
    </w:p>
    <w:p>
      <w:pPr>
        <w:ind w:left="2100"/>
        <w:spacing w:after="0"/>
        <w:rPr>
          <w:sz w:val="20"/>
          <w:szCs w:val="20"/>
          <w:color w:val="auto"/>
        </w:rPr>
      </w:pPr>
      <w:r>
        <w:rPr>
          <w:rFonts w:ascii="Times New Roman" w:cs="Times New Roman" w:eastAsia="Times New Roman" w:hAnsi="Times New Roman"/>
          <w:sz w:val="20"/>
          <w:szCs w:val="20"/>
          <w:color w:val="auto"/>
        </w:rPr>
        <w:t>underlying data supporting the significant assumptions. We involved our valuation</w:t>
      </w:r>
    </w:p>
    <w:p>
      <w:pPr>
        <w:jc w:val="right"/>
        <w:ind w:right="100"/>
        <w:spacing w:after="0"/>
        <w:rPr>
          <w:sz w:val="20"/>
          <w:szCs w:val="20"/>
          <w:color w:val="auto"/>
        </w:rPr>
      </w:pPr>
      <w:r>
        <w:rPr>
          <w:rFonts w:ascii="Times New Roman" w:cs="Times New Roman" w:eastAsia="Times New Roman" w:hAnsi="Times New Roman"/>
          <w:sz w:val="20"/>
          <w:szCs w:val="20"/>
          <w:color w:val="auto"/>
        </w:rPr>
        <w:t>specialists to assist with evaluating the methodology and significant assumptions used by</w:t>
      </w:r>
    </w:p>
    <w:p>
      <w:pPr>
        <w:ind w:left="2100"/>
        <w:spacing w:after="0"/>
        <w:rPr>
          <w:sz w:val="20"/>
          <w:szCs w:val="20"/>
          <w:color w:val="auto"/>
        </w:rPr>
      </w:pPr>
      <w:r>
        <w:rPr>
          <w:rFonts w:ascii="Times New Roman" w:cs="Times New Roman" w:eastAsia="Times New Roman" w:hAnsi="Times New Roman"/>
          <w:sz w:val="20"/>
          <w:szCs w:val="20"/>
          <w:color w:val="auto"/>
        </w:rPr>
        <w:t>management  to  determine  the  fair  value  estimate.  We  compared  the  significant</w:t>
      </w:r>
    </w:p>
    <w:p>
      <w:pPr>
        <w:ind w:left="2100"/>
        <w:spacing w:after="0"/>
        <w:rPr>
          <w:sz w:val="20"/>
          <w:szCs w:val="20"/>
          <w:color w:val="auto"/>
        </w:rPr>
      </w:pPr>
      <w:r>
        <w:rPr>
          <w:rFonts w:ascii="Times New Roman" w:cs="Times New Roman" w:eastAsia="Times New Roman" w:hAnsi="Times New Roman"/>
          <w:sz w:val="19"/>
          <w:szCs w:val="19"/>
          <w:color w:val="auto"/>
        </w:rPr>
        <w:t>assumptions used by the Company to relevant industry reports, historical operating results</w:t>
      </w:r>
    </w:p>
    <w:p>
      <w:pPr>
        <w:spacing w:after="0" w:line="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and other guideline companies within the same industry. We also performed sensitivity</w:t>
      </w:r>
    </w:p>
    <w:p>
      <w:pPr>
        <w:ind w:left="2100"/>
        <w:spacing w:after="0" w:line="236" w:lineRule="auto"/>
        <w:rPr>
          <w:sz w:val="20"/>
          <w:szCs w:val="20"/>
          <w:color w:val="auto"/>
        </w:rPr>
      </w:pPr>
      <w:r>
        <w:rPr>
          <w:rFonts w:ascii="Times New Roman" w:cs="Times New Roman" w:eastAsia="Times New Roman" w:hAnsi="Times New Roman"/>
          <w:sz w:val="20"/>
          <w:szCs w:val="20"/>
          <w:color w:val="auto"/>
        </w:rPr>
        <w:t>analyses of the significant assumptions to evaluate the changes in the fair value of the</w:t>
      </w:r>
    </w:p>
    <w:p>
      <w:pPr>
        <w:spacing w:after="0" w:line="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reporting unit that would result from changes in the assumptions.</w:t>
      </w:r>
    </w:p>
    <w:p>
      <w:pPr>
        <w:spacing w:after="0" w:line="200" w:lineRule="exact"/>
        <w:rPr>
          <w:sz w:val="20"/>
          <w:szCs w:val="20"/>
          <w:color w:val="auto"/>
        </w:rPr>
      </w:pPr>
    </w:p>
    <w:p>
      <w:pPr>
        <w:spacing w:after="0" w:line="2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9, 2026</w:t>
      </w:r>
    </w:p>
    <w:p>
      <w:pPr>
        <w:sectPr>
          <w:pgSz w:w="11880" w:h="15480" w:orient="portrait"/>
          <w:cols w:equalWidth="0" w:num="1">
            <w:col w:w="9360"/>
          </w:cols>
          <w:pgMar w:left="1080" w:top="1066" w:right="14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360"/>
          </w:cols>
          <w:pgMar w:left="1080" w:top="1066" w:right="1440" w:bottom="542"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Share and Par Value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880" w:type="dxa"/>
            <w:vAlign w:val="bottom"/>
            <w:vMerge w:val="restart"/>
          </w:tcPr>
          <w:p>
            <w:pPr>
              <w:jc w:val="right"/>
              <w:ind w:right="35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7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Cash and cash equivalents .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0" w:type="dxa"/>
            <w:vAlign w:val="bottom"/>
          </w:tcPr>
          <w:p>
            <w:pPr>
              <w:spacing w:after="0"/>
              <w:rPr>
                <w:sz w:val="1"/>
                <w:szCs w:val="1"/>
                <w:color w:val="auto"/>
              </w:rPr>
            </w:pPr>
          </w:p>
        </w:tc>
      </w:tr>
      <w:tr>
        <w:trPr>
          <w:trHeight w:val="231"/>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Accounts receivable, net of allowance for doubtful accounts of $87 and $165, respectively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3,272</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Other receivables, net of allowance for doubtful accounts of $3 and $4, respectively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Parts and supplies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5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Other current assets. . .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0" w:type="dxa"/>
            <w:vAlign w:val="bottom"/>
          </w:tcPr>
          <w:p>
            <w:pPr>
              <w:spacing w:after="0"/>
              <w:rPr>
                <w:sz w:val="1"/>
                <w:szCs w:val="1"/>
                <w:color w:val="auto"/>
              </w:rPr>
            </w:pPr>
          </w:p>
        </w:tc>
      </w:tr>
      <w:tr>
        <w:trPr>
          <w:trHeight w:val="202"/>
        </w:trPr>
        <w:tc>
          <w:tcPr>
            <w:tcW w:w="788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.Totalcurrentassets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4,910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4,774</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of accumulated depreciation and depletion of $25,096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and $23,777, respectively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19,340</w:t>
            </w: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13,438</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intangible assets, net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Restricted funds . . .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Investments in unconsolidated entities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0" w:type="dxa"/>
            <w:vAlign w:val="bottom"/>
          </w:tcPr>
          <w:p>
            <w:pPr>
              <w:spacing w:after="0"/>
              <w:rPr>
                <w:sz w:val="1"/>
                <w:szCs w:val="1"/>
                <w:color w:val="auto"/>
              </w:rPr>
            </w:pPr>
          </w:p>
        </w:tc>
      </w:tr>
      <w:tr>
        <w:trPr>
          <w:trHeight w:val="251"/>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Other long-term assets .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0" w:type="dxa"/>
            <w:vAlign w:val="bottom"/>
          </w:tcPr>
          <w:p>
            <w:pPr>
              <w:spacing w:after="0"/>
              <w:rPr>
                <w:sz w:val="1"/>
                <w:szCs w:val="1"/>
                <w:color w:val="auto"/>
              </w:rPr>
            </w:pPr>
          </w:p>
        </w:tc>
      </w:tr>
      <w:tr>
        <w:trPr>
          <w:trHeight w:val="229"/>
        </w:trPr>
        <w:tc>
          <w:tcPr>
            <w:tcW w:w="788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.Totalassets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45,835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44,567</w:t>
            </w:r>
          </w:p>
        </w:tc>
        <w:tc>
          <w:tcPr>
            <w:tcW w:w="0" w:type="dxa"/>
            <w:vAlign w:val="bottom"/>
          </w:tcPr>
          <w:p>
            <w:pPr>
              <w:spacing w:after="0"/>
              <w:rPr>
                <w:sz w:val="1"/>
                <w:szCs w:val="1"/>
                <w:color w:val="auto"/>
              </w:rPr>
            </w:pPr>
          </w:p>
        </w:tc>
      </w:tr>
      <w:tr>
        <w:trPr>
          <w:trHeight w:val="213"/>
        </w:trPr>
        <w:tc>
          <w:tcPr>
            <w:tcW w:w="7880" w:type="dxa"/>
            <w:vAlign w:val="bottom"/>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Accounts payable . . . . . . . .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Accrued liabilities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0" w:type="dxa"/>
            <w:vAlign w:val="bottom"/>
          </w:tcPr>
          <w:p>
            <w:pPr>
              <w:spacing w:after="0"/>
              <w:rPr>
                <w:sz w:val="1"/>
                <w:szCs w:val="1"/>
                <w:color w:val="auto"/>
              </w:rPr>
            </w:pPr>
          </w:p>
        </w:tc>
      </w:tr>
      <w:tr>
        <w:trPr>
          <w:trHeight w:val="231"/>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Deferred revenues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0" w:type="dxa"/>
            <w:vAlign w:val="bottom"/>
          </w:tcPr>
          <w:p>
            <w:pPr>
              <w:spacing w:after="0"/>
              <w:rPr>
                <w:sz w:val="1"/>
                <w:szCs w:val="1"/>
                <w:color w:val="auto"/>
              </w:rPr>
            </w:pPr>
          </w:p>
        </w:tc>
      </w:tr>
      <w:tr>
        <w:trPr>
          <w:trHeight w:val="25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Current portion of long-term debt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0" w:type="dxa"/>
            <w:vAlign w:val="bottom"/>
          </w:tcPr>
          <w:p>
            <w:pPr>
              <w:spacing w:after="0"/>
              <w:rPr>
                <w:sz w:val="1"/>
                <w:szCs w:val="1"/>
                <w:color w:val="auto"/>
              </w:rPr>
            </w:pPr>
          </w:p>
        </w:tc>
      </w:tr>
      <w:tr>
        <w:trPr>
          <w:trHeight w:val="202"/>
        </w:trPr>
        <w:tc>
          <w:tcPr>
            <w:tcW w:w="788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 . . . . . . . . . . . . .Totalcurrentliabilities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5,524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6,258</w:t>
            </w: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Long-term debt, less current portion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22,196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Deferred income taxes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0" w:type="dxa"/>
            <w:vAlign w:val="bottom"/>
          </w:tcPr>
          <w:p>
            <w:pPr>
              <w:spacing w:after="0"/>
              <w:rPr>
                <w:sz w:val="1"/>
                <w:szCs w:val="1"/>
                <w:color w:val="auto"/>
              </w:rPr>
            </w:pPr>
          </w:p>
        </w:tc>
      </w:tr>
      <w:tr>
        <w:trPr>
          <w:trHeight w:val="231"/>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Landfill and environmental remediation liabilities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3,048</w:t>
            </w:r>
          </w:p>
        </w:tc>
        <w:tc>
          <w:tcPr>
            <w:tcW w:w="0" w:type="dxa"/>
            <w:vAlign w:val="bottom"/>
          </w:tcPr>
          <w:p>
            <w:pPr>
              <w:spacing w:after="0"/>
              <w:rPr>
                <w:sz w:val="1"/>
                <w:szCs w:val="1"/>
                <w:color w:val="auto"/>
              </w:rPr>
            </w:pPr>
          </w:p>
        </w:tc>
      </w:tr>
      <w:tr>
        <w:trPr>
          <w:trHeight w:val="25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long-term liabilities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0" w:type="dxa"/>
            <w:vAlign w:val="bottom"/>
          </w:tcPr>
          <w:p>
            <w:pPr>
              <w:spacing w:after="0"/>
              <w:rPr>
                <w:sz w:val="1"/>
                <w:szCs w:val="1"/>
                <w:color w:val="auto"/>
              </w:rPr>
            </w:pPr>
          </w:p>
        </w:tc>
      </w:tr>
      <w:tr>
        <w:trPr>
          <w:trHeight w:val="221"/>
        </w:trPr>
        <w:tc>
          <w:tcPr>
            <w:tcW w:w="788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.Totalliabilities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35,844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36,313</w:t>
            </w:r>
          </w:p>
        </w:tc>
        <w:tc>
          <w:tcPr>
            <w:tcW w:w="0" w:type="dxa"/>
            <w:vAlign w:val="bottom"/>
          </w:tcPr>
          <w:p>
            <w:pPr>
              <w:spacing w:after="0"/>
              <w:rPr>
                <w:sz w:val="1"/>
                <w:szCs w:val="1"/>
                <w:color w:val="auto"/>
              </w:rPr>
            </w:pPr>
          </w:p>
        </w:tc>
      </w:tr>
      <w:tr>
        <w:trPr>
          <w:trHeight w:val="202"/>
        </w:trPr>
        <w:tc>
          <w:tcPr>
            <w:tcW w:w="788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rPr>
              <w:t>Commitments and contingencies (Note 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jc w:val="right"/>
              <w:ind w:right="3920"/>
              <w:spacing w:after="0"/>
              <w:rPr>
                <w:sz w:val="20"/>
                <w:szCs w:val="20"/>
                <w:color w:val="auto"/>
              </w:rPr>
            </w:pPr>
            <w:r>
              <w:rPr>
                <w:rFonts w:ascii="Times New Roman" w:cs="Times New Roman" w:eastAsia="Times New Roman" w:hAnsi="Times New Roman"/>
                <w:sz w:val="20"/>
                <w:szCs w:val="20"/>
                <w:color w:val="auto"/>
              </w:rPr>
              <w:t>Waste Management, Inc. stockholders’ equity: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jc w:val="right"/>
              <w:ind w:right="1180"/>
              <w:spacing w:after="0"/>
              <w:rPr>
                <w:sz w:val="20"/>
                <w:szCs w:val="20"/>
                <w:color w:val="auto"/>
              </w:rPr>
            </w:pPr>
            <w:r>
              <w:rPr>
                <w:rFonts w:ascii="Times New Roman" w:cs="Times New Roman" w:eastAsia="Times New Roman" w:hAnsi="Times New Roman"/>
                <w:sz w:val="20"/>
                <w:szCs w:val="20"/>
                <w:color w:val="auto"/>
              </w:rPr>
              <w:t>Common stock, $0.01 par value; 1,500,000,000 shares authorized; 630,282,461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shares issued .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5,496</w:t>
            </w:r>
          </w:p>
        </w:tc>
        <w:tc>
          <w:tcPr>
            <w:tcW w:w="0" w:type="dxa"/>
            <w:vAlign w:val="bottom"/>
          </w:tcPr>
          <w:p>
            <w:pPr>
              <w:spacing w:after="0"/>
              <w:rPr>
                <w:sz w:val="1"/>
                <w:szCs w:val="1"/>
                <w:color w:val="auto"/>
              </w:rPr>
            </w:pPr>
          </w:p>
        </w:tc>
      </w:tr>
      <w:tr>
        <w:trPr>
          <w:trHeight w:val="232"/>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Retained earnings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15,858</w:t>
            </w:r>
          </w:p>
        </w:tc>
        <w:tc>
          <w:tcPr>
            <w:tcW w:w="0" w:type="dxa"/>
            <w:vAlign w:val="bottom"/>
          </w:tcPr>
          <w:p>
            <w:pPr>
              <w:spacing w:after="0"/>
              <w:rPr>
                <w:sz w:val="1"/>
                <w:szCs w:val="1"/>
                <w:color w:val="auto"/>
              </w:rPr>
            </w:pPr>
          </w:p>
        </w:tc>
      </w:tr>
      <w:tr>
        <w:trPr>
          <w:trHeight w:val="23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51"/>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Treasury stock at cost 227,340,757 and 228,788,284 shares, respectively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(12,914)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(12,993)</w:t>
            </w:r>
          </w:p>
        </w:tc>
        <w:tc>
          <w:tcPr>
            <w:tcW w:w="0" w:type="dxa"/>
            <w:vAlign w:val="bottom"/>
          </w:tcPr>
          <w:p>
            <w:pPr>
              <w:spacing w:after="0"/>
              <w:rPr>
                <w:sz w:val="1"/>
                <w:szCs w:val="1"/>
                <w:color w:val="auto"/>
              </w:rPr>
            </w:pPr>
          </w:p>
        </w:tc>
      </w:tr>
      <w:tr>
        <w:trPr>
          <w:trHeight w:val="202"/>
        </w:trPr>
        <w:tc>
          <w:tcPr>
            <w:tcW w:w="788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.TotalWasteManagement,Inc.stockholders’equity</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9,990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8,252</w:t>
            </w:r>
          </w:p>
        </w:tc>
        <w:tc>
          <w:tcPr>
            <w:tcW w:w="0" w:type="dxa"/>
            <w:vAlign w:val="bottom"/>
          </w:tcPr>
          <w:p>
            <w:pPr>
              <w:spacing w:after="0"/>
              <w:rPr>
                <w:sz w:val="1"/>
                <w:szCs w:val="1"/>
                <w:color w:val="auto"/>
              </w:rPr>
            </w:pPr>
          </w:p>
        </w:tc>
      </w:tr>
      <w:tr>
        <w:trPr>
          <w:trHeight w:val="250"/>
        </w:trPr>
        <w:tc>
          <w:tcPr>
            <w:tcW w:w="7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Noncontrolling interests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1"/>
        </w:trPr>
        <w:tc>
          <w:tcPr>
            <w:tcW w:w="788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.Totalequity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9,991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8,254</w:t>
            </w:r>
          </w:p>
        </w:tc>
        <w:tc>
          <w:tcPr>
            <w:tcW w:w="0" w:type="dxa"/>
            <w:vAlign w:val="bottom"/>
          </w:tcPr>
          <w:p>
            <w:pPr>
              <w:spacing w:after="0"/>
              <w:rPr>
                <w:sz w:val="1"/>
                <w:szCs w:val="1"/>
                <w:color w:val="auto"/>
              </w:rPr>
            </w:pPr>
          </w:p>
        </w:tc>
      </w:tr>
      <w:tr>
        <w:trPr>
          <w:trHeight w:val="231"/>
        </w:trPr>
        <w:tc>
          <w:tcPr>
            <w:tcW w:w="788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.Totalliabilitiesandequity</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45,835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44,567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720"/>
          </w:cols>
          <w:pgMar w:left="1080" w:top="1063" w:right="1080" w:bottom="542"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revenues</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25,204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22,063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20,426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Costs and expenses: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Operating . . . . . . . . . . . . . . . . . . . .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12,606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Depreciation, depletion and amortization . . . . . . . . . . . . . . . . . . . .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Restructuring . . . . . . . . . . . . . . . . .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(Gain) loss from divestitures, asset impairments and unusual items, net . . . . .</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20,896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16,851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6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Interest expense, net . . . . . . . . . . . . . . . . . . . . . . . . . . . . . . . . . . . . .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Equity in net income (loss) of unconsolidated entities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 . . . . .</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3,426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3,458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Income tax expense . . . . . . . . . . . . . . . . . . . . . . . . . . . . . . . . . . . . . . . . . . . . . . . . . .</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8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 . . . .Consolidatednetincome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2,709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2,745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29"/>
        </w:trPr>
        <w:tc>
          <w:tcPr>
            <w:tcW w:w="66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.NetincomeattributabletoWasteManagement,Inc</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 . . . . .Basicearningspercommonshare</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72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84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.Dilutedearningspercommonshare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55"/>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1"/>
        </w:trPr>
        <w:tc>
          <w:tcPr>
            <w:tcW w:w="7960" w:type="dxa"/>
            <w:vAlign w:val="bottom"/>
            <w:gridSpan w:val="10"/>
          </w:tcPr>
          <w:p>
            <w:pPr>
              <w:ind w:left="182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680" w:type="dxa"/>
            <w:vAlign w:val="bottom"/>
          </w:tcPr>
          <w:p>
            <w:pPr>
              <w:jc w:val="right"/>
              <w:ind w:right="1180"/>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3"/>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Consolidated net income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2,709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2,745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6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Derivative instruments, net . . . . . . . . . . . . . . . . . . . . . . . . . . . . . . . .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Available-for-sale securities, net . . . . . . .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Foreign currency translation adjustments . . . . . . . . . . . . . . . . . . . . .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Post-retirement benefit obligations, net . . . . . . .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.Othercomprehensiveincome(loss),netoftax</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105</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68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w w:val="97"/>
              </w:rPr>
              <w:t>. . . . . . . . . . . . . . . . . . . . . . . . . . . . . . . . . . . . . . . . . . . . . . .Comprehensiveincome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2,814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2,667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Less: Comprehensive income (loss) attributable to noncontrolling interests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.ComprehensiveincomeattributabletoWasteManagement,Inc</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2,813</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2,668</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720"/>
          </w:cols>
          <w:pgMar w:left="1080" w:top="1063" w:right="1080" w:bottom="542"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9"/>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9"/>
        </w:trPr>
        <w:tc>
          <w:tcPr>
            <w:tcW w:w="6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Depreciation, depletion and amortization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Deferred income tax expense (benefit)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7"/>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Provision for bad debts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Equity-based compensation expense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Net gain on disposal of assets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(Gain) loss from divestitures, asset impairments and other, net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Equity in net (income) loss of unconsolidated entities, net of dividends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6"/>
        </w:trPr>
        <w:tc>
          <w:tcPr>
            <w:tcW w:w="6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Receivables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current assets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assets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7"/>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Accounts payable and accrued liabilities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Deferred revenues and other liabilities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97"/>
        </w:trPr>
        <w:tc>
          <w:tcPr>
            <w:tcW w:w="698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 . . . . . . .Netcashprovidedbyoperatingactivities</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6,043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5,390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178"/>
        </w:trPr>
        <w:tc>
          <w:tcPr>
            <w:tcW w:w="6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Acquisitions of businesses, net of cash acquired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Capital expenditures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net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7"/>
        </w:trPr>
        <w:tc>
          <w:tcPr>
            <w:tcW w:w="698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 . . . . . . . . . . .Netcashusedininvestingactivities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(3,566)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(10,601)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179"/>
        </w:trPr>
        <w:tc>
          <w:tcPr>
            <w:tcW w:w="69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New borrowings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Debt repayments.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Common stock repurchase program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Cash dividends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Exercise of common stock options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net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7"/>
        </w:trPr>
        <w:tc>
          <w:tcPr>
            <w:tcW w:w="698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.Netcashprovidedby(usedin)financingactivities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179"/>
        </w:trPr>
        <w:tc>
          <w:tcPr>
            <w:tcW w:w="69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equivalents . .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8"/>
        </w:trPr>
        <w:tc>
          <w:tcPr>
            <w:tcW w:w="6980" w:type="dxa"/>
            <w:vAlign w:val="bottom"/>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rPr>
              <w:t>. . . . . .Increase(decrease)incash,cashequivalentsandrestrictedcashandcashequivalents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Cash, cash equivalents and restricted cash and cash equivalents at beginning of period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.Cash,cashequivalentsandrestrictedcashandcashequivalentsatendofperiod</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39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and cash equivalents at end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Restricted cash and cash equivalents included in other current assets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6"/>
        </w:trPr>
        <w:tc>
          <w:tcPr>
            <w:tcW w:w="6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Restricted cash and cash equivalents included in restricted funds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6"/>
        </w:trPr>
        <w:tc>
          <w:tcPr>
            <w:tcW w:w="698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.Cash,cashequivalentsandrestrictedcashandcashequivalentsatendofperiod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720"/>
          </w:cols>
          <w:pgMar w:left="1080" w:top="1063" w:right="1080" w:bottom="542"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Shares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8"/>
          </w:tcPr>
          <w:p>
            <w:pPr>
              <w:ind w:left="260"/>
              <w:spacing w:after="0"/>
              <w:rPr>
                <w:sz w:val="20"/>
                <w:szCs w:val="20"/>
                <w:color w:val="auto"/>
              </w:rPr>
            </w:pPr>
            <w:r>
              <w:rPr>
                <w:rFonts w:ascii="Times New Roman" w:cs="Times New Roman" w:eastAsia="Times New Roman" w:hAnsi="Times New Roman"/>
                <w:sz w:val="16"/>
                <w:szCs w:val="16"/>
                <w:b w:val="1"/>
                <w:bCs w:val="1"/>
                <w:color w:val="auto"/>
              </w:rPr>
              <w:t>Waste Management, Inc. Stockholders’ Equity</w:t>
            </w: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780" w:type="dxa"/>
            <w:vAlign w:val="bottom"/>
            <w:gridSpan w:val="3"/>
            <w:vMerge w:val="continue"/>
          </w:tcPr>
          <w:p>
            <w:pPr>
              <w:spacing w:after="0"/>
              <w:rPr>
                <w:sz w:val="17"/>
                <w:szCs w:val="17"/>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8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176"/>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0" w:type="dxa"/>
            <w:vAlign w:val="bottom"/>
          </w:tcPr>
          <w:p>
            <w:pPr>
              <w:spacing w:after="0"/>
              <w:rPr>
                <w:sz w:val="15"/>
                <w:szCs w:val="15"/>
                <w:color w:val="auto"/>
              </w:rPr>
            </w:pPr>
          </w:p>
        </w:tc>
        <w:tc>
          <w:tcPr>
            <w:tcW w:w="5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6"/>
              </w:rPr>
              <w:t>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Capital</w:t>
            </w:r>
          </w:p>
        </w:tc>
        <w:tc>
          <w:tcPr>
            <w:tcW w:w="7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15"/>
                <w:szCs w:val="15"/>
                <w:color w:val="auto"/>
              </w:rPr>
            </w:pPr>
          </w:p>
        </w:tc>
        <w:tc>
          <w:tcPr>
            <w:tcW w:w="116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6"/>
                <w:szCs w:val="16"/>
                <w:b w:val="1"/>
                <w:bCs w:val="1"/>
                <w:color w:val="auto"/>
                <w:w w:val="99"/>
              </w:rPr>
              <w:t>(Loss) Income</w:t>
            </w:r>
          </w:p>
        </w:tc>
        <w:tc>
          <w:tcPr>
            <w:tcW w:w="760" w:type="dxa"/>
            <w:vAlign w:val="bottom"/>
            <w:tcBorders>
              <w:top w:val="single" w:sz="8" w:color="auto"/>
            </w:tcBorders>
            <w:gridSpan w:val="3"/>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159"/>
        </w:trPr>
        <w:tc>
          <w:tcPr>
            <w:tcW w:w="2320" w:type="dxa"/>
            <w:vAlign w:val="bottom"/>
            <w:gridSpan w:val="2"/>
            <w:vMerge w:val="continue"/>
          </w:tcPr>
          <w:p>
            <w:pPr>
              <w:ind w:left="1900"/>
              <w:spacing w:after="0" w:line="138" w:lineRule="exact"/>
              <w:rPr>
                <w:sz w:val="20"/>
                <w:szCs w:val="20"/>
                <w:color w:val="auto"/>
              </w:rPr>
            </w:pPr>
            <w:r>
              <w:rPr>
                <w:rFonts w:ascii="Times New Roman" w:cs="Times New Roman" w:eastAsia="Times New Roman" w:hAnsi="Times New Roman"/>
                <w:sz w:val="16"/>
                <w:szCs w:val="16"/>
                <w:color w:val="auto"/>
              </w:rPr>
              <w:t>. . .</w:t>
            </w:r>
          </w:p>
        </w:tc>
        <w:tc>
          <w:tcPr>
            <w:tcW w:w="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6,864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630,282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5,314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13,167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(222,396)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5"/>
              </w:rPr>
              <w:t>$ (11,569)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income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 . . . . . .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dividends declared of</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$2.80 per common share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transactions, net . . . . . .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repurchase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program . . . . . . . . . . . .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(1,315)</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(7,840)</w:t>
            </w:r>
          </w:p>
        </w:tc>
        <w:tc>
          <w:tcPr>
            <w:tcW w:w="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net . . . . . . . . . . . . . . . . .</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2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 . .Balance,December31,2023</w:t>
            </w:r>
          </w:p>
        </w:tc>
        <w:tc>
          <w:tcPr>
            <w:tcW w:w="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6,896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630,282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5,351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14,334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(228,827)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95"/>
              </w:rPr>
              <w:t>$ (12,751)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Adoption of new accounting</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standard . . . . . . . . . . . .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income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6"/>
                <w:szCs w:val="16"/>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 . . . . . .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dividends declared of</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$3.00 per common share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(1,210)</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transactions, net . . . . . .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repurchase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program . . . . . . . . . . . .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(1,494)</w:t>
            </w:r>
          </w:p>
        </w:tc>
        <w:tc>
          <w:tcPr>
            <w:tcW w:w="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net . . . . . . . . . . . . . . . . .</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2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 . .Balance,December31,2024</w:t>
            </w:r>
          </w:p>
        </w:tc>
        <w:tc>
          <w:tcPr>
            <w:tcW w:w="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8,254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630,282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5,496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15,858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(115)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(228,788)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5"/>
              </w:rPr>
              <w:t>$ (12,993)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income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 . . . . . .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dividends declared of</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$3.30 per common share . . . . . .</w:t>
            </w: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(1,334)</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transactions, net . . . . . . . . . . .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net . . . . . . . . . . . . . . . . .</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4"/>
        </w:trPr>
        <w:tc>
          <w:tcPr>
            <w:tcW w:w="23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Balance, December 31, 2025 . . .</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9,991</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630,282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5,676</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17,232</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(227,341)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95"/>
              </w:rPr>
              <w:t>$ (12,914)</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720"/>
          </w:cols>
          <w:pgMar w:left="1080" w:top="1063" w:right="1080" w:bottom="542"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spacing w:after="0" w:line="208" w:lineRule="exact"/>
        <w:rPr>
          <w:sz w:val="20"/>
          <w:szCs w:val="20"/>
          <w:color w:val="auto"/>
        </w:rPr>
      </w:pPr>
    </w:p>
    <w:p>
      <w:pPr>
        <w:ind w:left="360" w:hanging="353"/>
        <w:spacing w:after="0"/>
        <w:tabs>
          <w:tab w:leader="none" w:pos="3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Presentation</w:t>
      </w:r>
    </w:p>
    <w:p>
      <w:pPr>
        <w:spacing w:after="0" w:line="24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20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 -energy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9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19 for further discussion.</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4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When necessary, reclassifications have been made to our prior period financial information to conform to the current year presentation and are not material to our consolidated financial statements.</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tab/>
        <w:t>Summary of Significant Accounting Policies</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Principles of Consolidation</w:t>
      </w:r>
    </w:p>
    <w:p>
      <w:pPr>
        <w:spacing w:after="0" w:line="2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WMI, its wholly-owned and majority-owned subsidiaries and certain variable interest entities for which we have determined that we are the primary beneficiary. In the opinion of management, these Consolidated Financial Statements include all adjustments, which, unless otherwise disclosed, are of a normal recurring nature, necessary for a fair presentation of the financial position, results of operations, comprehensive income, cash flows, and changes in equity for the periods presented. All material intercompany balances and transactions have been eliminated. Investments in unconsolidated entities are accounted for under the appropriate method of accounting.</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720"/>
          </w:cols>
          <w:pgMar w:left="1080" w:top="1063" w:right="1080" w:bottom="542" w:gutter="0" w:footer="0" w:header="0"/>
          <w:type w:val="continuous"/>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Estimates and Assumptions</w:t>
      </w:r>
    </w:p>
    <w:p>
      <w:pPr>
        <w:spacing w:after="0" w:line="23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3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Concentrations of Credit Risk</w:t>
      </w:r>
    </w:p>
    <w:p>
      <w:pPr>
        <w:spacing w:after="0" w:line="23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2025 and 2024, no single customer represented greater than 5% of total accounts receivable.</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Accounts and Other Receivables</w:t>
      </w:r>
    </w:p>
    <w:p>
      <w:pPr>
        <w:spacing w:after="0" w:line="23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as well as existing and expected economic conditions. If events or changes in circumstances indicate that specific receivable balances may be impaired, further consideration is given to the collectability of those balances and the allowance is adjusted accordingly. Past- due receivable balances are written off when our collection efforts have been unsuccessful. Also, we recognize interest income on long-term interest-bearing notes receivable as the interest accrues under the terms of the notes. We no longer accrue interest once the notes are deemed uncollectible.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720"/>
          </w:cols>
          <w:pgMar w:left="1080" w:top="1059" w:right="1080" w:bottom="543"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reflects the activity in our allowance for doubtful accounts of trade receivables for the year ended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vMerge w:val="restart"/>
          </w:tcPr>
          <w:p>
            <w:pPr>
              <w:jc w:val="right"/>
              <w:ind w:right="570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Additions charged to expense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Accounts written-off, net of recoveries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Acquisitions, divestitures and other, net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To determine the allowance for doubtful accounts for trade receivables, we rely upon, among other factors, historical payment and loss trends, the age of outstanding receivables, as well as existing and expected economic conditions. We believe that trade receivables across our Collection and Disposal, Recycling Processing and Sales, and Renewable Energy segments share similar risk characteristics. We monitor our credit exposure on an ongoing basis and assess whether trade receivables continue to display similar risk characteristics.</w:t>
      </w:r>
    </w:p>
    <w:p>
      <w:pPr>
        <w:spacing w:after="0" w:line="19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Generally, the risk characteristics of Healthcare Solutions customers are similar to customers of our other business segments, though complexities within the customer engagement systems and processes of the acquired business have caused billing and collection delays. As of the acquisition date, the Company determined that these issues contributed to a portion of the acquired Stericycle receivables having a more-than-insignificant deterioration in credit quality since origination. As a result, a gross allowance for doubtful accounts of trade receivables was established with our opening balance sheet for the acquired business in the amount of $144 million. Over the course of 2025, $88 million of acquired and reserved trade account receivable balances related to the Stericycle acquisition was written off.</w:t>
      </w:r>
    </w:p>
    <w:p>
      <w:pPr>
        <w:spacing w:after="0" w:line="20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Based on aging analysis as of December 31, 2025 and 2024, approximately 85% of our trade receivables were outstanding less than 60 days.</w:t>
      </w:r>
    </w:p>
    <w:p>
      <w:pPr>
        <w:spacing w:after="0" w:line="16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To determine the allowance for doubtful accounts for other receivables, as well as loans and other instruments, we rely primarily on credit ratings and associated default rates based on the maturity of the instrument. Other receivables, as of December 31, 2025 and 2024, include receivables related to income tax payments in excess of our current income tax obligations of $482 million and $255 million, respectively. Other receivables as of December 31, 2025 and 2024 also include a receivable of $ 25 million and $46 million, respectively, related to alternative fuel tax credits. Based on an aging analysis as of December 31, 2025 and 2024, approximately 70% and 65%, respectively, of our other receivables were due within 12 months or less.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Parts and Supplies</w:t>
      </w:r>
    </w:p>
    <w:p>
      <w:pPr>
        <w:spacing w:after="0" w:line="23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Landfill Accounting</w:t>
      </w:r>
    </w:p>
    <w:p>
      <w:pPr>
        <w:spacing w:after="0" w:line="2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Cost Basis of Landfill Assets — </w:t>
      </w:r>
      <w:r>
        <w:rPr>
          <w:rFonts w:ascii="Times New Roman" w:cs="Times New Roman" w:eastAsia="Times New Roman" w:hAnsi="Times New Roman"/>
          <w:sz w:val="20"/>
          <w:szCs w:val="20"/>
          <w:color w:val="auto"/>
        </w:rPr>
        <w:t>We capitalize various costs that we incur to make a landfill ready to accept waste.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720"/>
          </w:cols>
          <w:pgMar w:left="1080" w:top="1059" w:right="1080" w:bottom="543"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Final Capping, Closure and Post-Closure Costs — </w:t>
      </w:r>
      <w:r>
        <w:rPr>
          <w:rFonts w:ascii="Times New Roman" w:cs="Times New Roman" w:eastAsia="Times New Roman" w:hAnsi="Times New Roman"/>
          <w:sz w:val="20"/>
          <w:szCs w:val="20"/>
          <w:color w:val="auto"/>
        </w:rPr>
        <w:t>Following is a description of our asset retirement activities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related accounting:</w:t>
      </w:r>
    </w:p>
    <w:p>
      <w:pPr>
        <w:spacing w:after="0" w:line="182" w:lineRule="exact"/>
        <w:rPr>
          <w:sz w:val="20"/>
          <w:szCs w:val="20"/>
          <w:color w:val="auto"/>
        </w:rPr>
      </w:pPr>
    </w:p>
    <w:p>
      <w:pPr>
        <w:jc w:val="both"/>
        <w:ind w:left="720" w:hanging="353"/>
        <w:spacing w:after="0" w:line="247" w:lineRule="auto"/>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Final Capping — </w:t>
      </w:r>
      <w:r>
        <w:rPr>
          <w:rFonts w:ascii="Times New Roman" w:cs="Times New Roman" w:eastAsia="Times New Roman" w:hAnsi="Times New Roman"/>
          <w:sz w:val="20"/>
          <w:szCs w:val="20"/>
          <w:color w:val="auto"/>
        </w:rPr>
        <w:t>Generally involves the installation of flexible membrane liners and geosynthetic clay liners,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92"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Closure — </w:t>
      </w:r>
      <w:r>
        <w:rPr>
          <w:rFonts w:ascii="Times New Roman" w:cs="Times New Roman" w:eastAsia="Times New Roman" w:hAnsi="Times New Roman"/>
          <w:sz w:val="20"/>
          <w:szCs w:val="20"/>
          <w:color w:val="auto"/>
        </w:rPr>
        <w:t>Includes the construction of the final portion of methane gas collection systems (when required),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demobilization and routine maintenance costs. These are costs incurred after the site ceases to accept waste, but before the landfill is certified as closed by the applicable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93"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Post-Closure — </w:t>
      </w:r>
      <w:r>
        <w:rPr>
          <w:rFonts w:ascii="Times New Roman" w:cs="Times New Roman" w:eastAsia="Times New Roman" w:hAnsi="Times New Roman"/>
          <w:sz w:val="20"/>
          <w:szCs w:val="20"/>
          <w:color w:val="auto"/>
        </w:rPr>
        <w:t>Involves the maintenance and monitoring of a landfill site that has been certified closed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develop our estimates of these obligations using input from our operations personnel, engineers and accountants. Our estimates are based on our interpretation of current requirements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20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Once we have determined final capping, closure and post-closure costs, we inflate those costs to the expected time of payment and discount those expected future costs back to present value. As of December 31, 2025, 2024 and 2023, we inflated these costs in current dollars to the expected time of payment using an inflation rate of 2.50%, for each year. We discounted these costs to present value using the credit-adjusted, risk -free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2025 was approximately 4.9%.</w:t>
      </w:r>
    </w:p>
    <w:p>
      <w:pPr>
        <w:spacing w:after="0" w:line="203"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720"/>
          </w:cols>
          <w:pgMar w:left="1080" w:top="1059" w:right="1080" w:bottom="543"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9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 consumed landfill result in an adjustment to the recorded liability and landfill assets with an immediate corresponding adjustment to landfill airspace depletion expense.</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8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Depletion of Landfill Assets — </w:t>
      </w:r>
      <w:r>
        <w:rPr>
          <w:rFonts w:ascii="Times New Roman" w:cs="Times New Roman" w:eastAsia="Times New Roman" w:hAnsi="Times New Roman"/>
          <w:sz w:val="20"/>
          <w:szCs w:val="20"/>
          <w:color w:val="auto"/>
        </w:rPr>
        <w:t>The depletable basis of a landfill includes (i) amounts previously expended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net of accumulated airspace depletion; (ii) capitalized landfill final capping, closure and post-closure costs, net of accumulated airspace depletion;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9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Depletion is recorded on a units -of-consumption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apply the following guidelines in determining a landfill’s remaining permitted and expansion airspace:</w:t>
      </w:r>
    </w:p>
    <w:p>
      <w:pPr>
        <w:spacing w:after="0" w:line="134" w:lineRule="exact"/>
        <w:rPr>
          <w:sz w:val="20"/>
          <w:szCs w:val="20"/>
          <w:color w:val="auto"/>
        </w:rPr>
      </w:pPr>
    </w:p>
    <w:p>
      <w:pPr>
        <w:jc w:val="both"/>
        <w:ind w:left="720" w:hanging="353"/>
        <w:spacing w:after="0" w:line="252" w:lineRule="auto"/>
        <w:tabs>
          <w:tab w:leader="none" w:pos="72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Times New Roman" w:cs="Times New Roman" w:eastAsia="Times New Roman" w:hAnsi="Times New Roman"/>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88"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Expansion Airspace — </w:t>
      </w:r>
      <w:r>
        <w:rPr>
          <w:rFonts w:ascii="Times New Roman" w:cs="Times New Roman" w:eastAsia="Times New Roman" w:hAnsi="Times New Roman"/>
          <w:sz w:val="20"/>
          <w:szCs w:val="20"/>
          <w:color w:val="auto"/>
        </w:rPr>
        <w:t>We also include currently unpermitted expansion airspace in our estimate of remaining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93" w:lineRule="exact"/>
        <w:rPr>
          <w:rFonts w:ascii="Arial" w:cs="Arial" w:eastAsia="Arial" w:hAnsi="Arial"/>
          <w:sz w:val="20"/>
          <w:szCs w:val="20"/>
          <w:color w:val="auto"/>
        </w:rPr>
      </w:pPr>
    </w:p>
    <w:p>
      <w:pPr>
        <w:ind w:left="1080" w:hanging="352"/>
        <w:spacing w:after="0" w:line="277" w:lineRule="auto"/>
        <w:tabs>
          <w:tab w:leader="none" w:pos="1080" w:val="left"/>
        </w:tabs>
        <w:numPr>
          <w:ilvl w:val="1"/>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Personnel are actively working on the expansion of an existing landfill, including efforts to obtain land use and local, state or provincial approvals;</w:t>
      </w:r>
    </w:p>
    <w:p>
      <w:pPr>
        <w:spacing w:after="0" w:line="63" w:lineRule="exact"/>
        <w:rPr>
          <w:rFonts w:ascii="Arial" w:cs="Arial" w:eastAsia="Arial" w:hAnsi="Arial"/>
          <w:sz w:val="20"/>
          <w:szCs w:val="20"/>
          <w:color w:val="auto"/>
        </w:rPr>
      </w:pPr>
    </w:p>
    <w:p>
      <w:pPr>
        <w:ind w:left="1080" w:hanging="352"/>
        <w:spacing w:after="0"/>
        <w:tabs>
          <w:tab w:leader="none" w:pos="1080" w:val="left"/>
        </w:tabs>
        <w:numPr>
          <w:ilvl w:val="1"/>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legal right to use or obtain land to be included in the expansion plan;</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720"/>
          </w:cols>
          <w:pgMar w:left="1080" w:top="1059" w:right="1080" w:bottom="543"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48" w:lineRule="exact"/>
        <w:rPr>
          <w:sz w:val="20"/>
          <w:szCs w:val="20"/>
          <w:color w:val="auto"/>
        </w:rPr>
      </w:pPr>
    </w:p>
    <w:p>
      <w:pPr>
        <w:ind w:left="1080" w:hanging="353"/>
        <w:spacing w:after="0" w:line="277" w:lineRule="auto"/>
        <w:tabs>
          <w:tab w:leader="none" w:pos="10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20"/>
          <w:szCs w:val="20"/>
          <w:color w:val="auto"/>
        </w:rPr>
      </w:pPr>
    </w:p>
    <w:p>
      <w:pPr>
        <w:ind w:left="1080" w:hanging="353"/>
        <w:spacing w:after="0" w:line="277" w:lineRule="auto"/>
        <w:tabs>
          <w:tab w:leader="none" w:pos="10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analysis has been completed based on conceptual design, and the results demonstrate that the expansion meets Company criteria for investment.</w:t>
      </w:r>
    </w:p>
    <w:p>
      <w:pPr>
        <w:spacing w:after="0" w:line="16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15 landfill sites with expansions included as of December 31, 2025, there were none that required approval by our Chief Financial Officer.</w:t>
      </w:r>
    </w:p>
    <w:p>
      <w:pPr>
        <w:spacing w:after="0" w:line="19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0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Environmental Remediation Liabilities</w:t>
      </w:r>
    </w:p>
    <w:p>
      <w:pPr>
        <w:spacing w:after="0" w:line="237"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720"/>
          </w:cols>
          <w:pgMar w:left="1080" w:top="1059" w:right="1080" w:bottom="543"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developed using our internal resources, third-party environmental engineers or other service providers. Internally developed estimates are based on:</w:t>
      </w:r>
    </w:p>
    <w:p>
      <w:pPr>
        <w:spacing w:after="0" w:line="95" w:lineRule="exact"/>
        <w:rPr>
          <w:sz w:val="20"/>
          <w:szCs w:val="20"/>
          <w:color w:val="auto"/>
        </w:rPr>
      </w:pPr>
    </w:p>
    <w:p>
      <w:pPr>
        <w:ind w:left="720" w:hanging="353"/>
        <w:spacing w:after="0"/>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Management’s judgment and experience in remediating our own and unrelated parties’ sites;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available from regulatory agencies as to costs of remediation;</w:t>
      </w:r>
    </w:p>
    <w:p>
      <w:pPr>
        <w:spacing w:after="0" w:line="132" w:lineRule="exact"/>
        <w:rPr>
          <w:rFonts w:ascii="Arial" w:cs="Arial" w:eastAsia="Arial" w:hAnsi="Arial"/>
          <w:sz w:val="20"/>
          <w:szCs w:val="20"/>
          <w:color w:val="auto"/>
        </w:rPr>
      </w:pPr>
    </w:p>
    <w:p>
      <w:pPr>
        <w:ind w:left="720" w:hanging="353"/>
        <w:spacing w:after="0" w:line="277" w:lineRule="auto"/>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financial resources and relative degree of responsibility of other PRPs who may be liable for remediation of a specific site; and</w:t>
      </w:r>
    </w:p>
    <w:p>
      <w:pPr>
        <w:spacing w:after="0" w:line="63" w:lineRule="exact"/>
        <w:rPr>
          <w:rFonts w:ascii="Arial" w:cs="Arial" w:eastAsia="Arial" w:hAnsi="Arial"/>
          <w:sz w:val="20"/>
          <w:szCs w:val="20"/>
          <w:color w:val="auto"/>
        </w:rPr>
      </w:pPr>
    </w:p>
    <w:p>
      <w:pPr>
        <w:ind w:left="720" w:hanging="353"/>
        <w:spacing w:after="0"/>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The typical allocation of costs among PRPs, unless the actual allocation has been determined.</w:t>
      </w:r>
    </w:p>
    <w:p>
      <w:pPr>
        <w:spacing w:after="0" w:line="23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$8 million higher than the $231 million recorded in the Consolidated Balance Sheet as of December 31, 2025.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20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record our obligations on an undiscounted basis unless we are aware of a material environmental liability where we believe that both the amount and timing of the payments are fixed or reliably determinable.</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Property and Equipment (exclusive of landfills, discussed above)</w:t>
      </w:r>
    </w:p>
    <w:p>
      <w:pPr>
        <w:spacing w:after="0" w:line="23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720"/>
          </w:cols>
          <w:pgMar w:left="1080" w:top="1059" w:right="1080" w:bottom="543"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useful lives for significant property and equipment categories are as follows (in years):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vMerge w:val="restart"/>
          </w:tcPr>
          <w:p>
            <w:pPr>
              <w:jc w:val="right"/>
              <w:ind w:right="5700"/>
              <w:spacing w:after="0"/>
              <w:rPr>
                <w:sz w:val="20"/>
                <w:szCs w:val="20"/>
                <w:color w:val="auto"/>
              </w:rPr>
            </w:pPr>
            <w:r>
              <w:rPr>
                <w:rFonts w:ascii="Times New Roman" w:cs="Times New Roman" w:eastAsia="Times New Roman" w:hAnsi="Times New Roman"/>
                <w:sz w:val="20"/>
                <w:szCs w:val="20"/>
                <w:color w:val="auto"/>
                <w:w w:val="99"/>
              </w:rPr>
              <w:t>Vehicles — excluding rail haul cars</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02"/>
        </w:trPr>
        <w:tc>
          <w:tcPr>
            <w:tcW w:w="8680" w:type="dxa"/>
            <w:vAlign w:val="bottom"/>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 to 10</w:t>
            </w:r>
          </w:p>
        </w:tc>
        <w:tc>
          <w:tcPr>
            <w:tcW w:w="0" w:type="dxa"/>
            <w:vAlign w:val="bottom"/>
          </w:tcPr>
          <w:p>
            <w:pPr>
              <w:spacing w:after="0"/>
              <w:rPr>
                <w:sz w:val="1"/>
                <w:szCs w:val="1"/>
                <w:color w:val="auto"/>
              </w:rPr>
            </w:pPr>
          </w:p>
        </w:tc>
      </w:tr>
      <w:tr>
        <w:trPr>
          <w:trHeight w:val="230"/>
        </w:trPr>
        <w:tc>
          <w:tcPr>
            <w:tcW w:w="86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Vehicles — rail haul cars . . . . . . . . . . .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to 30</w:t>
            </w:r>
          </w:p>
        </w:tc>
        <w:tc>
          <w:tcPr>
            <w:tcW w:w="0" w:type="dxa"/>
            <w:vAlign w:val="bottom"/>
          </w:tcPr>
          <w:p>
            <w:pPr>
              <w:spacing w:after="0"/>
              <w:rPr>
                <w:sz w:val="1"/>
                <w:szCs w:val="1"/>
                <w:color w:val="auto"/>
              </w:rPr>
            </w:pPr>
          </w:p>
        </w:tc>
      </w:tr>
      <w:tr>
        <w:trPr>
          <w:trHeight w:val="232"/>
        </w:trPr>
        <w:tc>
          <w:tcPr>
            <w:tcW w:w="86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Machinery and equipment (a) . . . . . . . .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to 30</w:t>
            </w:r>
          </w:p>
        </w:tc>
        <w:tc>
          <w:tcPr>
            <w:tcW w:w="0" w:type="dxa"/>
            <w:vAlign w:val="bottom"/>
          </w:tcPr>
          <w:p>
            <w:pPr>
              <w:spacing w:after="0"/>
              <w:rPr>
                <w:sz w:val="1"/>
                <w:szCs w:val="1"/>
                <w:color w:val="auto"/>
              </w:rPr>
            </w:pPr>
          </w:p>
        </w:tc>
      </w:tr>
      <w:tr>
        <w:trPr>
          <w:trHeight w:val="230"/>
        </w:trPr>
        <w:tc>
          <w:tcPr>
            <w:tcW w:w="86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Buildings and improvements . . . . . . . .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to 40</w:t>
            </w:r>
          </w:p>
        </w:tc>
        <w:tc>
          <w:tcPr>
            <w:tcW w:w="0" w:type="dxa"/>
            <w:vAlign w:val="bottom"/>
          </w:tcPr>
          <w:p>
            <w:pPr>
              <w:spacing w:after="0"/>
              <w:rPr>
                <w:sz w:val="1"/>
                <w:szCs w:val="1"/>
                <w:color w:val="auto"/>
              </w:rPr>
            </w:pPr>
          </w:p>
        </w:tc>
      </w:tr>
      <w:tr>
        <w:trPr>
          <w:trHeight w:val="267"/>
        </w:trPr>
        <w:tc>
          <w:tcPr>
            <w:tcW w:w="86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Furniture, fixtures and office equipment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to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199pt"/>
            </w:pict>
          </mc:Fallback>
        </mc:AlternateConten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Includes recycling and RNG facilities and Healthcare Solutions autoclaves and incinerators as well as containers.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We lease property and equipment in the ordinary course of our business. Our operating lease activities primarily consist of leases for real estate, landfills, fleet vehicles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18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Operating Leases (excluding landfill leases discussed below) — </w:t>
      </w:r>
      <w:r>
        <w:rPr>
          <w:rFonts w:ascii="Times New Roman" w:cs="Times New Roman" w:eastAsia="Times New Roman" w:hAnsi="Times New Roman"/>
          <w:sz w:val="20"/>
          <w:szCs w:val="20"/>
          <w:color w:val="auto"/>
        </w:rPr>
        <w:t>The majority of our leases are operating leases.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9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Financing Leases (excluding landfill leases discussed below) — </w:t>
      </w:r>
      <w:r>
        <w:rPr>
          <w:rFonts w:ascii="Times New Roman" w:cs="Times New Roman" w:eastAsia="Times New Roman" w:hAnsi="Times New Roman"/>
          <w:sz w:val="20"/>
          <w:szCs w:val="20"/>
          <w:color w:val="auto"/>
        </w:rPr>
        <w:t>Assets under financing leases are capitalized using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9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Landfill Leases — </w:t>
      </w:r>
      <w:r>
        <w:rPr>
          <w:rFonts w:ascii="Times New Roman" w:cs="Times New Roman" w:eastAsia="Times New Roman" w:hAnsi="Times New Roman"/>
          <w:sz w:val="20"/>
          <w:szCs w:val="20"/>
          <w:color w:val="auto"/>
        </w:rPr>
        <w:t>From an operating perspective, landfills that we lease are similar to landfills we own because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9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For operating and financing leases, including landfill leases, our rent expense for each of the last three years and future minimum lease payments are disclosed in Note 7.</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Acquisitions</w:t>
      </w:r>
    </w:p>
    <w:p>
      <w:pPr>
        <w:spacing w:after="0" w:line="23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generally recognize assets acquired and liabilities assumed in business combinations, including contingent assets and liabilities, based on fair value estimates as of the date of acquisition.</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Contingent Consideration — </w:t>
      </w:r>
      <w:r>
        <w:rPr>
          <w:rFonts w:ascii="Times New Roman" w:cs="Times New Roman" w:eastAsia="Times New Roman" w:hAnsi="Times New Roman"/>
          <w:sz w:val="20"/>
          <w:szCs w:val="20"/>
          <w:color w:val="auto"/>
        </w:rPr>
        <w:t>In certain acquisitions, we agree to pay additional amounts to sellers contingent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achievement by the acquired businesses of certain negotiated goals, such as targeted revenue levels, targeted disposal volumes or the issuance of permits for expanded landfill airspace. We have recognized liabilities for these contingent</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720"/>
          </w:cols>
          <w:pgMar w:left="1080" w:top="1059" w:right="1080" w:bottom="543"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obligations based on their estimated fair value as of the date of acquisition with any differences between the acquisition date fair value, subsequent remeasurements and the ultimate settlement of the obligations being recognized as an adjustment to income from operations. Refer to Note 11 for adjustments recognized during the reported periods.</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Acquired Assets and Assumed Liabilities — </w:t>
      </w:r>
      <w:r>
        <w:rPr>
          <w:rFonts w:ascii="Times New Roman" w:cs="Times New Roman" w:eastAsia="Times New Roman" w:hAnsi="Times New Roman"/>
          <w:sz w:val="20"/>
          <w:szCs w:val="20"/>
          <w:color w:val="auto"/>
        </w:rPr>
        <w:t>Assets and liabilities arising from contingencies such as pre-acquisition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environmental matters and litigation are recognized at their acquisition-date fair value when their respective fair values can be determined. Acquired contingencies whose fair value is not determinable during the measurement period are recognized only if they are probable and reasonably estimable.</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generally expensed as incurred. See Note 17 for additional information related to our acquisitions.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Goodwill and Other Intangible Assets</w:t>
      </w:r>
    </w:p>
    <w:p>
      <w:pPr>
        <w:spacing w:after="0" w:line="23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 xml:space="preserve">Goodwill is the excess of our purchase cost over the fair value of the net assets of acquired businesses. As discussed in the </w:t>
      </w:r>
      <w:r>
        <w:rPr>
          <w:rFonts w:ascii="Times New Roman" w:cs="Times New Roman" w:eastAsia="Times New Roman" w:hAnsi="Times New Roman"/>
          <w:sz w:val="20"/>
          <w:szCs w:val="20"/>
          <w:i w:val="1"/>
          <w:iCs w:val="1"/>
          <w:color w:val="auto"/>
        </w:rPr>
        <w:t>Long-Lived Asset Impairments</w:t>
      </w:r>
      <w:r>
        <w:rPr>
          <w:rFonts w:ascii="Times New Roman" w:cs="Times New Roman" w:eastAsia="Times New Roman" w:hAnsi="Times New Roman"/>
          <w:sz w:val="20"/>
          <w:szCs w:val="20"/>
          <w:color w:val="auto"/>
        </w:rPr>
        <w:t xml:space="preserve"> section below, we assess our goodwill for impairment at least annually.</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Other intangible assets consist primarily of customer and supplier relationships, covenants not- to-compete, licenses, permits (other than landfill permits, which are combined with landfill tangible assets and depleted per our landfill depletion policy), trade names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Definite-lived intangibles are amortized over their useful lives on a straight-line basis while indefinite-lived intangibles are not amortized.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Long-Lived Asset Impairments</w:t>
      </w:r>
    </w:p>
    <w:p>
      <w:pPr>
        <w:spacing w:after="0" w:line="23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8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Property and Equipment, Including Landfills and Definite-Lived Intangible Assets </w:t>
      </w:r>
      <w:r>
        <w:rPr>
          <w:rFonts w:ascii="Times New Roman" w:cs="Times New Roman" w:eastAsia="Times New Roman" w:hAnsi="Times New Roman"/>
          <w:sz w:val="19"/>
          <w:szCs w:val="19"/>
          <w:color w:val="auto"/>
        </w:rPr>
        <w:t>— We monitor the carrying value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720"/>
          </w:cols>
          <w:pgMar w:left="1080" w:top="1059" w:right="1080" w:bottom="543"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Estimating future cash flows requires significant judgment and projections may vary from the cash flows eventually realized, which could impact our ability to accurately assess whether an asset has been impaired.</w:t>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Times New Roman" w:cs="Times New Roman" w:eastAsia="Times New Roman" w:hAnsi="Times New Roman"/>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more frequently if warranted, we assess our indefinite-lived intangible assets, including the goodwill of our reporting units, for impairment.</w:t>
      </w:r>
    </w:p>
    <w:p>
      <w:pPr>
        <w:spacing w:after="0" w:line="18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may perform either a qualitative or quantitative assessment; however, if a qualitative assessment is performed and we determine that the fair value of a reporting unit is more likely than not to be less than its carrying amount, a quantitative assessment is performed. The quantitative assessment compares the estimated fair value of a reporting unit to its carrying amount, including goodwill. An impairment charge is recognized if the reporting unit’s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 -traded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21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part of our 2025 annual assessment, we performed a quantitative review for a reporting unit within our Healthcare Solutions segment due its sensitivity to changes in estimates of fair value, specifically changes driven by revenue growth, cost and discount rate assumptions, given the recent acquisition of the business. Based on our assessment no impairment was recorded for the year ended December 31, 2025. Refer to Note 11 for information related to impairments recognized during the reported periods.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Insured and Self-Insured Claims</w:t>
      </w:r>
    </w:p>
    <w:p>
      <w:pPr>
        <w:spacing w:after="0" w:line="23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have retained a significant portion of the risks related to our health and welfare, general liability, automobile liability and workers’ compensation claims programs. For our self-insured portions, the exposure for unpaid claims and</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720"/>
          </w:cols>
          <w:pgMar w:left="1080" w:top="1059" w:right="1080" w:bottom="543"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9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Restricted Funds</w:t>
      </w:r>
    </w:p>
    <w:p>
      <w:pPr>
        <w:spacing w:after="0" w:line="23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19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See Notes 16 and 18 for additional discussion related to restricted funds accounts for final capping, closure, post-closure or environmental remediation obligations.</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Investments in Unconsolidated Entities</w:t>
      </w:r>
    </w:p>
    <w:p>
      <w:pPr>
        <w:spacing w:after="0" w:line="23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a result of adopting Accounting Standards Update (“ASU”) 2023-02 in 2024, our investments in entities established to invest in and manage low-income housing properties are accounted for using the proportional amortization method. Under the proportional amortization method, the equity investment is amortized in proportion to the income tax credits and other income tax benefits received. 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following table summarizes our investments in unconsolidated entities as of December 31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vMerge w:val="restart"/>
          </w:tcPr>
          <w:p>
            <w:pPr>
              <w:jc w:val="right"/>
              <w:ind w:right="5260"/>
              <w:spacing w:after="0"/>
              <w:rPr>
                <w:sz w:val="20"/>
                <w:szCs w:val="20"/>
                <w:color w:val="auto"/>
              </w:rPr>
            </w:pPr>
            <w:r>
              <w:rPr>
                <w:rFonts w:ascii="Times New Roman" w:cs="Times New Roman" w:eastAsia="Times New Roman" w:hAnsi="Times New Roman"/>
                <w:sz w:val="20"/>
                <w:szCs w:val="20"/>
                <w:color w:val="auto"/>
                <w:w w:val="99"/>
              </w:rPr>
              <w:t>Equity method investments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75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30"/>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Investments qualifying for proportional amortization method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0" w:type="dxa"/>
            <w:vAlign w:val="bottom"/>
          </w:tcPr>
          <w:p>
            <w:pPr>
              <w:spacing w:after="0"/>
              <w:rPr>
                <w:sz w:val="1"/>
                <w:szCs w:val="1"/>
                <w:color w:val="auto"/>
              </w:rPr>
            </w:pPr>
          </w:p>
        </w:tc>
      </w:tr>
      <w:tr>
        <w:trPr>
          <w:trHeight w:val="250"/>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Investments without readily determinable fair values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0"/>
        </w:trPr>
        <w:tc>
          <w:tcPr>
            <w:tcW w:w="75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.Investmentsinunconsolidatedentities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779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720"/>
          </w:cols>
          <w:pgMar w:left="1080" w:top="1059" w:right="1080" w:bottom="543"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Refer to Note 11 for information related to impairments and other adjustments recognized during the reported periods.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Derivative Instruments</w:t>
      </w:r>
    </w:p>
    <w:p>
      <w:pPr>
        <w:spacing w:after="0" w:line="23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At times we use derivative instruments to manage risk.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quarterly basis thereafter. Forecasted transactions are evaluated for the probability of occurrence.</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are required to recognize derivative instruments at fair value as either assets or liabilities on our Consolidated Balance Sheets unless such instruments meet certain normal purchase/normal sale criteria. For derivatives that qualify for hedge accounting, we designate them as cash flow hedges. The change in the fair value of a cash flow hedge is reported in accumulated other comprehensive income (loss) and is reclassified to earnings when the forecasted transaction affects earnings.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23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operations are primarily in the U.S. but we also have significant operations in Canada and certain countries in Western Europe.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net of tax. Foreign currency translation adjustments have primarily been impacted by fluctuations in the U.S. dollar/Canadian dollar exchange rate and to a lesser extent, the U.S. dollar/Euro exchange rates and the U.S. dollar/British pound sterling exchange rate.</w:t>
      </w:r>
    </w:p>
    <w:p>
      <w:pPr>
        <w:spacing w:after="0" w:line="20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U.S. dollar/Canadian dollar exchange rate was 1.3724 at December 31, 2025, 1.4384 at December 31, 2024 and 1.3243 at December 31, 2023. The U.S. dollar/Euro exchange rate was 0.8514 at December 31, 2025 and 0.9659 at December 31, 2024. The U.S. dollar/British pound sterling exchange rate was 0.7421 at December 31, 2025 and 0.7990 at December 31, 2024. Refer to Note 12 for information regarding the impacts of foreign currency on our comprehensive income and results of operations.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 We also bill for certain services prior to performance. Such services include, among others, certain commercial</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720"/>
          </w:cols>
          <w:pgMar w:left="1080" w:top="1059" w:right="1080" w:bottom="543"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and residential contracts, and equipment rentals. These advanced billings are included in deferred revenues and recognized as revenue in the period service is provided.</w:t>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Recycling Processing and Sales revenues generally consist of tipping fees and the sale of recycling commodities to and/or on behalf of third parties.</w:t>
      </w:r>
    </w:p>
    <w:p>
      <w:pPr>
        <w:spacing w:after="0" w:line="16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Renewable Energy revenue is primarily generated from (i) the sale of captured and converted landfill methane gas; (ii) the sale of RINs under the Renewable Fuel Standard (“RFS”) program implemented by the U.S. Environmental Protection Agency (“EPA”); (iii) sale of Low Carbon Fuel credits designed to stimulate the use of low-carbon fuels and (iv) the sale of energy (electricity and capacity) and associated RECs.</w:t>
      </w:r>
    </w:p>
    <w:p>
      <w:pPr>
        <w:spacing w:after="0" w:line="19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Healthcare Solutions revenue is primarily generated from (i) RWCS, which provide collection, processing and disposal of regulated and specialized waste, including medical, pharmaceutical and hazardous waste, and compliance programs and (ii) SID services, which provide for the collection of personal and confidential information for secure destruction and recycling of sorted office paper. The customers typically enter into a contract for the provision of services on a weekly, monthly or as-needed basis over the contract term. We receive fees based on a monthly, quarterly or annual rate and/or fees based on contractual rates depending on measures including the volume, weight, and type of waste, as specified in applicable contracts.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Note 19 for additional information related to revenue by reportable segment and major lines of business.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Deferred Revenues</w:t>
      </w:r>
    </w:p>
    <w:p>
      <w:pPr>
        <w:spacing w:after="0" w:line="23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Contract Acquisition Costs</w:t>
      </w:r>
    </w:p>
    <w:p>
      <w:pPr>
        <w:spacing w:after="0" w:line="23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8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and 2024, we had $237 million and $218 million of deferred contract costs, respectively, of which $177 million and $154 million, respectively, were related to deferred sales incentives. During each of the years ended December 31, 2025, 2024 and 2023, we amortized $31 million, $28 million and $26 million, respectively, of sales incentives to selling, general and administrative expense.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720"/>
          </w:cols>
          <w:pgMar w:left="1080" w:top="1059" w:right="1080" w:bottom="543"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Long-Term Contracts</w:t>
      </w:r>
    </w:p>
    <w:p>
      <w:pPr>
        <w:spacing w:after="0" w:line="23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Approximately 30% of our total revenue is derived from contracts with a remaining term greater than one year. The consideration for these contracts is primarily variable in nature. The variable elements of these contracts primarily include the number of homes and businesses served, weight, number of containers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Environmental Credits</w:t>
      </w:r>
    </w:p>
    <w:p>
      <w:pPr>
        <w:spacing w:after="0" w:line="23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generate environmental credits through our production and sale of renewable energy. Our operating costs are associated with the production of renewable energy. The environmental credits are a form of government incentive generated through our renewable energy production and not as a result of the physical attributes of our production. The environmental credits are able to be separated and sold independent of the renewable energy produced. Thus, no cost is allocated to the environmental credit when it is generated.</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Capitalized Interest</w:t>
      </w:r>
    </w:p>
    <w:p>
      <w:pPr>
        <w:spacing w:after="0" w:line="23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capitalize interest on certain projects under development, including landfill expansion projects, certain assets under construction, including operating landfills and landfill gas-to-energy projects and internal-use software. During 2025, 2024 and 2023, total interest costs were $1.0 billion, $728 million and $590 million, respectively, of which $82 million, $84 million and $63 million were capitalized in 2025, 2024 and 2023, respectively.</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is subject to income tax in the U.S., Canada and within parts of Western Europe. Current tax obligations associated with our income tax expense are reflected in the accompanying Consolidated Balance Sheets as a component of accrued liabilities and our deferred tax obligations are reflected in deferred income taxes.</w:t>
      </w:r>
    </w:p>
    <w:p>
      <w:pPr>
        <w:spacing w:after="0" w:line="18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99"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Note 8 for discussion of our income taxes.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Contingent Liabilities</w:t>
      </w:r>
    </w:p>
    <w:p>
      <w:pPr>
        <w:spacing w:after="0" w:line="23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estimate the amount of potential exposure we may have with respect to claims, assessments and litigation in accordance with authoritative guidance on accounting for contingencies. We are party to pending or threatened legal</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720"/>
          </w:cols>
          <w:pgMar w:left="1080" w:top="1059" w:right="1080" w:bottom="543"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shows supplemental cash flow information for the year ended December 31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net of capitalized interest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67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447</w:t>
            </w: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Accrued capital expenditures . . . . . . . . . . . . . . . . . . . . . . . . . . . . . . . . . . . . . . . . . . .</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0" w:type="dxa"/>
            <w:vAlign w:val="bottom"/>
          </w:tcPr>
          <w:p>
            <w:pPr>
              <w:spacing w:after="0"/>
              <w:rPr>
                <w:sz w:val="1"/>
                <w:szCs w:val="1"/>
                <w:color w:val="auto"/>
              </w:rPr>
            </w:pPr>
          </w:p>
        </w:tc>
      </w:tr>
      <w:tr>
        <w:trPr>
          <w:trHeight w:val="42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(net of refunds):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U.S. Federal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380" w:type="dxa"/>
            <w:vAlign w:val="bottom"/>
            <w:gridSpan w:val="3"/>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0" w:type="dxa"/>
            <w:vAlign w:val="bottom"/>
          </w:tcPr>
          <w:p>
            <w:pPr>
              <w:spacing w:after="0"/>
              <w:rPr>
                <w:sz w:val="1"/>
                <w:szCs w:val="1"/>
                <w:color w:val="auto"/>
              </w:rPr>
            </w:pPr>
          </w:p>
        </w:tc>
      </w:tr>
      <w:tr>
        <w:trPr>
          <w:trHeight w:val="231"/>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U.S. State and Local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30"/>
        </w:trPr>
        <w:tc>
          <w:tcPr>
            <w:tcW w:w="6740" w:type="dxa"/>
            <w:vAlign w:val="bottom"/>
          </w:tcPr>
          <w:p>
            <w:pPr>
              <w:jc w:val="right"/>
              <w:ind w:right="578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Canada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5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1"/>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31"/>
        </w:trPr>
        <w:tc>
          <w:tcPr>
            <w:tcW w:w="6740" w:type="dxa"/>
            <w:vAlign w:val="bottom"/>
            <w:vMerge w:val="continue"/>
          </w:tcPr>
          <w:p>
            <w:pPr>
              <w:jc w:val="right"/>
              <w:ind w:right="18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494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645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During 2025, 2024 and 2023, we had $238 million, $474 million and $276 million, respectively, of non-cash financing activities primarily from our low-income housing investments and new financing leases. These are discussed further in Notes 6 and 8. Additionally, we had approximately $41 million, $20 million and $25 million of non-cash investing activities related to non-cash consideration transferred as part of our acquisitions in 2025, 2024 and 2023, respectively. See Note 17 for further discussion of our acquisitions.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Restructuring</w:t>
      </w:r>
    </w:p>
    <w:p>
      <w:pPr>
        <w:spacing w:after="0" w:line="23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2025, we recognized $51 million of pre-tax restructuring charges, primarily related to employee costs associated with the integration of Stericycle as well as employee retention and severance costs incurred to support automation at our recycling facilities and in certain back-office functions.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Standards in 2025</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Improvements to Income Tax Disclosures</w:t>
      </w:r>
    </w:p>
    <w:p>
      <w:pPr>
        <w:spacing w:after="0" w:line="23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December 2023, the Financial Accounting Standards Board (“FASB”) issued ASU 2023-09, “Income Taxes (Topic 740): Improvements to Income Tax Disclosures” (“ASU 2023-09”) which improves the transparency of income tax disclosures by requiring specific categories in the income tax rate reconciliation and additional information for reconciling items that meet a quantitative threshold. Further, ASU 2023-09 requires certain disclosures on income taxes paid disaggregated by jurisdiction. ASU 2023-09 was effective for public entities for fiscal years beginning after December 15, 2024. The Company adopted ASU 2023-09 for the year ended December 31, 2025 on a retrospective basis and accordingly, our income tax disclosures for years 2024 and 2023 have been retrospectively recast under this guidance. See Note 8 for additional information.</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720"/>
          </w:cols>
          <w:pgMar w:left="1080" w:top="1059" w:right="1080" w:bottom="543"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1" w:lineRule="exact"/>
        <w:rPr>
          <w:sz w:val="20"/>
          <w:szCs w:val="20"/>
          <w:color w:val="auto"/>
        </w:rPr>
      </w:pPr>
    </w:p>
    <w:p>
      <w:pPr>
        <w:ind w:left="360" w:hanging="353"/>
        <w:spacing w:after="0"/>
        <w:tabs>
          <w:tab w:leader="none" w:pos="36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Landfill and Environmental Remediation Liabilities</w:t>
      </w:r>
    </w:p>
    <w:p>
      <w:pPr>
        <w:spacing w:after="0" w:line="24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Liabilities for landfill and environmental remediation costs as of December 31 are presented in the table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60" w:type="dxa"/>
            <w:vAlign w:val="bottom"/>
            <w:vMerge w:val="restart"/>
          </w:tcPr>
          <w:p>
            <w:pPr>
              <w:jc w:val="right"/>
              <w:ind w:right="1240"/>
              <w:spacing w:after="0"/>
              <w:rPr>
                <w:sz w:val="20"/>
                <w:szCs w:val="20"/>
                <w:color w:val="auto"/>
              </w:rPr>
            </w:pPr>
            <w:r>
              <w:rPr>
                <w:rFonts w:ascii="Times New Roman" w:cs="Times New Roman" w:eastAsia="Times New Roman" w:hAnsi="Times New Roman"/>
                <w:sz w:val="20"/>
                <w:szCs w:val="20"/>
                <w:color w:val="auto"/>
                <w:w w:val="99"/>
              </w:rPr>
              <w:t>Current (in accrued liabilities)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4"/>
              </w:rPr>
              <w:t>Landfill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7"/>
              </w:rPr>
              <w:t>Landfill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76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w:t>
            </w:r>
          </w:p>
        </w:tc>
        <w:tc>
          <w:tcPr>
            <w:tcW w:w="2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50"/>
        </w:trPr>
        <w:tc>
          <w:tcPr>
            <w:tcW w:w="3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Long-term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3,305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3,536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3,057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3,279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changes to landfill and environmental remediation liabilities for the year ended December 31, 2025 are reflected in the table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Environmental</w:t>
            </w:r>
          </w:p>
        </w:tc>
        <w:tc>
          <w:tcPr>
            <w:tcW w:w="0" w:type="dxa"/>
            <w:vAlign w:val="bottom"/>
          </w:tcPr>
          <w:p>
            <w:pPr>
              <w:spacing w:after="0"/>
              <w:rPr>
                <w:sz w:val="1"/>
                <w:szCs w:val="1"/>
                <w:color w:val="auto"/>
              </w:rPr>
            </w:pPr>
          </w:p>
        </w:tc>
      </w:tr>
      <w:tr>
        <w:trPr>
          <w:trHeight w:val="204"/>
        </w:trPr>
        <w:tc>
          <w:tcPr>
            <w:tcW w:w="7500" w:type="dxa"/>
            <w:vAlign w:val="bottom"/>
            <w:vMerge w:val="restart"/>
          </w:tcPr>
          <w:p>
            <w:pPr>
              <w:jc w:val="right"/>
              <w:ind w:right="5820"/>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0" w:type="dxa"/>
            <w:vAlign w:val="bottom"/>
          </w:tcPr>
          <w:p>
            <w:pPr>
              <w:spacing w:after="0"/>
              <w:rPr>
                <w:sz w:val="1"/>
                <w:szCs w:val="1"/>
                <w:color w:val="auto"/>
              </w:rPr>
            </w:pPr>
          </w:p>
        </w:tc>
      </w:tr>
      <w:tr>
        <w:trPr>
          <w:trHeight w:val="202"/>
        </w:trPr>
        <w:tc>
          <w:tcPr>
            <w:tcW w:w="750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3,057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r>
        <w:trPr>
          <w:trHeight w:val="23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Obligations incurred and capitalized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Obligations settled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Interest accretion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Revisions in estimates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1"/>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Acquisitions, divestitures and other adjustments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750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.December31,2025</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3,305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Our recorded liabilities as of December 31, 2025 include the impacts of inflating certain of these costs based on our expectations of the timing of cash settlement.</w:t>
      </w:r>
    </w:p>
    <w:p>
      <w:pPr>
        <w:spacing w:after="0" w:line="164" w:lineRule="exact"/>
        <w:rPr>
          <w:sz w:val="20"/>
          <w:szCs w:val="20"/>
          <w:color w:val="auto"/>
        </w:rPr>
      </w:pPr>
    </w:p>
    <w:p>
      <w:pPr>
        <w:ind w:left="360" w:hanging="353"/>
        <w:spacing w:after="0"/>
        <w:tabs>
          <w:tab w:leader="none" w:pos="3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43" w:lineRule="exact"/>
        <w:rPr>
          <w:rFonts w:ascii="Times New Roman" w:cs="Times New Roman" w:eastAsia="Times New Roman" w:hAnsi="Times New Roman"/>
          <w:sz w:val="20"/>
          <w:szCs w:val="20"/>
          <w:b w:val="1"/>
          <w:bCs w:val="1"/>
          <w:color w:val="auto"/>
        </w:rPr>
      </w:pPr>
    </w:p>
    <w:p>
      <w:pPr>
        <w:ind w:left="3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Property and equipment as of December 31 consisted of the following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vMerge w:val="restart"/>
          </w:tcPr>
          <w:p>
            <w:pPr>
              <w:jc w:val="right"/>
              <w:ind w:right="6080"/>
              <w:spacing w:after="0"/>
              <w:rPr>
                <w:sz w:val="20"/>
                <w:szCs w:val="20"/>
                <w:color w:val="auto"/>
              </w:rPr>
            </w:pPr>
            <w:r>
              <w:rPr>
                <w:rFonts w:ascii="Times New Roman" w:cs="Times New Roman" w:eastAsia="Times New Roman" w:hAnsi="Times New Roman"/>
                <w:sz w:val="20"/>
                <w:szCs w:val="20"/>
                <w:color w:val="auto"/>
                <w:w w:val="97"/>
              </w:rPr>
              <w:t>Land</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vMerge w:val="continue"/>
          </w:tcPr>
          <w:p>
            <w:pPr>
              <w:jc w:val="right"/>
              <w:ind w:right="32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w:t>
            </w:r>
          </w:p>
        </w:tc>
        <w:tc>
          <w:tcPr>
            <w:tcW w:w="20" w:type="dxa"/>
            <w:vAlign w:val="bottom"/>
          </w:tcPr>
          <w:p>
            <w:pPr>
              <w:spacing w:after="0"/>
              <w:rPr>
                <w:sz w:val="17"/>
                <w:szCs w:val="17"/>
                <w:color w:val="auto"/>
              </w:rPr>
            </w:pPr>
          </w:p>
        </w:tc>
        <w:tc>
          <w:tcPr>
            <w:tcW w:w="320" w:type="dxa"/>
            <w:vAlign w:val="bottom"/>
          </w:tcPr>
          <w:p>
            <w:pPr>
              <w:jc w:val="right"/>
              <w:ind w:right="1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879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0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5"/>
              </w:rPr>
              <w:t>Landfills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7"/>
              </w:rPr>
              <w:t>Vehicles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6"/>
              </w:rPr>
              <w:t>Machinery and equipment (a)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6"/>
              </w:rPr>
              <w:t>Containers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7"/>
              </w:rPr>
              <w:t>Buildings and improvements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8"/>
              </w:rPr>
              <w:t>Furniture, fixtures and office equipment  . . . . . . . . . . . . . . . . . . . . . . . . . . . . . .</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45,474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43,117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Less: Accumulated depreciation of tangible property and equipment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(12,152)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(11,518)</w:t>
            </w:r>
          </w:p>
        </w:tc>
        <w:tc>
          <w:tcPr>
            <w:tcW w:w="0" w:type="dxa"/>
            <w:vAlign w:val="bottom"/>
          </w:tcPr>
          <w:p>
            <w:pPr>
              <w:spacing w:after="0"/>
              <w:rPr>
                <w:sz w:val="1"/>
                <w:szCs w:val="1"/>
                <w:color w:val="auto"/>
              </w:rPr>
            </w:pPr>
          </w:p>
        </w:tc>
      </w:tr>
      <w:tr>
        <w:trPr>
          <w:trHeight w:val="251"/>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9"/>
              </w:rPr>
              <w:t>Less: Accumulated depletion of landfill airspace . . . . . . . . . . . . . . . . . . . . . .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(12,944)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(12,259)</w:t>
            </w:r>
          </w:p>
        </w:tc>
        <w:tc>
          <w:tcPr>
            <w:tcW w:w="0" w:type="dxa"/>
            <w:vAlign w:val="bottom"/>
          </w:tcPr>
          <w:p>
            <w:pPr>
              <w:spacing w:after="0"/>
              <w:rPr>
                <w:sz w:val="1"/>
                <w:szCs w:val="1"/>
                <w:color w:val="auto"/>
              </w:rPr>
            </w:pPr>
          </w:p>
        </w:tc>
      </w:tr>
      <w:tr>
        <w:trPr>
          <w:trHeight w:val="231"/>
        </w:trPr>
        <w:tc>
          <w:tcPr>
            <w:tcW w:w="6600" w:type="dxa"/>
            <w:vAlign w:val="bottom"/>
          </w:tcPr>
          <w:p>
            <w:pPr>
              <w:jc w:val="right"/>
              <w:ind w:right="3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.Propertyandequipment,net(b)</w:t>
            </w: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20,378</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jc w:val="both"/>
        <w:ind w:left="360" w:hanging="353"/>
        <w:spacing w:after="0" w:line="258" w:lineRule="auto"/>
        <w:tabs>
          <w:tab w:leader="none" w:pos="3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includes (i) $1.7 billion related to recycling facilities; (ii) $1.2 billion and $834 million, respectively, related to RNG facilities and (iii) $340 million and $419 million, respectively, related to autoclaves, incinerators, and other equipment of Healthcare Solutions.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720"/>
          </w:cols>
          <w:pgMar w:left="1080" w:top="1059" w:right="1080" w:bottom="543"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hanging="353"/>
        <w:spacing w:after="0" w:line="278" w:lineRule="auto"/>
        <w:tabs>
          <w:tab w:leader="none" w:pos="3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approximately $2.7 billion and $3.4 billion of construction in progress as of December 31, 2025 and 2024, respectively.</w:t>
      </w:r>
    </w:p>
    <w:p>
      <w:pPr>
        <w:spacing w:after="0" w:line="128"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11 for information regarding asset impairments.</w:t>
      </w:r>
    </w:p>
    <w:p>
      <w:pPr>
        <w:spacing w:after="0" w:line="20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Depreciation and depletion expense, including for assets recorded as financing leases, consisted of the following for the year ended December 31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vMerge w:val="restart"/>
          </w:tcPr>
          <w:p>
            <w:pPr>
              <w:jc w:val="right"/>
              <w:ind w:right="2660"/>
              <w:spacing w:after="0"/>
              <w:rPr>
                <w:sz w:val="20"/>
                <w:szCs w:val="20"/>
                <w:color w:val="auto"/>
              </w:rPr>
            </w:pPr>
            <w:r>
              <w:rPr>
                <w:rFonts w:ascii="Times New Roman" w:cs="Times New Roman" w:eastAsia="Times New Roman" w:hAnsi="Times New Roman"/>
                <w:sz w:val="20"/>
                <w:szCs w:val="20"/>
                <w:color w:val="auto"/>
                <w:w w:val="99"/>
              </w:rPr>
              <w:t>Depreciation of tangible property and equipment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1,197</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Depletion of landfill airspace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.Depreciationanddepletionexpense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2,442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2,087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1,942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Note 5 for information regarding amortization of our intangible assets.</w:t>
      </w:r>
    </w:p>
    <w:p>
      <w:pPr>
        <w:spacing w:after="0" w:line="1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Goodwill and Other Intangible Assets</w:t>
      </w:r>
    </w:p>
    <w:p>
      <w:pPr>
        <w:spacing w:after="0" w:line="20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Goodwill was $13.9 billion and $13.4 billion as of December 31, 2025 and 2024, respectively. As discussed in Note 2, we perform our annual impairment test of goodwill balances for our reporting units using a measurement date of October 1. We will also perform interim tests if an impairment indicator exists. The $442 million increase in goodwill during 2025 is primarily related to our solid waste and recycling acquisitions. This increase was offset by a $16 million goodwill impairment charge to a business engaged in oil recovery and sludge processing services. This charge is reflected in Other Ancillary within our Collection and Disposal businesses. There were no impairments of goodwill or other intangible assets for the year ended December 31, 2024. See Notes 11 and 17 for additional information.</w:t>
      </w:r>
    </w:p>
    <w:p>
      <w:pPr>
        <w:spacing w:after="0" w:line="16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Goodwill is included within each segment’s total assets. For segment reporting purposes, our recycling facilities and recycling brokerage services are included within our Recycling Processing and Sales segment. In 2025, we finalized the determination of our reporting units related to the Stericycle acquisition and allocated the goodwill balance to two reporting units within our Healthcare Solutions segment using a relative fair value allocation method. The following table presents changes in goodwill during the reported periods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6"/>
                <w:szCs w:val="16"/>
                <w:b w:val="1"/>
                <w:bCs w:val="1"/>
                <w:color w:val="auto"/>
              </w:rPr>
              <w:t>Collection and Disposal</w:t>
            </w:r>
          </w:p>
        </w:tc>
        <w:tc>
          <w:tcPr>
            <w:tcW w:w="4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Healthcare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December 31, 2023</w:t>
            </w:r>
          </w:p>
        </w:tc>
        <w:tc>
          <w:tcPr>
            <w:tcW w:w="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7"/>
              </w:rPr>
              <w:t>East Tier</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7"/>
              </w:rPr>
              <w:t>West Tier</w:t>
            </w:r>
          </w:p>
        </w:tc>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Other Ancillary</w:t>
            </w:r>
          </w:p>
        </w:tc>
        <w:tc>
          <w:tcPr>
            <w:tcW w:w="2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and Sales</w:t>
            </w:r>
          </w:p>
        </w:tc>
        <w:tc>
          <w:tcPr>
            <w:tcW w:w="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7"/>
                <w:szCs w:val="17"/>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660" w:type="dxa"/>
            <w:vAlign w:val="bottom"/>
            <w:vMerge w:val="continue"/>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rPr>
              <w:t>. . . . . . . . . . .</w:t>
            </w: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93"/>
              </w:rPr>
              <w:t>$ 5,094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96"/>
              </w:rPr>
              <w:t>$ 3,766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9,254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Acquired goodwill.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Divested goodwill . . . . . . . . . . . . . . . . . . . .</w:t>
            </w:r>
          </w:p>
        </w:tc>
        <w:tc>
          <w:tcPr>
            <w:tcW w:w="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0"/>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Impairments . . . . . . . . . . . . . . . . . . . . . . . . .</w:t>
            </w:r>
          </w:p>
        </w:tc>
        <w:tc>
          <w:tcPr>
            <w:tcW w:w="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Foreign currency translation and other . . .</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2"/>
        </w:trPr>
        <w:tc>
          <w:tcPr>
            <w:tcW w:w="366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rPr>
              <w:t>. . . . . . . . . . .Balance,December31,2024</w:t>
            </w: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93"/>
              </w:rPr>
              <w:t>$ 5,615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96"/>
              </w:rPr>
              <w:t>$ 3,792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3,633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13,438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Acquired goodwill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Divested goodwill . . . . . . . . . . . . . . . . . . . .</w:t>
            </w:r>
          </w:p>
        </w:tc>
        <w:tc>
          <w:tcPr>
            <w:tcW w:w="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Impairments . . . . . . . . . . . . . . . . . . . . . . . . .</w:t>
            </w:r>
          </w:p>
        </w:tc>
        <w:tc>
          <w:tcPr>
            <w:tcW w:w="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and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other (a)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66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 . . . . . . . . . .Balance,December31,2025</w:t>
            </w: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$ 5,894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$ 3,787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412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3,775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13,880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our Healthcare Solutions segment, this amount includes a $131 million purchase price allocation adjustment. See Note 17 for additional information.</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720"/>
          </w:cols>
          <w:pgMar w:left="1080" w:top="1059" w:right="1080" w:bottom="543"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other intangible assets consisted of the following as of December 31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Covenants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and Supplier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Not-to-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Permits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Compete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3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w:t>
            </w:r>
          </w:p>
        </w:tc>
        <w:tc>
          <w:tcPr>
            <w:tcW w:w="440" w:type="dxa"/>
            <w:vAlign w:val="bottom"/>
            <w:gridSpan w:val="2"/>
          </w:tcPr>
          <w:p>
            <w:pPr>
              <w:jc w:val="right"/>
              <w:ind w:right="227"/>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4,951</w:t>
            </w:r>
          </w:p>
        </w:tc>
        <w:tc>
          <w:tcPr>
            <w:tcW w:w="0" w:type="dxa"/>
            <w:vAlign w:val="bottom"/>
          </w:tcPr>
          <w:p>
            <w:pPr>
              <w:spacing w:after="0"/>
              <w:rPr>
                <w:sz w:val="1"/>
                <w:szCs w:val="1"/>
                <w:color w:val="auto"/>
              </w:rPr>
            </w:pPr>
          </w:p>
        </w:tc>
      </w:tr>
      <w:tr>
        <w:trPr>
          <w:trHeight w:val="25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Accumulated amortization . . .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w:t>
            </w:r>
          </w:p>
        </w:tc>
        <w:tc>
          <w:tcPr>
            <w:tcW w:w="0" w:type="dxa"/>
            <w:vAlign w:val="bottom"/>
          </w:tcPr>
          <w:p>
            <w:pPr>
              <w:spacing w:after="0"/>
              <w:rPr>
                <w:sz w:val="1"/>
                <w:szCs w:val="1"/>
                <w:color w:val="auto"/>
              </w:rPr>
            </w:pPr>
          </w:p>
        </w:tc>
      </w:tr>
      <w:tr>
        <w:trPr>
          <w:trHeight w:val="229"/>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3,767</w:t>
            </w:r>
          </w:p>
        </w:tc>
        <w:tc>
          <w:tcPr>
            <w:tcW w:w="0" w:type="dxa"/>
            <w:vAlign w:val="bottom"/>
          </w:tcPr>
          <w:p>
            <w:pPr>
              <w:spacing w:after="0"/>
              <w:rPr>
                <w:sz w:val="1"/>
                <w:szCs w:val="1"/>
                <w:color w:val="auto"/>
              </w:rPr>
            </w:pPr>
          </w:p>
        </w:tc>
      </w:tr>
      <w:tr>
        <w:trPr>
          <w:trHeight w:val="211"/>
        </w:trPr>
        <w:tc>
          <w:tcPr>
            <w:tcW w:w="3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w:t>
            </w:r>
          </w:p>
        </w:tc>
        <w:tc>
          <w:tcPr>
            <w:tcW w:w="440" w:type="dxa"/>
            <w:vAlign w:val="bottom"/>
            <w:gridSpan w:val="2"/>
          </w:tcPr>
          <w:p>
            <w:pPr>
              <w:jc w:val="right"/>
              <w:ind w:right="227"/>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4,993</w:t>
            </w:r>
          </w:p>
        </w:tc>
        <w:tc>
          <w:tcPr>
            <w:tcW w:w="0" w:type="dxa"/>
            <w:vAlign w:val="bottom"/>
          </w:tcPr>
          <w:p>
            <w:pPr>
              <w:spacing w:after="0"/>
              <w:rPr>
                <w:sz w:val="1"/>
                <w:szCs w:val="1"/>
                <w:color w:val="auto"/>
              </w:rPr>
            </w:pPr>
          </w:p>
        </w:tc>
      </w:tr>
      <w:tr>
        <w:trPr>
          <w:trHeight w:val="25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Accumulated amortization . . .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2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800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2,876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482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4,188</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Amortization expense for other intangible assets was $421 million, $180 million and $129 million for 2025, 2024 and 2023, respectively. Additional information related to other intangible assets acquired through business combinations is included in Note 17. As of December 31, 2025 and 2024, we had $956 million and $970 million, respectively, of indefinite lived trade names, licenses, permits and other intangible assets that are not subject to amortization because they do not have stated expirations or have routine, administrative renewal processes. As of December 31, 2025, we expect annual amortization expense related to other intangible assets to be $383 million in 2026, $307 million in 2027, $271 million in 2028, $223 million in 2029 and $189 million in 2030. See Note 17 for additional information related to intangibles acquired from our acquisitions.</w:t>
      </w:r>
    </w:p>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Debt</w:t>
      </w:r>
    </w:p>
    <w:p>
      <w:pPr>
        <w:spacing w:after="0" w:line="24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Commercial paper program (weighted average interest rate of 4.1% as of</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7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and 4.7% as of December 31, 2024) . . . . . . . . . . . . . .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40" w:type="dxa"/>
            <w:vAlign w:val="bottom"/>
          </w:tcPr>
          <w:p>
            <w:pPr>
              <w:spacing w:after="0"/>
              <w:rPr>
                <w:sz w:val="20"/>
                <w:szCs w:val="20"/>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Senior notes, maturing through 2054, interest rates ranging from 1.15% to 7.75%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interest rate of 4.3% as of December 31, 2025 and 4.2% as of</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18,419</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Canadian senior notes, C$500 million maturing September 2026, interest rate of 2.6%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Tax-exempt bonds, maturing through 2055, fixed and variable interest rates ranging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from 0.70% to 4.60% (weighted average interest rate of 3.4% as of December 31, 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and 3.7% as of December 31, 2024)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Financing leases and other, maturing through 2075 (weighted average interest rate of</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4.8% as of December 31, 2025 and 4.9% as of December 31, 2024)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0" w:type="dxa"/>
            <w:vAlign w:val="bottom"/>
          </w:tcPr>
          <w:p>
            <w:pPr>
              <w:spacing w:after="0"/>
              <w:rPr>
                <w:sz w:val="1"/>
                <w:szCs w:val="1"/>
                <w:color w:val="auto"/>
              </w:rPr>
            </w:pPr>
          </w:p>
        </w:tc>
      </w:tr>
      <w:tr>
        <w:trPr>
          <w:trHeight w:val="251"/>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 discounts and other . . .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202"/>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22,907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23,900</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0" w:type="dxa"/>
            <w:vAlign w:val="bottom"/>
          </w:tcPr>
          <w:p>
            <w:pPr>
              <w:spacing w:after="0"/>
              <w:rPr>
                <w:sz w:val="1"/>
                <w:szCs w:val="1"/>
                <w:color w:val="auto"/>
              </w:rPr>
            </w:pPr>
          </w:p>
        </w:tc>
      </w:tr>
      <w:tr>
        <w:trPr>
          <w:trHeight w:val="231"/>
        </w:trPr>
        <w:tc>
          <w:tcPr>
            <w:tcW w:w="7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.Long-termdebt,lesscurrentportion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22,196</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22,541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Classification</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we had approximately $3.7 billion of debt maturing within the next 12 months, including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$1.8 billion of tax-exempt bonds with term interest rate periods that expire within the next 12 months, which is prior to</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720"/>
          </w:cols>
          <w:pgMar w:left="1080" w:top="1059" w:right="1080" w:bottom="543"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their scheduled maturities; (ii) $1.1 billion of short-term borrowings under our commercial paper program (net of related discount on issuance); (iii) $223 million of 7.1% senior notes that mature in August 2026; (iv) $364 million of 2.6% Canadian senior notes that mature in September 2026 and (v) $200 million of other debt with scheduled maturities within the next 12 months. As of December 31,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$711 million of debt maturing in the next 12 months is classified as current obligations.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Access to and Utilization of Credit Facilities and Commercial Paper Program</w:t>
      </w:r>
    </w:p>
    <w:p>
      <w:pPr>
        <w:spacing w:after="0" w:line="23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$3.5 Billion Revolving Credit Facility — </w:t>
      </w:r>
      <w:r>
        <w:rPr>
          <w:rFonts w:ascii="Times New Roman" w:cs="Times New Roman" w:eastAsia="Times New Roman" w:hAnsi="Times New Roman"/>
          <w:sz w:val="20"/>
          <w:szCs w:val="20"/>
          <w:color w:val="auto"/>
        </w:rPr>
        <w:t>Our $3.5 billion revolving credit facility, maturing May 2029, provides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December 31, 2025, we had no outstanding borrowings under this facility. We had $ 1.1 billion of outstanding borrowings (net of related discount on issuance) under our commercial paper program and $227 million of letters of credit issued, both supported by the facility, leaving unused and available credit capacity of $2.2 billion as of December 31, 2025.</w:t>
      </w:r>
    </w:p>
    <w:p>
      <w:pPr>
        <w:spacing w:after="0" w:line="20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Inc. (“WM Holdings”), a wholly-owned subsidiary of WMI, guarantees all the obligations under the $3.5 billion revolving credit facility.</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Commercial Paper Program </w:t>
      </w:r>
      <w:r>
        <w:rPr>
          <w:rFonts w:ascii="Times New Roman" w:cs="Times New Roman" w:eastAsia="Times New Roman" w:hAnsi="Times New Roman"/>
          <w:sz w:val="20"/>
          <w:szCs w:val="20"/>
          <w:color w:val="auto"/>
        </w:rPr>
        <w:t>— We have a commercial paper program that enables us to borrow funds for up to 397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days at competitive interest rates. The rates we pay for outstanding borrowings are based on the term of the notes. The commercial paper program is fully supported by our $3.5 billion revolving credit facility. As of December 31, 2025, we had $1.1 billion of outstanding borrowings (net of related discount on issuance) under our commercial paper program.</w:t>
      </w:r>
    </w:p>
    <w:p>
      <w:pPr>
        <w:spacing w:after="0" w:line="19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Other Letter of Credit Lines — </w:t>
      </w:r>
      <w:r>
        <w:rPr>
          <w:rFonts w:ascii="Times New Roman" w:cs="Times New Roman" w:eastAsia="Times New Roman" w:hAnsi="Times New Roman"/>
          <w:sz w:val="20"/>
          <w:szCs w:val="20"/>
          <w:color w:val="auto"/>
        </w:rPr>
        <w:t>As of December 31, 2025, we had utilized $920 million of other uncommitted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credit lines with terms extending through December 2029.</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Borrowings and Repayments</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Commercial Paper Program </w:t>
      </w:r>
      <w:r>
        <w:rPr>
          <w:rFonts w:ascii="Times New Roman" w:cs="Times New Roman" w:eastAsia="Times New Roman" w:hAnsi="Times New Roman"/>
          <w:sz w:val="20"/>
          <w:szCs w:val="20"/>
          <w:color w:val="auto"/>
        </w:rPr>
        <w:t>— During the year ended December 31, 2025, we made cash repayments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$20.4 billion, which were partially offset by $20.2 billion of cash borrowings (net of related discount on issuance).</w:t>
      </w:r>
    </w:p>
    <w:p>
      <w:pPr>
        <w:spacing w:after="0" w:line="16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Senior Notes — </w:t>
      </w:r>
      <w:r>
        <w:rPr>
          <w:rFonts w:ascii="Times New Roman" w:cs="Times New Roman" w:eastAsia="Times New Roman" w:hAnsi="Times New Roman"/>
          <w:sz w:val="20"/>
          <w:szCs w:val="20"/>
          <w:color w:val="auto"/>
        </w:rPr>
        <w:t>We repaid $422 million of 3.125% senior notes in March 2025 and $500 million of 0.75% senior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notes in November 2025, in both cases with available cash at their scheduled maturities.</w:t>
      </w:r>
    </w:p>
    <w:p>
      <w:pPr>
        <w:spacing w:after="0" w:line="16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Senior Notes Exchange Offer — </w:t>
      </w:r>
      <w:r>
        <w:rPr>
          <w:rFonts w:ascii="Times New Roman" w:cs="Times New Roman" w:eastAsia="Times New Roman" w:hAnsi="Times New Roman"/>
          <w:sz w:val="19"/>
          <w:szCs w:val="19"/>
          <w:color w:val="auto"/>
        </w:rPr>
        <w:t>On June 25, 2025, we completed an exchange offer pursuant to which we issued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approximately $ 483 million of new notes (the “Registered Notes”) registered under the Securities Act of 1933, as amended, in exchange for a like amount of our outstanding unregistered 3.875% Senior Notes due 2029 (the “Restricted Notes”).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9720"/>
          </w:cols>
          <w:pgMar w:left="1080" w:top="1059" w:right="1080" w:bottom="543"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amount represents approximately 99% of the $485 million aggregate principal amount of Restricted Notes that were originally issued on November 8, 2024, in a private offer in exchange for notes of Stericycle. The terms of the Registered Notes are substantially identical in all material respects to the terms of the Restricted Notes, except that the Registered Notes are not subject to restrictions on transfer. The debt exchange is accounted for as a modification of debt, as the financial terms of the Registered Notes do not differ from the Restricted Notes, and there is no substantial difference between the present value of cash flows under each respective set of notes.</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Tax-Exempt Bonds — </w:t>
      </w:r>
      <w:r>
        <w:rPr>
          <w:rFonts w:ascii="Times New Roman" w:cs="Times New Roman" w:eastAsia="Times New Roman" w:hAnsi="Times New Roman"/>
          <w:sz w:val="20"/>
          <w:szCs w:val="20"/>
          <w:color w:val="auto"/>
        </w:rPr>
        <w:t>We issued $252 million of tax-exempt bonds in 2025. The proceeds from the issuance of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bonds were deposited directly into a restricted trust fund to be used for the specific purpose for which the money was raised, which is generally to finance expenditures for solid waste disposal and recycling facility construction and development. We also repaid $298 million of tax-exempt bonds in 2025 at their respective scheduled maturities with available cash on hand.</w:t>
      </w:r>
    </w:p>
    <w:p>
      <w:pPr>
        <w:spacing w:after="0" w:line="19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Financing Leases and Other — </w:t>
      </w:r>
      <w:r>
        <w:rPr>
          <w:rFonts w:ascii="Times New Roman" w:cs="Times New Roman" w:eastAsia="Times New Roman" w:hAnsi="Times New Roman"/>
          <w:sz w:val="20"/>
          <w:szCs w:val="20"/>
          <w:color w:val="auto"/>
        </w:rPr>
        <w:t>The increase in our financing leases and other debt obligations in 2025 is due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 of $248 million, primarily related to non-cash financing leases, partially offset by $153 million of cash repayments of debt at maturity.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Scheduled Debt Payments</w:t>
      </w:r>
    </w:p>
    <w:p>
      <w:pPr>
        <w:spacing w:after="0" w:line="23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Principal payments of our debt for the next five years and thereafter, based on scheduled maturities are as follows: $1.8 billion in 2026, $2.0 billion in 2027, $2.0 billion in 2028, $2.1 billion in 2029, $1.7 billion in 2030 and $13.5 billion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our commercial paper borrowings on a long-term basis. See Note 7 below for further discussion of our financing lease arrangements.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Secured Debt</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Covenants</w:t>
      </w:r>
    </w:p>
    <w:p>
      <w:pPr>
        <w:spacing w:after="0" w:line="23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our $3.5 billion revolving credit facility involving aggregate consideration in excess of $ 200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our $3.5 billion revolving credit facility, and the Leverage Ratio must return to 3.75 to 1 for at least one fiscal quarter between Elevated Leverage Ratio Periods. The Company has not elected to increase the Leverage Ratio for an Elevated Leverage Ratio Period during the term of our $3.5 billion revolving credit facility. The calculation of all components used in the Leverage Ratio covenant are as defined in the $3.5 billion revolving credit facility. As of December 31, 2025 and 2024, we were in compliance with our Leverage Ratio covenant.</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720"/>
          </w:cols>
          <w:pgMar w:left="1080" w:top="1059" w:right="1080" w:bottom="543" w:gutter="0" w:footer="0" w:header="0"/>
          <w:type w:val="continuous"/>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2025 and 2024, we were in compliance with all covenants and restrictions under our financing arrangements, in addition to our Leverage Ratio covenant, that may have a material effect on our Consolidated Financial Statements.</w:t>
      </w:r>
    </w:p>
    <w:p>
      <w:pPr>
        <w:spacing w:after="0" w:line="199" w:lineRule="exact"/>
        <w:rPr>
          <w:sz w:val="20"/>
          <w:szCs w:val="20"/>
          <w:color w:val="auto"/>
        </w:rPr>
      </w:pPr>
    </w:p>
    <w:p>
      <w:pPr>
        <w:ind w:left="360" w:hanging="353"/>
        <w:spacing w:after="0"/>
        <w:tabs>
          <w:tab w:leader="none" w:pos="36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operating lease activities primarily consist of leases for real estate, landfills (as discussed further in Note 2), fleet vehicles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20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Supplemental balance sheet information for our leases as of December 31 is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00" w:type="dxa"/>
            <w:vAlign w:val="bottom"/>
          </w:tcPr>
          <w:p>
            <w:pPr>
              <w:spacing w:after="0"/>
              <w:rPr>
                <w:sz w:val="17"/>
                <w:szCs w:val="17"/>
                <w:color w:val="auto"/>
              </w:rPr>
            </w:pPr>
          </w:p>
        </w:tc>
        <w:tc>
          <w:tcPr>
            <w:tcW w:w="38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2400" w:type="dxa"/>
            <w:vAlign w:val="bottom"/>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Long-term:</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Other assets</w:t>
            </w:r>
          </w:p>
        </w:tc>
        <w:tc>
          <w:tcPr>
            <w:tcW w:w="600" w:type="dxa"/>
            <w:vAlign w:val="bottom"/>
            <w:gridSpan w:val="3"/>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600" w:type="dxa"/>
            <w:vAlign w:val="bottom"/>
            <w:gridSpan w:val="3"/>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Property and equipment, net of accumulated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400" w:type="dxa"/>
            <w:vAlign w:val="bottom"/>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rPr>
              <w:t>Total lease assets</w:t>
            </w:r>
          </w:p>
        </w:tc>
        <w:tc>
          <w:tcPr>
            <w:tcW w:w="30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depreciation and depletion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30"/>
        </w:trPr>
        <w:tc>
          <w:tcPr>
            <w:tcW w:w="240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1,527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1,453</w:t>
            </w: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600" w:type="dxa"/>
            <w:vAlign w:val="bottom"/>
            <w:gridSpan w:val="3"/>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600" w:type="dxa"/>
            <w:vAlign w:val="bottom"/>
            <w:gridSpan w:val="3"/>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Long-term:</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Other liabilities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0" w:type="dxa"/>
            <w:vAlign w:val="bottom"/>
          </w:tcPr>
          <w:p>
            <w:pPr>
              <w:spacing w:after="0"/>
              <w:rPr>
                <w:sz w:val="1"/>
                <w:szCs w:val="1"/>
                <w:color w:val="auto"/>
              </w:rPr>
            </w:pPr>
          </w:p>
        </w:tc>
      </w:tr>
      <w:tr>
        <w:trPr>
          <w:trHeight w:val="251"/>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Long-term debt, less current portion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 . . .Totalleaseliabilities</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1,573</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720"/>
          </w:cols>
          <w:pgMar w:left="1080" w:top="1059" w:right="1080" w:bottom="543"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Operating lease expense was $427 million, $264 million and $189 million during 2025, 2024 and 2023, respectively, and is included in operating and selling, general and administrative expenses in our Consolidated Statements of Operations. Financing lease expense was $96 million, $73 million and $58 million during 2025, 2024 and 2023, respectively, and is included in depreciation, depletion and amortization expense and interest expense, net in our Consolidated Statements of Operations.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Minimum contractual obligations for our leases (undiscounted) as of December 31, 2025 are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vMerge w:val="restart"/>
          </w:tcPr>
          <w:p>
            <w:pPr>
              <w:jc w:val="right"/>
              <w:ind w:right="5320"/>
              <w:spacing w:after="0"/>
              <w:rPr>
                <w:sz w:val="20"/>
                <w:szCs w:val="20"/>
                <w:color w:val="auto"/>
              </w:rPr>
            </w:pPr>
            <w:r>
              <w:rPr>
                <w:rFonts w:ascii="Times New Roman" w:cs="Times New Roman" w:eastAsia="Times New Roman" w:hAnsi="Times New Roman"/>
                <w:sz w:val="20"/>
                <w:szCs w:val="20"/>
                <w:color w:val="auto"/>
                <w:w w:val="94"/>
              </w:rPr>
              <w:t>2026</w:t>
            </w: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199"/>
        </w:trPr>
        <w:tc>
          <w:tcPr>
            <w:tcW w:w="582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17"/>
                <w:szCs w:val="17"/>
                <w:color w:val="auto"/>
              </w:rPr>
            </w:pPr>
          </w:p>
        </w:tc>
        <w:tc>
          <w:tcPr>
            <w:tcW w:w="1280" w:type="dxa"/>
            <w:vAlign w:val="bottom"/>
            <w:tcBorders>
              <w:top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2030 . . . . . . . . . . . . . . . . . . . . . . . . . . . . . . . . . . . . . . . . . . . . . . . . . . . . .</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5"/>
              </w:rPr>
              <w:t>Thereafter . . . . . . . . . . . . . . . . . . . . . . . . . . . . . . . . . . . . . . . . . . . . . . . . .</w:t>
            </w:r>
          </w:p>
        </w:tc>
        <w:tc>
          <w:tcPr>
            <w:tcW w:w="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82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rPr>
              <w:t>. . . . . . . . . . . . . . . . . . . . . . . . . . .Totalundiscountedleasepayments</w:t>
            </w:r>
          </w:p>
        </w:tc>
        <w:tc>
          <w:tcPr>
            <w:tcW w:w="20" w:type="dxa"/>
            <w:vAlign w:val="bottom"/>
          </w:tcPr>
          <w:p>
            <w:pPr>
              <w:spacing w:after="0"/>
              <w:rPr>
                <w:sz w:val="17"/>
                <w:szCs w:val="17"/>
                <w:color w:val="auto"/>
              </w:rPr>
            </w:pPr>
          </w:p>
        </w:tc>
        <w:tc>
          <w:tcPr>
            <w:tcW w:w="1280" w:type="dxa"/>
            <w:vAlign w:val="bottom"/>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1,269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Less: interest . . . . . . . . . . . . . . . . . . . . . . . . . . . . . . . . . . . . . . . . . . . . . .</w:t>
            </w: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(259)</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210"/>
        </w:trPr>
        <w:tc>
          <w:tcPr>
            <w:tcW w:w="582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.Discountedleaseliabilities</w:t>
            </w:r>
          </w:p>
        </w:tc>
        <w:tc>
          <w:tcPr>
            <w:tcW w:w="2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1,010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Cash paid during 2025 for our operating and financing leases was $214 million and $101 million, respectively. Cash paid during 2024 for our operating and financing leases was $103 million and $90 million, respectively. Increases in cash paid for operating leases was primarily driven by activity within our Healthcare Solutions segment. During 2025, right-of-use assets obtained in exchange for lease obligations for our operating and financing leases were $132 million and $184 million, respectively. During 2024, right-of-use assets obtained in exchange for lease obligations for our operating and financing leases were $74 million and $118 million, respectively.</w:t>
      </w:r>
    </w:p>
    <w:p>
      <w:pPr>
        <w:spacing w:after="0" w:line="20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the weighted average remaining lease terms of our operating and financing leases were approximately 12 years and 10 years, respectively. The weighted average discount rates used to determine the lease liabilities as of December 31, 2025 for our operating and financing leases were approximately 4.4% and 4.9%, respectively.</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720"/>
          </w:cols>
          <w:pgMar w:left="1080" w:top="1059" w:right="1080" w:bottom="543" w:gutter="0" w:footer="0" w:header="0"/>
          <w:type w:val="continuous"/>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1" w:lineRule="exact"/>
        <w:rPr>
          <w:sz w:val="20"/>
          <w:szCs w:val="20"/>
          <w:color w:val="auto"/>
        </w:rPr>
      </w:pPr>
    </w:p>
    <w:p>
      <w:pPr>
        <w:ind w:left="360" w:hanging="353"/>
        <w:spacing w:after="0"/>
        <w:tabs>
          <w:tab w:leader="none" w:pos="3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income tax expense consisted of the following for the year ended December 31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Federal . . . .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8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0" w:type="dxa"/>
            <w:vAlign w:val="bottom"/>
          </w:tcPr>
          <w:p>
            <w:pPr>
              <w:spacing w:after="0"/>
              <w:rPr>
                <w:sz w:val="1"/>
                <w:szCs w:val="1"/>
                <w:color w:val="auto"/>
              </w:rPr>
            </w:pPr>
          </w:p>
        </w:tc>
      </w:tr>
      <w:tr>
        <w:trPr>
          <w:trHeight w:val="23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5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20"/>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662</w:t>
            </w:r>
          </w:p>
        </w:tc>
        <w:tc>
          <w:tcPr>
            <w:tcW w:w="0" w:type="dxa"/>
            <w:vAlign w:val="bottom"/>
          </w:tcPr>
          <w:p>
            <w:pPr>
              <w:spacing w:after="0"/>
              <w:rPr>
                <w:sz w:val="1"/>
                <w:szCs w:val="1"/>
                <w:color w:val="auto"/>
              </w:rPr>
            </w:pPr>
          </w:p>
        </w:tc>
      </w:tr>
      <w:tr>
        <w:trPr>
          <w:trHeight w:val="199"/>
        </w:trPr>
        <w:tc>
          <w:tcPr>
            <w:tcW w:w="6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Federal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3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20"/>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30"/>
        </w:trPr>
        <w:tc>
          <w:tcPr>
            <w:tcW w:w="67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745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U.S. federal statutory income tax rate is reconciled to the effective income tax rate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as follows (in millions,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tax expense at U.S. federal statutory rate</w:t>
            </w:r>
          </w:p>
        </w:tc>
        <w:tc>
          <w:tcPr>
            <w:tcW w:w="10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Tax Expense</w:t>
            </w:r>
          </w:p>
        </w:tc>
        <w:tc>
          <w:tcPr>
            <w:tcW w:w="600" w:type="dxa"/>
            <w:vAlign w:val="bottom"/>
          </w:tcPr>
          <w:p>
            <w:pPr>
              <w:jc w:val="right"/>
              <w:ind w:right="41"/>
              <w:spacing w:after="0" w:line="175" w:lineRule="exact"/>
              <w:rPr>
                <w:sz w:val="20"/>
                <w:szCs w:val="20"/>
                <w:color w:val="auto"/>
              </w:rPr>
            </w:pPr>
            <w:r>
              <w:rPr>
                <w:rFonts w:ascii="Times New Roman" w:cs="Times New Roman" w:eastAsia="Times New Roman" w:hAnsi="Times New Roman"/>
                <w:sz w:val="16"/>
                <w:szCs w:val="16"/>
                <w:b w:val="1"/>
                <w:bCs w:val="1"/>
                <w:color w:val="auto"/>
              </w:rPr>
              <w:t>Rate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5"/>
                <w:szCs w:val="15"/>
                <w:color w:val="auto"/>
              </w:rPr>
            </w:pPr>
          </w:p>
        </w:tc>
        <w:tc>
          <w:tcPr>
            <w:tcW w:w="10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Tax Expense</w:t>
            </w:r>
          </w:p>
        </w:tc>
        <w:tc>
          <w:tcPr>
            <w:tcW w:w="600" w:type="dxa"/>
            <w:vAlign w:val="bottom"/>
          </w:tcPr>
          <w:p>
            <w:pPr>
              <w:jc w:val="right"/>
              <w:ind w:right="41"/>
              <w:spacing w:after="0" w:line="175" w:lineRule="exact"/>
              <w:rPr>
                <w:sz w:val="20"/>
                <w:szCs w:val="20"/>
                <w:color w:val="auto"/>
              </w:rPr>
            </w:pPr>
            <w:r>
              <w:rPr>
                <w:rFonts w:ascii="Times New Roman" w:cs="Times New Roman" w:eastAsia="Times New Roman" w:hAnsi="Times New Roman"/>
                <w:sz w:val="16"/>
                <w:szCs w:val="16"/>
                <w:b w:val="1"/>
                <w:bCs w:val="1"/>
                <w:color w:val="auto"/>
              </w:rPr>
              <w:t>Rate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5"/>
                <w:szCs w:val="15"/>
                <w:color w:val="auto"/>
              </w:rPr>
            </w:pPr>
          </w:p>
        </w:tc>
        <w:tc>
          <w:tcPr>
            <w:tcW w:w="10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Tax Expense</w:t>
            </w:r>
          </w:p>
        </w:tc>
        <w:tc>
          <w:tcPr>
            <w:tcW w:w="540" w:type="dxa"/>
            <w:vAlign w:val="bottom"/>
          </w:tcPr>
          <w:p>
            <w:pPr>
              <w:jc w:val="right"/>
              <w:ind w:right="21"/>
              <w:spacing w:after="0" w:line="175" w:lineRule="exact"/>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199"/>
        </w:trPr>
        <w:tc>
          <w:tcPr>
            <w:tcW w:w="434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w:t>
            </w:r>
          </w:p>
        </w:tc>
        <w:tc>
          <w:tcPr>
            <w:tcW w:w="2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21.0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income tax, net of federal</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effect (a) . . . . . . . . . . . . . . . . . . . . . . . .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effects . . . . . . . . . . . . . . . . . . . . . . . . . . .</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Investment tax credits . . . . . . . . . . . . . . . . . . . . . . .</w:t>
            </w:r>
          </w:p>
        </w:tc>
        <w:tc>
          <w:tcPr>
            <w:tcW w:w="2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(184)</w:t>
            </w: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29"/>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Low income housing tax credits . . . . . . . . . . . . . .</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Other tax credits . . . . . . . . . . . . . . . . . . . . . . . . . . .</w:t>
            </w:r>
          </w:p>
        </w:tc>
        <w:tc>
          <w:tcPr>
            <w:tcW w:w="2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29"/>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Changes in valuation allowances . . . . . . . . . . . . . . .</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Nontaxable or nondeductible items . . . . . . . . . . . .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Changes in unrecognized tax benefits . . . . . . . . . . .</w:t>
            </w:r>
          </w:p>
        </w:tc>
        <w:tc>
          <w:tcPr>
            <w:tcW w:w="2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Proportional amortization method . . . . . . . . . . . .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4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Other . . . . . . . . . . . . . . . . . . . . . . . . . . . . . . . . . . . .</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717</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20.9</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20.6</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745</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24.7</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years ended December 31, 2025, 2024 and 2023, the states that make up a majority of the effect of the state and local income tax category include California, Florida, Illinois, New Jersey, New York and Oregon. Additionally, Georgia is included in the year ended December 31, 2024.</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comparability of our income tax expense for the reported periods has been primarily affected by (i) federal tax credits; (ii) variations in our income before income taxes; (iii) impacts of adopting Accounting Standards Updates (“ASU”) 2023-02 and (iv) the tax implications of impairments.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720"/>
          </w:cols>
          <w:pgMar w:left="1080" w:top="1059" w:right="1080" w:bottom="543"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Income before income taxes by source for the year ended December 31 was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vMerge w:val="restart"/>
          </w:tcPr>
          <w:p>
            <w:pPr>
              <w:jc w:val="right"/>
              <w:ind w:right="5720"/>
              <w:spacing w:after="0"/>
              <w:rPr>
                <w:sz w:val="20"/>
                <w:szCs w:val="20"/>
                <w:color w:val="auto"/>
              </w:rPr>
            </w:pPr>
            <w:r>
              <w:rPr>
                <w:rFonts w:ascii="Times New Roman" w:cs="Times New Roman" w:eastAsia="Times New Roman" w:hAnsi="Times New Roman"/>
                <w:sz w:val="20"/>
                <w:szCs w:val="20"/>
                <w:color w:val="auto"/>
                <w:w w:val="99"/>
              </w:rPr>
              <w:t>Domestic</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6600" w:type="dxa"/>
            <w:vAlign w:val="bottom"/>
            <w:vMerge w:val="continue"/>
          </w:tcPr>
          <w:p>
            <w:pPr>
              <w:jc w:val="right"/>
              <w:ind w:right="22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3,307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3,325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2,878</w:t>
            </w:r>
          </w:p>
        </w:tc>
        <w:tc>
          <w:tcPr>
            <w:tcW w:w="0" w:type="dxa"/>
            <w:vAlign w:val="bottom"/>
          </w:tcPr>
          <w:p>
            <w:pPr>
              <w:spacing w:after="0"/>
              <w:rPr>
                <w:sz w:val="1"/>
                <w:szCs w:val="1"/>
                <w:color w:val="auto"/>
              </w:rPr>
            </w:pPr>
          </w:p>
        </w:tc>
      </w:tr>
      <w:tr>
        <w:trPr>
          <w:trHeight w:val="251"/>
        </w:trPr>
        <w:tc>
          <w:tcPr>
            <w:tcW w:w="6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5"/>
              </w:rPr>
              <w:t>Foreign .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31"/>
        </w:trPr>
        <w:tc>
          <w:tcPr>
            <w:tcW w:w="660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.Incomebeforeincometaxes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3,426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3,458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3,021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Renewable Natural Gas — </w:t>
      </w:r>
      <w:r>
        <w:rPr>
          <w:rFonts w:ascii="Times New Roman" w:cs="Times New Roman" w:eastAsia="Times New Roman" w:hAnsi="Times New Roman"/>
          <w:sz w:val="20"/>
          <w:szCs w:val="20"/>
          <w:color w:val="auto"/>
        </w:rPr>
        <w:t>Through our Renewable Energy segment, we have invested in building landfill gas-to-energy facilities in the U.S. and Canada that produce renewable electricity and RNG. We expect our new RNG facilities to qualify for federal tax credits and to realize those credits through 2027 under Section 48 of the Internal Revenue Code. We completed construction of seven RNG facilities in 2025, five RNG facilities in 2024 and one RNG facility in 2023, resulting in a reduction to our income tax expense of $184 million, $137 million and $8 million, respectively.</w:t>
      </w:r>
    </w:p>
    <w:p>
      <w:pPr>
        <w:spacing w:after="0" w:line="19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Low-Income Housing — </w:t>
      </w:r>
      <w:r>
        <w:rPr>
          <w:rFonts w:ascii="Times New Roman" w:cs="Times New Roman" w:eastAsia="Times New Roman" w:hAnsi="Times New Roman"/>
          <w:sz w:val="20"/>
          <w:szCs w:val="20"/>
          <w:color w:val="auto"/>
        </w:rPr>
        <w:t>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2036 under Section 42 and Section 45D of the Internal Revenue Code.</w:t>
      </w:r>
    </w:p>
    <w:p>
      <w:pPr>
        <w:spacing w:after="0" w:line="19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As a result of adopting ASU 2023-02 in 2024,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2024, we accounted for our investments in these entities using the equity method of accounting, recognizing our share of each entity’s results of operations and other reductions in the value of our investments in equity in net income (loss) of unconsolidated entities, within our Consolidated Statements of Operations.</w:t>
      </w:r>
    </w:p>
    <w:p>
      <w:pPr>
        <w:spacing w:after="0" w:line="19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years ended December 31, 2025 and 2024, we recognized income tax expense of $96 million and $78 million, respectively, related to amortization under ASU 2023-02 and a reduction in our income tax expense of $137 million and $104 million, respectively, primarily due to federal tax credits realized from these investments. For the year ended December 31, 2023, we recognized net losses of $66 million and a reduction in our income tax expense of $108 million primarily due to federal tax credits realized from these investments as well as the tax benefits from the pre-tax losses realized. In addition, during the years ended December 31, 2025, 2024 and 2023, we recognized interest expense of $33 million, $24 million and $15 million, respectively, associated with our investments in low-income housing properties. See Notes 2 and 18 for additional information related to these unconsolidated variable interest entities.</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Tax Implications of Impairments </w:t>
      </w:r>
      <w:r>
        <w:rPr>
          <w:rFonts w:ascii="Times New Roman" w:cs="Times New Roman" w:eastAsia="Times New Roman" w:hAnsi="Times New Roman"/>
          <w:sz w:val="20"/>
          <w:szCs w:val="20"/>
          <w:color w:val="auto"/>
        </w:rPr>
        <w:t>— During the years ended December 31, 2024 and 2023, we recognized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tax expense of $14 million and $50 million, respectively, due to non-cash impairment charges that were not deductible for tax purposes in the year of impairment. The non-cash impairment charges recognized during 2025 were deductible for tax purposes. See Note 11 for more information related to our impairment charges.</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Tax Audits — </w:t>
      </w:r>
      <w:r>
        <w:rPr>
          <w:rFonts w:ascii="Times New Roman" w:cs="Times New Roman" w:eastAsia="Times New Roman" w:hAnsi="Times New Roman"/>
          <w:sz w:val="20"/>
          <w:szCs w:val="20"/>
          <w:color w:val="auto"/>
        </w:rPr>
        <w:t>We participate in the IRS’s Compliance Assurance Process, which means we work with the IRS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2025 and 2024, the IRS deposit, net of reserve for uncertain tax positions, was classified as a component of other long-term assets in the Company’s Consolidated Balance Sheets.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720"/>
          </w:cols>
          <w:pgMar w:left="1080" w:top="1059" w:right="1080" w:bottom="543"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addition, we are under IRS audits for the 2024 and 2025 tax years and expect the audits to be completed within the next 15 months. We are also currently undergoing audits by the Canada Revenue Agency for the 2021 tax year and various state and local jurisdictions for tax years that date back to 2018.</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Tax Legislation — </w:t>
      </w:r>
      <w:r>
        <w:rPr>
          <w:rFonts w:ascii="Times New Roman" w:cs="Times New Roman" w:eastAsia="Times New Roman" w:hAnsi="Times New Roman"/>
          <w:sz w:val="20"/>
          <w:szCs w:val="20"/>
          <w:color w:val="auto"/>
        </w:rPr>
        <w:t>On July 4, 2025, President Trump signed the One Big Beautiful Bill Act into law. We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evaluated the business tax provisions in the legislation, none of which had a material impact on our effective tax rate. However, we had a beneficial impact to cash taxes related to bonus depreciation.</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Deferred Tax Assets (Liabilities)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net deferred tax liabilities as of December 31 are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Net operating loss, capital loss and tax credit carry-forwards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Landfill and environmental remediation liabilities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Miscellaneous and other reserves, net.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600" w:type="dxa"/>
            <w:vAlign w:val="bottom"/>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 . . . . . . . .Totaldeferredtaxassets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Property and equipment .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Goodwill and other intangibles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(1,895)</w:t>
            </w:r>
          </w:p>
        </w:tc>
        <w:tc>
          <w:tcPr>
            <w:tcW w:w="0" w:type="dxa"/>
            <w:vAlign w:val="bottom"/>
          </w:tcPr>
          <w:p>
            <w:pPr>
              <w:spacing w:after="0"/>
              <w:rPr>
                <w:sz w:val="1"/>
                <w:szCs w:val="1"/>
                <w:color w:val="auto"/>
              </w:rPr>
            </w:pPr>
          </w:p>
        </w:tc>
      </w:tr>
      <w:tr>
        <w:trPr>
          <w:trHeight w:val="250"/>
        </w:trPr>
        <w:tc>
          <w:tcPr>
            <w:tcW w:w="7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30"/>
        </w:trPr>
        <w:tc>
          <w:tcPr>
            <w:tcW w:w="76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.Netdeferredtaxliabilities</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(3,143)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These net deferred tax liabilities are included as a component of other long-term assets, accrued liabilities and deferred income taxes in our Consolidated Balance Sheets. As of December 31, 2025, we had $114 million of international net operating loss carry-forwards with expiration dates through 2034 and $2.2 billion of state net operating loss carry-forwards with expiration dates through 2045. We also had $46 million of foreign interest expense carry-forwards that do not expire, $40 million of foreign tax credit carry-forwards with expiration dates through 2033 and $5 million of state tax credit carry-forwards with expiration dates through 2038.</w:t>
      </w:r>
    </w:p>
    <w:p>
      <w:pPr>
        <w:spacing w:after="0" w:line="20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720"/>
          </w:cols>
          <w:pgMar w:left="1080" w:top="1059" w:right="1080" w:bottom="543"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Liabilities for Uncertain Tax Positions</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A reconciliation of the beginning and ending amount of gross unrecognized tax benefits, including accrued interest, is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vMerge w:val="restart"/>
          </w:tcPr>
          <w:p>
            <w:pPr>
              <w:jc w:val="right"/>
              <w:ind w:right="478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Accrued interest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Acquisitions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Settlements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Lapse of statute of limitations . . . . . . . . .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These liabilities are included as a component of other long-term liabilities or as an offset to other long-term assets in our Consolidated Balance Sheets. As of December 31, 2025, we had $36 million of net unrecognized tax benefits that, if recognized in future periods, would impact our effective income tax rate.</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183" w:lineRule="exact"/>
        <w:rPr>
          <w:sz w:val="20"/>
          <w:szCs w:val="20"/>
          <w:color w:val="auto"/>
        </w:rPr>
      </w:pPr>
    </w:p>
    <w:p>
      <w:pPr>
        <w:ind w:left="360" w:hanging="353"/>
        <w:spacing w:after="0"/>
        <w:tabs>
          <w:tab w:leader="none" w:pos="36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24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Defined Contribution Plans — </w:t>
      </w:r>
      <w:r>
        <w:rPr>
          <w:rFonts w:ascii="Times New Roman" w:cs="Times New Roman" w:eastAsia="Times New Roman" w:hAnsi="Times New Roman"/>
          <w:sz w:val="19"/>
          <w:szCs w:val="19"/>
          <w:color w:val="auto"/>
        </w:rPr>
        <w:t>The Company sponsors a 401(k) retirement savings plan that covers employees, except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In connection with our acquisition of Stericycle in November 2024, we acquired a domestic defined contribution plan with attributes similar to our existing Waste Management 401(k) retirement savings plan. In January 2026, the Stericycle 401(k) plan was merged into the Waste Management 401(k) retirement savings plan.</w:t>
      </w:r>
    </w:p>
    <w:p>
      <w:pPr>
        <w:spacing w:after="0" w:line="19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Certain U.S. employees who are subject to collective bargaining agreements may participate in the 401(k) retirement savings plan under terms specified in their collective bargaining agreement. Certain employees outside the U.S., including those in Canada and across Europe, participate in defined contribution plans maintained by the Company in compliance with laws of the appropriate jurisdiction. Charges to operating and selling, general and administrative expenses for our defined contribution plans totaled $157 million, $125 million and $118 million for the years ended December 31, 2025, 2024 and 2023, respectively.</w:t>
      </w:r>
    </w:p>
    <w:p>
      <w:pPr>
        <w:spacing w:after="0" w:line="200"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Defined Benefit Plans (other than multiemployer defined benefit pension plans discussed below) — </w:t>
      </w:r>
      <w:r>
        <w:rPr>
          <w:rFonts w:ascii="Times New Roman" w:cs="Times New Roman" w:eastAsia="Times New Roman" w:hAnsi="Times New Roman"/>
          <w:sz w:val="19"/>
          <w:szCs w:val="19"/>
          <w:color w:val="auto"/>
        </w:rPr>
        <w:t>WM Holdings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2025, the combined benefit obligation of these pension plans was $118 million supported by $123 million of combined plan assets, resulting in a net plan asset for these plans of $5 million. As of December 31,</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720"/>
          </w:cols>
          <w:pgMar w:left="1080" w:top="1059" w:right="1080" w:bottom="543" w:gutter="0" w:footer="0" w:header="0"/>
          <w:type w:val="continuous"/>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2024, the combined benefit obligation of these pension plans was $115 million supported by $117 million of combined plan assets, resulting in a net plan asset for these plans of $2 million.</w:t>
      </w:r>
    </w:p>
    <w:p>
      <w:pPr>
        <w:spacing w:after="0" w:line="16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$6 million and $7 million as of December 31, 2025 and 2024, respectively.</w:t>
      </w:r>
    </w:p>
    <w:p>
      <w:pPr>
        <w:spacing w:after="0" w:line="19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assets and accrued benefit liabilities for our defined benefit pension and other post-retirement plans are included as components of other long-term assets, accrued liabilities and other long-term liabilities in our Consolidated Balance Sheets.</w:t>
      </w:r>
    </w:p>
    <w:p>
      <w:pPr>
        <w:spacing w:after="0" w:line="18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Multiemployer Defined Benefit Pension Plans — </w:t>
      </w:r>
      <w:r>
        <w:rPr>
          <w:rFonts w:ascii="Times New Roman" w:cs="Times New Roman" w:eastAsia="Times New Roman" w:hAnsi="Times New Roman"/>
          <w:sz w:val="20"/>
          <w:szCs w:val="20"/>
          <w:color w:val="auto"/>
        </w:rPr>
        <w:t>We are a participating employer in a number of trustee-managed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EIN/</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Protection Act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Reported Status(a)</w:t>
            </w:r>
          </w:p>
        </w:tc>
        <w:tc>
          <w:tcPr>
            <w:tcW w:w="140" w:type="dxa"/>
            <w:vAlign w:val="bottom"/>
          </w:tcPr>
          <w:p>
            <w:pPr>
              <w:spacing w:after="0"/>
              <w:rPr>
                <w:sz w:val="15"/>
                <w:szCs w:val="15"/>
                <w:color w:val="auto"/>
              </w:rPr>
            </w:pPr>
          </w:p>
        </w:tc>
        <w:tc>
          <w:tcPr>
            <w:tcW w:w="1040" w:type="dxa"/>
            <w:vAlign w:val="bottom"/>
            <w:gridSpan w:val="4"/>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FIP/RP</w:t>
            </w:r>
          </w:p>
        </w:tc>
        <w:tc>
          <w:tcPr>
            <w:tcW w:w="480" w:type="dxa"/>
            <w:vAlign w:val="bottom"/>
          </w:tcPr>
          <w:p>
            <w:pPr>
              <w:spacing w:after="0"/>
              <w:rPr>
                <w:sz w:val="15"/>
                <w:szCs w:val="15"/>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Bargaining</w:t>
            </w:r>
          </w:p>
        </w:tc>
        <w:tc>
          <w:tcPr>
            <w:tcW w:w="0" w:type="dxa"/>
            <w:vAlign w:val="bottom"/>
          </w:tcPr>
          <w:p>
            <w:pPr>
              <w:spacing w:after="0"/>
              <w:rPr>
                <w:sz w:val="1"/>
                <w:szCs w:val="1"/>
                <w:color w:val="auto"/>
              </w:rPr>
            </w:pPr>
          </w:p>
        </w:tc>
      </w:tr>
      <w:tr>
        <w:trPr>
          <w:trHeight w:val="153"/>
        </w:trPr>
        <w:tc>
          <w:tcPr>
            <w:tcW w:w="28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Pension Fund</w:t>
            </w:r>
          </w:p>
        </w:tc>
        <w:tc>
          <w:tcPr>
            <w:tcW w:w="14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ind w:right="130"/>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tcBorders>
            <w:gridSpan w:val="2"/>
          </w:tcPr>
          <w:p>
            <w:pPr>
              <w:jc w:val="right"/>
              <w:ind w:right="130"/>
              <w:spacing w:after="0" w:line="153"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940" w:type="dxa"/>
            <w:vAlign w:val="bottom"/>
            <w:gridSpan w:val="3"/>
          </w:tcPr>
          <w:p>
            <w:pPr>
              <w:jc w:val="center"/>
              <w:ind w:right="90"/>
              <w:spacing w:after="0" w:line="153" w:lineRule="exact"/>
              <w:rPr>
                <w:sz w:val="20"/>
                <w:szCs w:val="20"/>
                <w:color w:val="auto"/>
              </w:rPr>
            </w:pPr>
            <w:r>
              <w:rPr>
                <w:rFonts w:ascii="Times New Roman" w:cs="Times New Roman" w:eastAsia="Times New Roman" w:hAnsi="Times New Roman"/>
                <w:sz w:val="14"/>
                <w:szCs w:val="14"/>
                <w:b w:val="1"/>
                <w:bCs w:val="1"/>
                <w:color w:val="auto"/>
                <w:w w:val="99"/>
              </w:rPr>
              <w:t>Status(b)(c)</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90"/>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90"/>
              <w:spacing w:after="0" w:line="153"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90"/>
              <w:spacing w:after="0" w:line="153"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136"/>
        </w:trPr>
        <w:tc>
          <w:tcPr>
            <w:tcW w:w="284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Automotive Industries Pension Plan . . . . . . . . . .</w:t>
            </w: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EIN:</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Critical</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Critical and</w:t>
            </w:r>
          </w:p>
        </w:tc>
        <w:tc>
          <w:tcPr>
            <w:tcW w:w="1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Implemented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2030</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94-1133245;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205"/>
              <w:spacing w:after="0"/>
              <w:rPr>
                <w:sz w:val="20"/>
                <w:szCs w:val="20"/>
                <w:color w:val="auto"/>
              </w:rPr>
            </w:pPr>
            <w:r>
              <w:rPr>
                <w:rFonts w:ascii="Times New Roman" w:cs="Times New Roman" w:eastAsia="Times New Roman" w:hAnsi="Times New Roman"/>
                <w:sz w:val="14"/>
                <w:szCs w:val="14"/>
                <w:color w:val="auto"/>
              </w:rPr>
              <w:t>Implemented</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Midwest Operating Engineers Pension</w:t>
            </w: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Trust Fund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36-6140097;</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2026</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 of</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 of</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3/31/2025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3/31/2024</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205"/>
              <w:spacing w:after="0"/>
              <w:rPr>
                <w:sz w:val="20"/>
                <w:szCs w:val="20"/>
                <w:color w:val="auto"/>
              </w:rPr>
            </w:pPr>
            <w:r>
              <w:rPr>
                <w:rFonts w:ascii="Times New Roman" w:cs="Times New Roman" w:eastAsia="Times New Roman" w:hAnsi="Times New Roman"/>
                <w:sz w:val="14"/>
                <w:szCs w:val="14"/>
                <w:color w:val="auto"/>
              </w:rPr>
              <w:t>Implemented</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Suburban Teamsters of Northern Illinois</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Pension Plan (d)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36-6155778;</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2030</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Western Conference of Teamsters Pension</w:t>
            </w: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Not</w:t>
            </w:r>
          </w:p>
        </w:tc>
        <w:tc>
          <w:tcPr>
            <w:tcW w:w="140" w:type="dxa"/>
            <w:vAlign w:val="bottom"/>
          </w:tcPr>
          <w:p>
            <w:pPr>
              <w:spacing w:after="0"/>
              <w:rPr>
                <w:sz w:val="14"/>
                <w:szCs w:val="14"/>
                <w:color w:val="auto"/>
              </w:rPr>
            </w:pPr>
          </w:p>
        </w:tc>
        <w:tc>
          <w:tcPr>
            <w:tcW w:w="1040" w:type="dxa"/>
            <w:vAlign w:val="bottom"/>
            <w:gridSpan w:val="4"/>
          </w:tcPr>
          <w:p>
            <w:pPr>
              <w:jc w:val="center"/>
              <w:ind w:right="205"/>
              <w:spacing w:after="0"/>
              <w:rPr>
                <w:sz w:val="20"/>
                <w:szCs w:val="20"/>
                <w:color w:val="auto"/>
              </w:rPr>
            </w:pPr>
            <w:r>
              <w:rPr>
                <w:rFonts w:ascii="Times New Roman" w:cs="Times New Roman" w:eastAsia="Times New Roman" w:hAnsi="Times New Roman"/>
                <w:sz w:val="14"/>
                <w:szCs w:val="14"/>
                <w:color w:val="auto"/>
              </w:rPr>
              <w:t>Not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1"/>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 . . . . .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91-6145047;</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40" w:type="dxa"/>
            <w:vAlign w:val="bottom"/>
          </w:tcPr>
          <w:p>
            <w:pPr>
              <w:spacing w:after="0"/>
              <w:rPr>
                <w:sz w:val="13"/>
                <w:szCs w:val="13"/>
                <w:color w:val="auto"/>
              </w:rPr>
            </w:pPr>
          </w:p>
        </w:tc>
        <w:tc>
          <w:tcPr>
            <w:tcW w:w="1040" w:type="dxa"/>
            <w:vAlign w:val="bottom"/>
            <w:gridSpan w:val="4"/>
          </w:tcPr>
          <w:p>
            <w:pPr>
              <w:jc w:val="center"/>
              <w:ind w:right="205"/>
              <w:spacing w:after="0"/>
              <w:rPr>
                <w:sz w:val="20"/>
                <w:szCs w:val="20"/>
                <w:color w:val="auto"/>
              </w:rPr>
            </w:pPr>
            <w:r>
              <w:rPr>
                <w:rFonts w:ascii="Times New Roman" w:cs="Times New Roman" w:eastAsia="Times New Roman" w:hAnsi="Times New Roman"/>
                <w:sz w:val="14"/>
                <w:szCs w:val="14"/>
                <w:color w:val="auto"/>
              </w:rPr>
              <w:t>Applicable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or Critical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2031</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Red and</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205"/>
              <w:spacing w:after="0"/>
              <w:rPr>
                <w:sz w:val="20"/>
                <w:szCs w:val="20"/>
                <w:color w:val="auto"/>
              </w:rPr>
            </w:pPr>
            <w:r>
              <w:rPr>
                <w:rFonts w:ascii="Times New Roman" w:cs="Times New Roman" w:eastAsia="Times New Roman" w:hAnsi="Times New Roman"/>
                <w:sz w:val="14"/>
                <w:szCs w:val="14"/>
                <w:color w:val="auto"/>
              </w:rPr>
              <w:t>Implemented</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Pension Plan Private Sanitation Union, Local</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w:t>
            </w: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813 IBT . .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13-1975659;</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2028</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Contributions to other Multiemployer Pension</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Plans . . . . . . . . . . . . . . . . . . . . . . . . . . . . .</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contributions to Multiemployer Pension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Plans (e) . . . . . . . . . . . . . . . . . . . . . . . . . . .</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jc w:val="both"/>
        <w:ind w:left="360" w:hanging="353"/>
        <w:spacing w:after="0" w:line="265" w:lineRule="auto"/>
        <w:tabs>
          <w:tab w:leader="none" w:pos="36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noted in the table above, the most recent Pension Protection Act zone status available in 2025 and 2024 is for the plan’s year-end as of December 31, 2024 and 2023,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720"/>
          </w:cols>
          <w:pgMar w:left="1080" w:top="1059" w:right="1080" w:bottom="543"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spacing w:after="0" w:line="278" w:lineRule="auto"/>
        <w:rPr>
          <w:sz w:val="20"/>
          <w:szCs w:val="20"/>
          <w:color w:val="auto"/>
        </w:rPr>
      </w:pPr>
      <w:r>
        <w:rPr>
          <w:rFonts w:ascii="Times New Roman" w:cs="Times New Roman" w:eastAsia="Times New Roman" w:hAnsi="Times New Roman"/>
          <w:sz w:val="20"/>
          <w:szCs w:val="20"/>
          <w:color w:val="auto"/>
        </w:rPr>
        <w:t>generally in critical and declining status if it (i) is certified to be in critical status pursuant to the Pension Protection Act of 2006 and (ii) is projected to be insolvent within the next 15 years or, in certain circumstances, 20 years.</w:t>
      </w:r>
    </w:p>
    <w:p>
      <w:pPr>
        <w:spacing w:after="0" w:line="48" w:lineRule="exact"/>
        <w:rPr>
          <w:sz w:val="20"/>
          <w:szCs w:val="20"/>
          <w:color w:val="auto"/>
        </w:rPr>
      </w:pPr>
    </w:p>
    <w:p>
      <w:pPr>
        <w:ind w:left="360" w:hanging="353"/>
        <w:spacing w:after="0" w:line="278" w:lineRule="auto"/>
        <w:tabs>
          <w:tab w:leader="none" w:pos="3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“FIP/RP Status” column indicates plans for which a Funding Improvement Plan (“FIP”) or a Rehabilitation Plan (“RP”) has been implemented.</w:t>
      </w:r>
    </w:p>
    <w:p>
      <w:pPr>
        <w:spacing w:after="0" w:line="46" w:lineRule="exact"/>
        <w:rPr>
          <w:rFonts w:ascii="Times New Roman" w:cs="Times New Roman" w:eastAsia="Times New Roman" w:hAnsi="Times New Roman"/>
          <w:sz w:val="20"/>
          <w:szCs w:val="20"/>
          <w:color w:val="auto"/>
        </w:rPr>
      </w:pPr>
    </w:p>
    <w:p>
      <w:pPr>
        <w:jc w:val="both"/>
        <w:ind w:left="360" w:hanging="353"/>
        <w:spacing w:after="0" w:line="252" w:lineRule="auto"/>
        <w:tabs>
          <w:tab w:leader="none" w:pos="3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73" w:lineRule="exact"/>
        <w:rPr>
          <w:rFonts w:ascii="Times New Roman" w:cs="Times New Roman" w:eastAsia="Times New Roman" w:hAnsi="Times New Roman"/>
          <w:sz w:val="20"/>
          <w:szCs w:val="20"/>
          <w:color w:val="auto"/>
        </w:rPr>
      </w:pPr>
    </w:p>
    <w:p>
      <w:pPr>
        <w:jc w:val="both"/>
        <w:ind w:left="360" w:hanging="352"/>
        <w:spacing w:after="0" w:line="259" w:lineRule="auto"/>
        <w:tabs>
          <w:tab w:leader="none" w:pos="3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2025 and 2024.</w:t>
      </w:r>
    </w:p>
    <w:p>
      <w:pPr>
        <w:spacing w:after="0" w:line="66"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contributions to Multiemployer Pension Plans exclude contributions related to withdrawal liabilities, if any.</w:t>
      </w:r>
    </w:p>
    <w:p>
      <w:pPr>
        <w:spacing w:after="0" w:line="2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9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Multiemployer Plan Benefits Other Than Pensions — </w:t>
      </w:r>
      <w:r>
        <w:rPr>
          <w:rFonts w:ascii="Times New Roman" w:cs="Times New Roman" w:eastAsia="Times New Roman" w:hAnsi="Times New Roman"/>
          <w:sz w:val="20"/>
          <w:szCs w:val="20"/>
          <w:color w:val="auto"/>
        </w:rPr>
        <w:t>During the years ended December 31, 2025, 2024 and 2023,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made contributions of $76 million, $62 million and $56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24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Financial Instruments — </w:t>
      </w:r>
      <w:r>
        <w:rPr>
          <w:rFonts w:ascii="Times New Roman" w:cs="Times New Roman" w:eastAsia="Times New Roman" w:hAnsi="Times New Roman"/>
          <w:sz w:val="19"/>
          <w:szCs w:val="19"/>
          <w:color w:val="auto"/>
        </w:rPr>
        <w:t>We have obtained letters of credit, surety bonds and insurance policies and have established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 effective sources of financial assurance.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720"/>
          </w:cols>
          <w:pgMar w:left="1080" w:top="1059" w:right="1080" w:bottom="543"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Insurance — </w:t>
      </w:r>
      <w:r>
        <w:rPr>
          <w:rFonts w:ascii="Times New Roman" w:cs="Times New Roman" w:eastAsia="Times New Roman" w:hAnsi="Times New Roman"/>
          <w:sz w:val="20"/>
          <w:szCs w:val="20"/>
          <w:color w:val="auto"/>
        </w:rPr>
        <w:t>We carry insurance coverage for protection of our assets and operations from certain risks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$138 million and $111 million as of December 31, 2025 and 2024, respectively. The changes to our insurance reserves for the year ended December 31 are summarized below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00" w:type="dxa"/>
            <w:vAlign w:val="bottom"/>
            <w:vMerge w:val="restart"/>
          </w:tcPr>
          <w:p>
            <w:pPr>
              <w:jc w:val="right"/>
              <w:ind w:right="570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2025(a)</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vMerge w:val="continue"/>
          </w:tcPr>
          <w:p>
            <w:pPr>
              <w:jc w:val="right"/>
              <w:ind w:right="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798</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Self-insurance expense . . . . . . . . . . . . . . . . . . . .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paid and other . . . . . . . . . . . . . . . . . . . . . .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50"/>
        </w:trPr>
        <w:tc>
          <w:tcPr>
            <w:tcW w:w="7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Assumed liabilities from acquisitions . . . . . . . . . . . . . . . . . . . . . . . . . . . . . . . . . . . . . . . . . . .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00" w:type="dxa"/>
            <w:vAlign w:val="bottom"/>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.BalanceasofDecember31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850</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00" w:type="dxa"/>
            <w:vAlign w:val="bottom"/>
          </w:tcPr>
          <w:p>
            <w:pPr>
              <w:jc w:val="right"/>
              <w:ind w:right="80"/>
              <w:spacing w:after="0" w:line="203" w:lineRule="exact"/>
              <w:rPr>
                <w:sz w:val="20"/>
                <w:szCs w:val="20"/>
                <w:color w:val="auto"/>
              </w:rPr>
            </w:pPr>
            <w:r>
              <w:rPr>
                <w:rFonts w:ascii="Times New Roman" w:cs="Times New Roman" w:eastAsia="Times New Roman" w:hAnsi="Times New Roman"/>
                <w:sz w:val="20"/>
                <w:szCs w:val="20"/>
                <w:color w:val="auto"/>
              </w:rPr>
              <w:t>. . . . . . . . . . . . . . . . . . . . . . . . . . . . . . . . . . . . . . . . . . . . . . .CurrentportionasofDecember31</w:t>
            </w:r>
          </w:p>
        </w:tc>
        <w:tc>
          <w:tcPr>
            <w:tcW w:w="18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216</w:t>
            </w:r>
          </w:p>
        </w:tc>
        <w:tc>
          <w:tcPr>
            <w:tcW w:w="2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Long-term portion as of December 31 . . . . . . . . . . . . . . . . . . . . . . . . . . . . . . . . . . . . . . . . . . . .</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2pt"/>
            </w:pict>
          </mc:Fallback>
        </mc:AlternateContent>
      </w:r>
    </w:p>
    <w:p>
      <w:pPr>
        <w:spacing w:after="0" w:line="174" w:lineRule="exact"/>
        <w:rPr>
          <w:sz w:val="20"/>
          <w:szCs w:val="20"/>
          <w:color w:val="auto"/>
        </w:rPr>
      </w:pPr>
    </w:p>
    <w:p>
      <w:pPr>
        <w:ind w:left="360" w:hanging="353"/>
        <w:spacing w:after="0" w:line="278" w:lineRule="auto"/>
        <w:tabs>
          <w:tab w:leader="none" w:pos="3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current estimates, we anticipate that most of our insurance reserves will be settled in cash over the next six years.</w:t>
      </w:r>
    </w:p>
    <w:p>
      <w:pPr>
        <w:spacing w:after="0" w:line="16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We do not expect the impact of any known casualty, property, environmental or other contingency to have a material impact on our financial condition, results of operations or cash flows.</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Unconditional Purchase Obligations </w:t>
      </w:r>
      <w:r>
        <w:rPr>
          <w:rFonts w:ascii="Times New Roman" w:cs="Times New Roman" w:eastAsia="Times New Roman" w:hAnsi="Times New Roman"/>
          <w:sz w:val="20"/>
          <w:szCs w:val="20"/>
          <w:color w:val="auto"/>
        </w:rPr>
        <w:t>— Our unconditional purchase obligations are generally established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ordinary course of our business and are structured in a manner that provides us with access to important resources at competitive, market-driven rates and consist primarily of the following:</w:t>
      </w:r>
    </w:p>
    <w:p>
      <w:pPr>
        <w:spacing w:after="0" w:line="200" w:lineRule="exact"/>
        <w:rPr>
          <w:sz w:val="20"/>
          <w:szCs w:val="20"/>
          <w:color w:val="auto"/>
        </w:rPr>
      </w:pPr>
    </w:p>
    <w:p>
      <w:pPr>
        <w:jc w:val="both"/>
        <w:ind w:left="720" w:hanging="353"/>
        <w:spacing w:after="0" w:line="249" w:lineRule="auto"/>
        <w:tabs>
          <w:tab w:leader="none" w:pos="7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Disposal — </w:t>
      </w:r>
      <w:r>
        <w:rPr>
          <w:rFonts w:ascii="Times New Roman" w:cs="Times New Roman" w:eastAsia="Times New Roman" w:hAnsi="Times New Roman"/>
          <w:sz w:val="20"/>
          <w:szCs w:val="20"/>
          <w:color w:val="auto"/>
        </w:rPr>
        <w:t>We have several agreements expiring at various dates through 2052 that require us to dispose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210"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 </w:t>
      </w:r>
      <w:r>
        <w:rPr>
          <w:rFonts w:ascii="Times New Roman" w:cs="Times New Roman" w:eastAsia="Times New Roman" w:hAnsi="Times New Roman"/>
          <w:sz w:val="20"/>
          <w:szCs w:val="20"/>
          <w:color w:val="auto"/>
        </w:rPr>
        <w:t>We are party to certain multi-year service agreements, including various contracts to support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Renewable Energy segment, such as interconnection agreements, expiring at various dates through 2046 requiring minimum annual payments.</w:t>
      </w:r>
    </w:p>
    <w:p>
      <w:pPr>
        <w:spacing w:after="0" w:line="18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our estimated minimum obligations associated with unconditional purchase obligations were $269 million in 2026, $234 million in 2027, $130 million in 2028, $78 million in 2029, $63 million in 2030 and $594 million thereafter. We may also establish unconditional purchase obligations in conjunction with acquisitions or divestitures. Our future minimum obligations under these outstanding purchase agreements are generally quantity driven</w:t>
      </w:r>
    </w:p>
    <w:p>
      <w:pPr>
        <w:sectPr>
          <w:pgSz w:w="11880" w:h="15480" w:orient="portrait"/>
          <w:cols w:equalWidth="0" w:num="1">
            <w:col w:w="9720"/>
          </w:cols>
          <w:pgMar w:left="1080" w:top="1059" w:right="1080" w:bottom="543"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720"/>
          </w:cols>
          <w:pgMar w:left="1080" w:top="1059" w:right="1080" w:bottom="543" w:gutter="0" w:footer="0" w:header="0"/>
          <w:type w:val="continuous"/>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as a result, our associated financial obligations are not fixed as of December 31, 2025.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132" w:lineRule="exact"/>
        <w:rPr>
          <w:sz w:val="20"/>
          <w:szCs w:val="20"/>
          <w:color w:val="auto"/>
        </w:rPr>
      </w:pPr>
    </w:p>
    <w:p>
      <w:pPr>
        <w:jc w:val="both"/>
        <w:ind w:left="720" w:hanging="353"/>
        <w:spacing w:after="0" w:line="244" w:lineRule="auto"/>
        <w:tabs>
          <w:tab w:leader="none" w:pos="7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Royalties — </w:t>
      </w:r>
      <w:r>
        <w:rPr>
          <w:rFonts w:ascii="Times New Roman" w:cs="Times New Roman" w:eastAsia="Times New Roman" w:hAnsi="Times New Roman"/>
          <w:sz w:val="20"/>
          <w:szCs w:val="20"/>
          <w:color w:val="auto"/>
        </w:rPr>
        <w:t>We have various arrangements that require us to make royalty payments to third parties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landowners,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Renewable Energy segment related to the transfer of landfill gas to our Renewable Energy segment from our active and closed landfills. All royalties between our Renewable Energy segment and Collection and Disposal and Corporate and Other businesses are eliminated in consolidation.</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Guarantees — </w:t>
      </w:r>
      <w:r>
        <w:rPr>
          <w:rFonts w:ascii="Times New Roman" w:cs="Times New Roman" w:eastAsia="Times New Roman" w:hAnsi="Times New Roman"/>
          <w:sz w:val="20"/>
          <w:szCs w:val="20"/>
          <w:color w:val="auto"/>
        </w:rPr>
        <w:t>We have entered into the following guarantee agreements associated with our operations:</w:t>
      </w:r>
    </w:p>
    <w:p>
      <w:pPr>
        <w:spacing w:after="0" w:line="134" w:lineRule="exact"/>
        <w:rPr>
          <w:sz w:val="20"/>
          <w:szCs w:val="20"/>
          <w:color w:val="auto"/>
        </w:rPr>
      </w:pPr>
    </w:p>
    <w:p>
      <w:pPr>
        <w:jc w:val="both"/>
        <w:ind w:left="720" w:hanging="353"/>
        <w:spacing w:after="0" w:line="263" w:lineRule="auto"/>
        <w:tabs>
          <w:tab w:leader="none" w:pos="720"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9"/>
          <w:szCs w:val="19"/>
          <w:color w:val="auto"/>
        </w:rPr>
        <w:t>As of December 31, 2025, WM Holdings has fully and unconditionally guaranteed all of WMI’s senior indebtedness, including its senior notes which mature through 2054,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77" w:lineRule="exact"/>
        <w:rPr>
          <w:rFonts w:ascii="Arial" w:cs="Arial" w:eastAsia="Arial" w:hAnsi="Arial"/>
          <w:sz w:val="19"/>
          <w:szCs w:val="19"/>
          <w:color w:val="auto"/>
        </w:rPr>
      </w:pPr>
    </w:p>
    <w:p>
      <w:pPr>
        <w:jc w:val="both"/>
        <w:ind w:left="720" w:hanging="353"/>
        <w:spacing w:after="0" w:line="247" w:lineRule="auto"/>
        <w:tabs>
          <w:tab w:leader="none" w:pos="720" w:val="left"/>
        </w:tabs>
        <w:numPr>
          <w:ilvl w:val="0"/>
          <w:numId w:val="131"/>
        </w:numPr>
        <w:rPr>
          <w:rFonts w:ascii="Arial" w:cs="Arial" w:eastAsia="Arial" w:hAnsi="Arial"/>
          <w:sz w:val="20"/>
          <w:szCs w:val="20"/>
          <w:color w:val="auto"/>
        </w:rPr>
      </w:pPr>
      <w:r>
        <w:rPr>
          <w:rFonts w:ascii="Times New Roman" w:cs="Times New Roman" w:eastAsia="Times New Roman" w:hAnsi="Times New Roman"/>
          <w:sz w:val="20"/>
          <w:szCs w:val="20"/>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93" w:lineRule="exact"/>
        <w:rPr>
          <w:rFonts w:ascii="Arial" w:cs="Arial" w:eastAsia="Arial" w:hAnsi="Arial"/>
          <w:sz w:val="20"/>
          <w:szCs w:val="20"/>
          <w:color w:val="auto"/>
        </w:rPr>
      </w:pPr>
    </w:p>
    <w:p>
      <w:pPr>
        <w:jc w:val="both"/>
        <w:ind w:left="720" w:hanging="353"/>
        <w:spacing w:after="0" w:line="260" w:lineRule="auto"/>
        <w:tabs>
          <w:tab w:leader="none" w:pos="720"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9"/>
          <w:szCs w:val="19"/>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2025, we have agreements guaranteeing certain market value losses for certain properties adjacent to or near 18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79" w:lineRule="exact"/>
        <w:rPr>
          <w:rFonts w:ascii="Arial" w:cs="Arial" w:eastAsia="Arial" w:hAnsi="Arial"/>
          <w:sz w:val="19"/>
          <w:szCs w:val="19"/>
          <w:color w:val="auto"/>
        </w:rPr>
      </w:pPr>
    </w:p>
    <w:p>
      <w:pPr>
        <w:jc w:val="both"/>
        <w:ind w:left="720" w:hanging="353"/>
        <w:spacing w:after="0" w:line="260" w:lineRule="auto"/>
        <w:tabs>
          <w:tab w:leader="none" w:pos="720"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9720"/>
          </w:cols>
          <w:pgMar w:left="1080" w:top="1059" w:right="1080" w:bottom="543" w:gutter="0" w:footer="0" w:header="0"/>
          <w:type w:val="continuous"/>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line="278" w:lineRule="auto"/>
        <w:rPr>
          <w:sz w:val="20"/>
          <w:szCs w:val="20"/>
          <w:color w:val="auto"/>
        </w:rPr>
      </w:pPr>
      <w:r>
        <w:rPr>
          <w:rFonts w:ascii="Times New Roman" w:cs="Times New Roman" w:eastAsia="Times New Roman" w:hAnsi="Times New Roman"/>
          <w:sz w:val="20"/>
          <w:szCs w:val="20"/>
          <w:color w:val="auto"/>
        </w:rPr>
        <w:t>will have a material adverse effect on the Company’s business, financial condition, results of operations or cash flows.</w:t>
      </w:r>
    </w:p>
    <w:p>
      <w:pPr>
        <w:spacing w:after="0" w:line="62" w:lineRule="exact"/>
        <w:rPr>
          <w:sz w:val="20"/>
          <w:szCs w:val="20"/>
          <w:color w:val="auto"/>
        </w:rPr>
      </w:pPr>
    </w:p>
    <w:p>
      <w:pPr>
        <w:jc w:val="both"/>
        <w:ind w:left="720" w:hanging="353"/>
        <w:spacing w:after="0" w:line="246" w:lineRule="auto"/>
        <w:tabs>
          <w:tab w:leader="none" w:pos="72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9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Environmental Matters — </w:t>
      </w:r>
      <w:r>
        <w:rPr>
          <w:rFonts w:ascii="Times New Roman" w:cs="Times New Roman" w:eastAsia="Times New Roman" w:hAnsi="Times New Roman"/>
          <w:sz w:val="20"/>
          <w:szCs w:val="20"/>
          <w:color w:val="auto"/>
        </w:rPr>
        <w:t>A significant portion of our operating costs and capital expenditures could be characterized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20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of December 31, 2025, we had been notified by the government that we are a PRP in connection with 75 locations listed on the EPA’s Superfund National Priorities List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20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0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that was approved by the EPA in September 2025. It is expected that the EPA will issue a Unilateral Administrative Order for the site cleanup in the first quarter of 2026. The recorded liability as of December 31, 2025 and 2024, was approximately $100 million and $97 million, respectively.</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9720"/>
          </w:cols>
          <w:pgMar w:left="1080" w:top="1059" w:right="1080" w:bottom="543"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MIMC’s ultimate liability could be materially different from current estimates, including potential increases resulting from MIMC’s continued engagement with the EPA regarding a final remedial design for the site.</w:t>
      </w:r>
    </w:p>
    <w:p>
      <w:pPr>
        <w:spacing w:after="0" w:line="16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$ 1 million for purposes of determining whether disclosure of any such environmental proceedings is required. We are not aware of any matters as of year end 2025 that are required to be disclosed pursuant to this standard.</w:t>
      </w:r>
    </w:p>
    <w:p>
      <w:pPr>
        <w:spacing w:after="0" w:line="19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Litigation — </w:t>
      </w:r>
      <w:r>
        <w:rPr>
          <w:rFonts w:ascii="Times New Roman" w:cs="Times New Roman" w:eastAsia="Times New Roman" w:hAnsi="Times New Roman"/>
          <w:sz w:val="20"/>
          <w:szCs w:val="20"/>
          <w:color w:val="auto"/>
        </w:rPr>
        <w:t>We are subject to various proceedings, lawsuits, disputes and claims arising in the ordinary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20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On November 4, 2024, the Company acquired Stericycle. At the time of the acquisition, Stericycle was subject to the following legal matter, which is now a legal matter of our wholly-owned subsidiary.</w:t>
      </w:r>
    </w:p>
    <w:p>
      <w:pPr>
        <w:spacing w:after="0" w:line="167" w:lineRule="exact"/>
        <w:rPr>
          <w:sz w:val="20"/>
          <w:szCs w:val="20"/>
          <w:color w:val="auto"/>
        </w:rPr>
      </w:pPr>
    </w:p>
    <w:p>
      <w:pPr>
        <w:jc w:val="both"/>
        <w:ind w:left="360"/>
        <w:spacing w:after="0" w:line="257" w:lineRule="auto"/>
        <w:rPr>
          <w:sz w:val="20"/>
          <w:szCs w:val="20"/>
          <w:color w:val="auto"/>
        </w:rPr>
      </w:pPr>
      <w:r>
        <w:rPr>
          <w:rFonts w:ascii="Times New Roman" w:cs="Times New Roman" w:eastAsia="Times New Roman" w:hAnsi="Times New Roman"/>
          <w:sz w:val="19"/>
          <w:szCs w:val="19"/>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9720"/>
          </w:cols>
          <w:pgMar w:left="1080" w:top="1059" w:right="1080" w:bottom="543" w:gutter="0" w:footer="0" w:header="0"/>
          <w:type w:val="continuous"/>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spacing w:after="0" w:line="278" w:lineRule="auto"/>
        <w:rPr>
          <w:sz w:val="20"/>
          <w:szCs w:val="20"/>
          <w:color w:val="auto"/>
        </w:rPr>
      </w:pPr>
      <w:r>
        <w:rPr>
          <w:rFonts w:ascii="Times New Roman" w:cs="Times New Roman" w:eastAsia="Times New Roman" w:hAnsi="Times New Roman"/>
          <w:sz w:val="20"/>
          <w:szCs w:val="20"/>
          <w:color w:val="auto"/>
        </w:rPr>
        <w:t>2020. While the ultimate disposition of this matter remains uncertain, we do not currently believe that it will have a material adverse effect on the Company’s business, financial condition, results of operations or cash flows.</w:t>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was appointed and an amended complaint was filed in January 2023. The amended complaint sought damages on behalf of a putative class of secondary market purchasers of our senior notes with a special mandatory redemption feature issued in May 2019, asserting claims under the Securities Exchange Act of 1934, as amended, based on alleged misrepresentations and omissions concerning the anticipated time for completion of our acquisition of Advanced Disposal. On December 18, 2025, the court granted final approval of a settlement that will be covered by insurance. This settlement will not have a material adverse effect on the Company’s business, financial condition, results of operations or cash flows.</w:t>
      </w:r>
    </w:p>
    <w:p>
      <w:pPr>
        <w:spacing w:after="0" w:line="20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0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Multiemployer Defined Benefit Pension Plans — </w:t>
      </w:r>
      <w:r>
        <w:rPr>
          <w:rFonts w:ascii="Times New Roman" w:cs="Times New Roman" w:eastAsia="Times New Roman" w:hAnsi="Times New Roman"/>
          <w:sz w:val="20"/>
          <w:szCs w:val="20"/>
          <w:color w:val="auto"/>
        </w:rPr>
        <w:t>About 15% of our workforce is covered by collective bargaining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agreements with various local unions across the U.S. and Canada, and certain parts of Europe.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20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Tax Matters — </w:t>
      </w:r>
      <w:r>
        <w:rPr>
          <w:rFonts w:ascii="Times New Roman" w:cs="Times New Roman" w:eastAsia="Times New Roman" w:hAnsi="Times New Roman"/>
          <w:sz w:val="19"/>
          <w:szCs w:val="19"/>
          <w:color w:val="auto"/>
        </w:rPr>
        <w:t>We maintain a liability for uncertain tax positions, the balance of which management believes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720"/>
          </w:cols>
          <w:pgMar w:left="1080" w:top="1059" w:right="1080" w:bottom="543" w:gutter="0" w:footer="0" w:header="0"/>
          <w:type w:val="continuous"/>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expect to litigate any denial of the claim for refund. As of December 31, 2025 and 2024, the IRS deposit, net of reserve for uncertain tax positions, was classified as a component of other long-term assets in the Company’s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Asset Impairments and Unusual Items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(gain) loss from divestitures, asset impairments and unusual items, net for the year ended December 31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vMerge w:val="restart"/>
          </w:tcPr>
          <w:p>
            <w:pPr>
              <w:jc w:val="right"/>
              <w:ind w:right="4280"/>
              <w:spacing w:after="0"/>
              <w:rPr>
                <w:sz w:val="20"/>
                <w:szCs w:val="20"/>
                <w:color w:val="auto"/>
              </w:rPr>
            </w:pPr>
            <w:r>
              <w:rPr>
                <w:rFonts w:ascii="Times New Roman" w:cs="Times New Roman" w:eastAsia="Times New Roman" w:hAnsi="Times New Roman"/>
                <w:sz w:val="20"/>
                <w:szCs w:val="20"/>
                <w:color w:val="auto"/>
                <w:w w:val="99"/>
              </w:rPr>
              <w:t>Gain from divestitures, net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Asset impairments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net . . . . . . . . . . . . . . .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2025, we recognized $248 million of net charges primarily consisting of (i) a $160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(iii) a $16 million goodwill impairment charge related to a business engaged in oil recovery and sludge processing services reflected in Other Ancillary within our Collection and Disposal businesses and (iv) an $11 million negotiated payment for early termination of a contract in our Renewable Energy segment. Refer to Note 5 for further information.</w:t>
      </w:r>
    </w:p>
    <w:p>
      <w:pPr>
        <w:spacing w:after="0" w:line="20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within Corporate and Other;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to adjust an indirect wholly-owned subsidiary’s estimated potential share of the liability for a proposed environmental remediation plan at a closed site.</w:t>
      </w:r>
    </w:p>
    <w:p>
      <w:pPr>
        <w:spacing w:after="0" w:line="20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720"/>
          </w:cols>
          <w:pgMar w:left="1080" w:top="1059" w:right="1080" w:bottom="543" w:gutter="0" w:footer="0" w:header="0"/>
          <w:type w:val="continuous"/>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Equity in Net Income (Loss) of Unconsolidated Entities</w:t>
      </w:r>
    </w:p>
    <w:p>
      <w:pPr>
        <w:spacing w:after="0" w:line="23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These financial statement impacts are largely related to our noncontrolling interests in entities established to invest in and manage low-income housing properties. In 2024, we adopted ASU 2023- 02, and, as a result, beginning in 2024, the amortization of these investments is recognized as a component of income tax expense. We generate tax credits and other tax benefits from the losses incurred from these investments. The losses are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20"/>
          <w:szCs w:val="20"/>
          <w:i w:val="1"/>
          <w:iCs w:val="1"/>
          <w:color w:val="auto"/>
        </w:rPr>
        <w:t>(Gain) Loss from Divestitures, Asset Impairments and Unusual Items, Net</w:t>
      </w:r>
      <w:r>
        <w:rPr>
          <w:rFonts w:ascii="Times New Roman" w:cs="Times New Roman" w:eastAsia="Times New Roman" w:hAnsi="Times New Roman"/>
          <w:sz w:val="20"/>
          <w:szCs w:val="20"/>
          <w:color w:val="auto"/>
        </w:rPr>
        <w:t xml:space="preserve"> above for more information on the impairment of an equity method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Accumulated Other Comprehensive Income (Loss)</w:t>
      </w:r>
    </w:p>
    <w:p>
      <w:pPr>
        <w:spacing w:after="0" w:line="24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Available-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6"/>
                <w:szCs w:val="16"/>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for-Sale</w:t>
            </w:r>
          </w:p>
        </w:tc>
        <w:tc>
          <w:tcPr>
            <w:tcW w:w="2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December 31, 2022</w:t>
            </w:r>
          </w:p>
        </w:tc>
        <w:tc>
          <w:tcPr>
            <w:tcW w:w="2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Securities(a)</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040" w:type="dxa"/>
            <w:vAlign w:val="bottom"/>
            <w:vMerge w:val="continue"/>
          </w:tcPr>
          <w:p>
            <w:pPr>
              <w:jc w:val="right"/>
              <w:ind w:right="10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 $(4), $0 and $2, respectively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$(1), $0, $0 and $0, respectively . . . . . . . . . . .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0"/>
        </w:trPr>
        <w:tc>
          <w:tcPr>
            <w:tcW w:w="504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 . . . .Netcurrentperiodothercomprehensiveincome(loss)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040" w:type="dxa"/>
            <w:vAlign w:val="bottom"/>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rPr>
              <w:t>. . . . . . . . . . . . . . . . . . . . . . . . . .Balance,December31,2023</w:t>
            </w:r>
          </w:p>
        </w:tc>
        <w:tc>
          <w:tcPr>
            <w:tcW w:w="20" w:type="dxa"/>
            <w:vAlign w:val="bottom"/>
          </w:tcPr>
          <w:p>
            <w:pPr>
              <w:spacing w:after="0"/>
              <w:rPr>
                <w:sz w:val="17"/>
                <w:szCs w:val="17"/>
                <w:color w:val="auto"/>
              </w:rPr>
            </w:pPr>
          </w:p>
        </w:tc>
        <w:tc>
          <w:tcPr>
            <w:tcW w:w="3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 $3, $0 and $0, respectively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$1, $0, $0 and $0, respectively . . . . . . . . . . . . .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0"/>
        </w:trPr>
        <w:tc>
          <w:tcPr>
            <w:tcW w:w="504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 . . . .Netcurrentperiodothercomprehensiveincome(loss)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040" w:type="dxa"/>
            <w:vAlign w:val="bottom"/>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rPr>
              <w:t>. . . . . . . . . . . . . . . . . . . . . . . . . .Balance,December31,2024</w:t>
            </w:r>
          </w:p>
        </w:tc>
        <w:tc>
          <w:tcPr>
            <w:tcW w:w="20" w:type="dxa"/>
            <w:vAlign w:val="bottom"/>
          </w:tcPr>
          <w:p>
            <w:pPr>
              <w:spacing w:after="0"/>
              <w:rPr>
                <w:sz w:val="17"/>
                <w:szCs w:val="17"/>
                <w:color w:val="auto"/>
              </w:rPr>
            </w:pPr>
          </w:p>
        </w:tc>
        <w:tc>
          <w:tcPr>
            <w:tcW w:w="3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 $5, $0 and $0, respectively . . . . . . . . . . . . . . . .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$(2), $0, $0 and $0, respectively . . . . . . . . . . .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20"/>
        </w:trPr>
        <w:tc>
          <w:tcPr>
            <w:tcW w:w="504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 . . . .Netcurrentperiodothercomprehensiveincome(loss)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 . . . . . . . . . . . . . . . . . . . . . . . . .Balance,December31,2025</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121285</wp:posOffset>
                </wp:positionV>
                <wp:extent cx="154178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55pt" to="121.65pt,9.55pt" o:allowincell="f" strokecolor="#000000" strokeweight="1.02pt"/>
            </w:pict>
          </mc:Fallback>
        </mc:AlternateContent>
      </w:r>
    </w:p>
    <w:p>
      <w:pPr>
        <w:spacing w:after="0" w:line="213" w:lineRule="exact"/>
        <w:rPr>
          <w:sz w:val="20"/>
          <w:szCs w:val="20"/>
          <w:color w:val="auto"/>
        </w:rPr>
      </w:pPr>
    </w:p>
    <w:p>
      <w:pPr>
        <w:jc w:val="both"/>
        <w:ind w:left="360" w:hanging="353"/>
        <w:spacing w:after="0" w:line="305" w:lineRule="auto"/>
        <w:tabs>
          <w:tab w:leader="none" w:pos="3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2023, we recognized a $23 million unrealized loss, net of a deferred tax benefit of $8 million, associated with our investment in redeemable preferred stock due to the estimated fair value being less than the remaining carrying value.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720"/>
          </w:cols>
          <w:pgMar w:left="1080" w:top="1059" w:right="1080" w:bottom="543"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Capital Stock, Dividends and Common Stock Repurchase Program</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24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1.5 billion shares of authorized common stock with a par value of $0.01 per common share. As of December 31, 2025, we had 402.9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quarterly dividends have been declared by our Board of Directors. Cash dividends declared and paid were $1.3 billion in 2025, or $3.30 per common share, $1.2 billion in 2024, or $3.00 per common share, and $1.1 billion in 2023, or $2.80 per common share.</w:t>
      </w:r>
    </w:p>
    <w:p>
      <w:pPr>
        <w:spacing w:after="0" w:line="18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December 2025, we announced that our Board of Directors expects to increase the quarterly dividend from $0.825 to $0.945 per share for dividends declared in 2026.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 Program</w:t>
      </w:r>
    </w:p>
    <w:p>
      <w:pPr>
        <w:spacing w:after="0" w:line="2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vMerge w:val="restart"/>
          </w:tcPr>
          <w:p>
            <w:pPr>
              <w:jc w:val="right"/>
              <w:ind w:right="3600"/>
              <w:spacing w:after="0"/>
              <w:rPr>
                <w:sz w:val="20"/>
                <w:szCs w:val="20"/>
                <w:color w:val="auto"/>
              </w:rPr>
            </w:pPr>
            <w:r>
              <w:rPr>
                <w:rFonts w:ascii="Times New Roman" w:cs="Times New Roman" w:eastAsia="Times New Roman" w:hAnsi="Times New Roman"/>
                <w:sz w:val="20"/>
                <w:szCs w:val="20"/>
                <w:color w:val="auto"/>
                <w:w w:val="99"/>
              </w:rPr>
              <w:t>Shares repurchased (in thousands)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2025(a)</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2024(b)</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2023(c)</w:t>
            </w:r>
          </w:p>
        </w:tc>
        <w:tc>
          <w:tcPr>
            <w:tcW w:w="0" w:type="dxa"/>
            <w:vAlign w:val="bottom"/>
          </w:tcPr>
          <w:p>
            <w:pPr>
              <w:spacing w:after="0"/>
              <w:rPr>
                <w:sz w:val="1"/>
                <w:szCs w:val="1"/>
                <w:color w:val="auto"/>
              </w:rPr>
            </w:pPr>
          </w:p>
        </w:tc>
      </w:tr>
      <w:tr>
        <w:trPr>
          <w:trHeight w:val="202"/>
        </w:trPr>
        <w:tc>
          <w:tcPr>
            <w:tcW w:w="644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00"/>
              <w:spacing w:after="0" w:line="20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7,840</w:t>
            </w:r>
          </w:p>
        </w:tc>
        <w:tc>
          <w:tcPr>
            <w:tcW w:w="0" w:type="dxa"/>
            <w:vAlign w:val="bottom"/>
          </w:tcPr>
          <w:p>
            <w:pPr>
              <w:spacing w:after="0"/>
              <w:rPr>
                <w:sz w:val="1"/>
                <w:szCs w:val="1"/>
                <w:color w:val="auto"/>
              </w:rPr>
            </w:pPr>
          </w:p>
        </w:tc>
      </w:tr>
      <w:tr>
        <w:trPr>
          <w:trHeight w:val="230"/>
        </w:trPr>
        <w:tc>
          <w:tcPr>
            <w:tcW w:w="6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8"/>
              </w:rPr>
              <w:t>Weighted average price per share . . . . . . . . . . . . . . . . . . . . . . . . . . . . . . . . . . . .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158.47</w:t>
            </w:r>
          </w:p>
        </w:tc>
        <w:tc>
          <w:tcPr>
            <w:tcW w:w="0" w:type="dxa"/>
            <w:vAlign w:val="bottom"/>
          </w:tcPr>
          <w:p>
            <w:pPr>
              <w:spacing w:after="0"/>
              <w:rPr>
                <w:sz w:val="1"/>
                <w:szCs w:val="1"/>
                <w:color w:val="auto"/>
              </w:rPr>
            </w:pPr>
          </w:p>
        </w:tc>
      </w:tr>
      <w:tr>
        <w:trPr>
          <w:trHeight w:val="267"/>
        </w:trPr>
        <w:tc>
          <w:tcPr>
            <w:tcW w:w="6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Total repurchases (in millions) . . . . . . . . . . . . . . . . . . . . . . . . . . . . . . . . . . . . . . .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2pt"/>
            </w:pict>
          </mc:Fallback>
        </mc:AlternateContent>
      </w:r>
    </w:p>
    <w:p>
      <w:pPr>
        <w:spacing w:after="0" w:line="174" w:lineRule="exact"/>
        <w:rPr>
          <w:sz w:val="20"/>
          <w:szCs w:val="20"/>
          <w:color w:val="auto"/>
        </w:rPr>
      </w:pPr>
    </w:p>
    <w:p>
      <w:pPr>
        <w:ind w:left="360" w:hanging="353"/>
        <w:spacing w:after="0"/>
        <w:tabs>
          <w:tab w:leader="none" w:pos="3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were no common stock repurchases for the year ended December 31, 2025.</w:t>
      </w:r>
    </w:p>
    <w:p>
      <w:pPr>
        <w:spacing w:after="0" w:line="120" w:lineRule="exact"/>
        <w:rPr>
          <w:rFonts w:ascii="Times New Roman" w:cs="Times New Roman" w:eastAsia="Times New Roman" w:hAnsi="Times New Roman"/>
          <w:sz w:val="20"/>
          <w:szCs w:val="20"/>
          <w:color w:val="auto"/>
        </w:rPr>
      </w:pPr>
    </w:p>
    <w:p>
      <w:pPr>
        <w:jc w:val="both"/>
        <w:ind w:left="360" w:hanging="353"/>
        <w:spacing w:after="0" w:line="258" w:lineRule="auto"/>
        <w:tabs>
          <w:tab w:leader="none" w:pos="3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executed and completed one ASR agreement during 2024 to repurchase $250 million of our common stock and received 1.2 million shares in connection with this ASR agreement. In February 2024, we also received 0.2 million shares pursuant to our October 2023 ASR agreement based on a final weighted average price of $175.29.</w:t>
      </w:r>
    </w:p>
    <w:p>
      <w:pPr>
        <w:spacing w:after="0" w:line="68" w:lineRule="exact"/>
        <w:rPr>
          <w:rFonts w:ascii="Times New Roman" w:cs="Times New Roman" w:eastAsia="Times New Roman" w:hAnsi="Times New Roman"/>
          <w:sz w:val="20"/>
          <w:szCs w:val="20"/>
          <w:color w:val="auto"/>
        </w:rPr>
      </w:pPr>
    </w:p>
    <w:p>
      <w:pPr>
        <w:jc w:val="both"/>
        <w:ind w:left="36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repurchased an additional 0.1 million shares of our common stock in open market transactions in compliance with Rule 10b5-1 and Rule 10b 18 of the Securities Exchange Act of 1934 (“Exchange Act”) for $12 million, inclusive of per-share commission.</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720"/>
          </w:cols>
          <w:pgMar w:left="1080" w:top="1059" w:right="1080" w:bottom="543"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hanging="353"/>
        <w:spacing w:after="0" w:line="247" w:lineRule="auto"/>
        <w:tabs>
          <w:tab w:leader="none" w:pos="3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80" w:lineRule="exact"/>
        <w:rPr>
          <w:rFonts w:ascii="Times New Roman" w:cs="Times New Roman" w:eastAsia="Times New Roman" w:hAnsi="Times New Roman"/>
          <w:sz w:val="20"/>
          <w:szCs w:val="20"/>
          <w:color w:val="auto"/>
        </w:rPr>
      </w:pPr>
    </w:p>
    <w:p>
      <w:pPr>
        <w:jc w:val="both"/>
        <w:ind w:left="36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repurchased an additional 0.3 million shares of our common stock in open market transactions in compliance with Rule 10b5-1 and Rule 10b 18 of the Securities Exchange Act of 1934 (“Exchange Act”) for $52 million, inclusive of per-share commissions.</w:t>
      </w:r>
    </w:p>
    <w:p>
      <w:pPr>
        <w:spacing w:after="0" w:line="18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announced in December 2025 that our Board of Directors has authorized up to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Equity-Based Compensation</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2025, 2024 and 2023 was approximately 438,000, 408,000 and 473,000, respectively. After the January 2026 issuance of shares associated with the July to December 2025 offering period, 0.9 million shares remain available for issuance under the ESPP.</w:t>
      </w:r>
    </w:p>
    <w:p>
      <w:pPr>
        <w:spacing w:after="0" w:line="203"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Annual compensation expense resulting from our ESPP was $13 million, or $10 million net of tax expense, for 2025, $11 million, or $8 million net of tax expense, for 2024 and $14 million, or $11 million net of tax expense, for 2023.</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Incentive Plans</w:t>
      </w:r>
    </w:p>
    <w:p>
      <w:pPr>
        <w:spacing w:after="0" w:line="24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May 2023, our stockholders approved our 2023 Stock Incentive Plan (the “2023 Plan”) to replace our 2014 Stock Incentive Plan (the “2014 Plan”) . Upon approval of the 2023 Plan, no further awards could be granted under the 2014 Plan, and the 15.2 million shares of our common stock that were previously available for issuance under the 2014 Plan became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2025, approximately 12.9 million shares were available for future grants under the 2023 Plan. Our equity-based compensation awards described herein have been made pursuant to our 2023 Plan or our 2014 Plan (collectively, the “Incentive Plans”). We currently utilize treasury shares to meet the needs of our equity-based compensation programs.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720"/>
          </w:cols>
          <w:pgMar w:left="1080" w:top="1059" w:right="1080" w:bottom="543"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2025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2025. The Company also periodically grants equity awards, primarily consisting of RSUs, to employees working on key initiatives, in connection with new hires and promotions and to field and corporate managers.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Restricted Stock Units — </w:t>
      </w:r>
      <w:r>
        <w:rPr>
          <w:rFonts w:ascii="Times New Roman" w:cs="Times New Roman" w:eastAsia="Times New Roman" w:hAnsi="Times New Roman"/>
          <w:sz w:val="20"/>
          <w:szCs w:val="20"/>
          <w:color w:val="auto"/>
        </w:rPr>
        <w:t>A summary of our RSUs is presented in the table below (units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4"/>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4"/>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as of January 1, 2025</w:t>
            </w:r>
          </w:p>
        </w:tc>
        <w:tc>
          <w:tcPr>
            <w:tcW w:w="10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7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472</w:t>
            </w:r>
          </w:p>
        </w:tc>
        <w:tc>
          <w:tcPr>
            <w:tcW w:w="200" w:type="dxa"/>
            <w:vAlign w:val="bottom"/>
          </w:tcPr>
          <w:p>
            <w:pPr>
              <w:spacing w:after="0"/>
              <w:rPr>
                <w:sz w:val="17"/>
                <w:szCs w:val="17"/>
                <w:color w:val="auto"/>
              </w:rPr>
            </w:pPr>
          </w:p>
        </w:tc>
        <w:tc>
          <w:tcPr>
            <w:tcW w:w="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179.25</w:t>
            </w:r>
          </w:p>
        </w:tc>
        <w:tc>
          <w:tcPr>
            <w:tcW w:w="0" w:type="dxa"/>
            <w:vAlign w:val="bottom"/>
          </w:tcPr>
          <w:p>
            <w:pPr>
              <w:spacing w:after="0"/>
              <w:rPr>
                <w:sz w:val="1"/>
                <w:szCs w:val="1"/>
                <w:color w:val="auto"/>
              </w:rPr>
            </w:pPr>
          </w:p>
        </w:tc>
      </w:tr>
      <w:tr>
        <w:trPr>
          <w:trHeight w:val="23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230.51</w:t>
            </w:r>
          </w:p>
        </w:tc>
        <w:tc>
          <w:tcPr>
            <w:tcW w:w="0" w:type="dxa"/>
            <w:vAlign w:val="bottom"/>
          </w:tcPr>
          <w:p>
            <w:pPr>
              <w:spacing w:after="0"/>
              <w:rPr>
                <w:sz w:val="1"/>
                <w:szCs w:val="1"/>
                <w:color w:val="auto"/>
              </w:rPr>
            </w:pPr>
          </w:p>
        </w:tc>
      </w:tr>
      <w:tr>
        <w:trPr>
          <w:trHeight w:val="23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Vested . . . . . .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174.62</w:t>
            </w:r>
          </w:p>
        </w:tc>
        <w:tc>
          <w:tcPr>
            <w:tcW w:w="0" w:type="dxa"/>
            <w:vAlign w:val="bottom"/>
          </w:tcPr>
          <w:p>
            <w:pPr>
              <w:spacing w:after="0"/>
              <w:rPr>
                <w:sz w:val="1"/>
                <w:szCs w:val="1"/>
                <w:color w:val="auto"/>
              </w:rPr>
            </w:pPr>
          </w:p>
        </w:tc>
      </w:tr>
      <w:tr>
        <w:trPr>
          <w:trHeight w:val="25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Forfeited . . . . . . . . . . . . .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210.84</w:t>
            </w:r>
          </w:p>
        </w:tc>
        <w:tc>
          <w:tcPr>
            <w:tcW w:w="0" w:type="dxa"/>
            <w:vAlign w:val="bottom"/>
          </w:tcPr>
          <w:p>
            <w:pPr>
              <w:spacing w:after="0"/>
              <w:rPr>
                <w:sz w:val="1"/>
                <w:szCs w:val="1"/>
                <w:color w:val="auto"/>
              </w:rPr>
            </w:pPr>
          </w:p>
        </w:tc>
      </w:tr>
      <w:tr>
        <w:trPr>
          <w:trHeight w:val="230"/>
        </w:trPr>
        <w:tc>
          <w:tcPr>
            <w:tcW w:w="714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97"/>
              </w:rPr>
              <w:t>Unvested as of December 31, 2025 . . . . . . . .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420</w:t>
            </w:r>
          </w:p>
        </w:tc>
        <w:tc>
          <w:tcPr>
            <w:tcW w:w="3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203.17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total fair market value of RSUs that vested during the years ended December 31, 2025, 2024 and 2023 was $50 million, $25 million and $15 million, respectively. During the year ended December 31, 2025, we issued approximately 149,000 shares of common stock for these vested RSUs, net of approximately 71,000 units deferred or used for payment of associated taxes.</w:t>
      </w:r>
    </w:p>
    <w:p>
      <w:pPr>
        <w:spacing w:after="0" w:line="19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RSUs may not be voted or sold by award recipients until time-based vesting restrictions have lapsed. RSUs currently outstanding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7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99"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Performance Share Units — </w:t>
      </w:r>
      <w:r>
        <w:rPr>
          <w:rFonts w:ascii="Times New Roman" w:cs="Times New Roman" w:eastAsia="Times New Roman" w:hAnsi="Times New Roman"/>
          <w:sz w:val="19"/>
          <w:szCs w:val="19"/>
          <w:color w:val="auto"/>
        </w:rPr>
        <w:t>There are primarily two types of PSUs currently outstanding: (i) PSUs for which payout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dependent on 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9720"/>
          </w:cols>
          <w:pgMar w:left="1080" w:top="1059" w:right="1080" w:bottom="543"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200% of the targeted amount, depending on the performance against the pre-established targets. A summary of our PSUs, at 100% of the targeted amount, is presented in the table below (units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4"/>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4"/>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as of January 1, 2025</w:t>
            </w:r>
          </w:p>
        </w:tc>
        <w:tc>
          <w:tcPr>
            <w:tcW w:w="10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7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829</w:t>
            </w:r>
          </w:p>
        </w:tc>
        <w:tc>
          <w:tcPr>
            <w:tcW w:w="200" w:type="dxa"/>
            <w:vAlign w:val="bottom"/>
          </w:tcPr>
          <w:p>
            <w:pPr>
              <w:spacing w:after="0"/>
              <w:rPr>
                <w:sz w:val="17"/>
                <w:szCs w:val="17"/>
                <w:color w:val="auto"/>
              </w:rPr>
            </w:pPr>
          </w:p>
        </w:tc>
        <w:tc>
          <w:tcPr>
            <w:tcW w:w="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195.49</w:t>
            </w:r>
          </w:p>
        </w:tc>
        <w:tc>
          <w:tcPr>
            <w:tcW w:w="0" w:type="dxa"/>
            <w:vAlign w:val="bottom"/>
          </w:tcPr>
          <w:p>
            <w:pPr>
              <w:spacing w:after="0"/>
              <w:rPr>
                <w:sz w:val="1"/>
                <w:szCs w:val="1"/>
                <w:color w:val="auto"/>
              </w:rPr>
            </w:pPr>
          </w:p>
        </w:tc>
      </w:tr>
      <w:tr>
        <w:trPr>
          <w:trHeight w:val="23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277.20</w:t>
            </w:r>
          </w:p>
        </w:tc>
        <w:tc>
          <w:tcPr>
            <w:tcW w:w="0" w:type="dxa"/>
            <w:vAlign w:val="bottom"/>
          </w:tcPr>
          <w:p>
            <w:pPr>
              <w:spacing w:after="0"/>
              <w:rPr>
                <w:sz w:val="1"/>
                <w:szCs w:val="1"/>
                <w:color w:val="auto"/>
              </w:rPr>
            </w:pPr>
          </w:p>
        </w:tc>
      </w:tr>
      <w:tr>
        <w:trPr>
          <w:trHeight w:val="229"/>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Vested . . . . . .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168.48</w:t>
            </w:r>
          </w:p>
        </w:tc>
        <w:tc>
          <w:tcPr>
            <w:tcW w:w="0" w:type="dxa"/>
            <w:vAlign w:val="bottom"/>
          </w:tcPr>
          <w:p>
            <w:pPr>
              <w:spacing w:after="0"/>
              <w:rPr>
                <w:sz w:val="1"/>
                <w:szCs w:val="1"/>
                <w:color w:val="auto"/>
              </w:rPr>
            </w:pPr>
          </w:p>
        </w:tc>
      </w:tr>
      <w:tr>
        <w:trPr>
          <w:trHeight w:val="25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Forfeited . . . . . . . . . . . . .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253.07</w:t>
            </w:r>
          </w:p>
        </w:tc>
        <w:tc>
          <w:tcPr>
            <w:tcW w:w="0" w:type="dxa"/>
            <w:vAlign w:val="bottom"/>
          </w:tcPr>
          <w:p>
            <w:pPr>
              <w:spacing w:after="0"/>
              <w:rPr>
                <w:sz w:val="1"/>
                <w:szCs w:val="1"/>
                <w:color w:val="auto"/>
              </w:rPr>
            </w:pPr>
          </w:p>
        </w:tc>
      </w:tr>
      <w:tr>
        <w:trPr>
          <w:trHeight w:val="230"/>
        </w:trPr>
        <w:tc>
          <w:tcPr>
            <w:tcW w:w="714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97"/>
              </w:rPr>
              <w:t>Unvested as of December 31, 2025 . . . . . . . .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874</w:t>
            </w:r>
          </w:p>
        </w:tc>
        <w:tc>
          <w:tcPr>
            <w:tcW w:w="3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233.05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determination of achievement of performance results and corresponding vesting of PSUs for the three-year performance period ended December 31, 2025 was performed by the Management Development and Compensation Committee of our Board of Directors in January 2026. Accordingly, vesting information for such awards is not included in the table above as of December 31, 2025. The “vested” PSUs are for the three-year performance period ended December 31, 2024, as achievement of performance results and corresponding vesting was determined in January 2025. The performance of the Company’s common stock for purposes of the TSR PSUs and the Cash Flow PSUs exceeded maximum performance criteria. Accordingly, recipients of the PSU awards received a payout of 167.22% of the vested TSR PSUs and 135.56% of the vested Cash Flow PSUs. In February 2025, approximately 398,000 PSUs vested and we issued approximately 261,000 shares of common stock for these vested PSUs, net of units deferred or used for payment of associated taxes. The shares of common stock that were issued or deferred during the years ended December 31, 2025, 2024 and 2023 for prior PSU award grants had a fair market value of $87 million, $121 million and $74 million, respectively.</w:t>
      </w:r>
    </w:p>
    <w:p>
      <w:pPr>
        <w:spacing w:after="0" w:line="20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applicable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8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9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Deferred Units — </w:t>
      </w:r>
      <w:r>
        <w:rPr>
          <w:rFonts w:ascii="Times New Roman" w:cs="Times New Roman" w:eastAsia="Times New Roman" w:hAnsi="Times New Roman"/>
          <w:sz w:val="20"/>
          <w:szCs w:val="20"/>
          <w:color w:val="auto"/>
        </w:rPr>
        <w:t>Certain employees can elect to defer some or all of the vested RSU or PSU awards for payout six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2025, we had approximately 176,000 vested deferred units outstanding.</w:t>
      </w:r>
    </w:p>
    <w:p>
      <w:pPr>
        <w:spacing w:after="0" w:line="19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Stock Options — </w:t>
      </w:r>
      <w:r>
        <w:rPr>
          <w:rFonts w:ascii="Times New Roman" w:cs="Times New Roman" w:eastAsia="Times New Roman" w:hAnsi="Times New Roman"/>
          <w:sz w:val="20"/>
          <w:szCs w:val="20"/>
          <w:color w:val="auto"/>
        </w:rPr>
        <w:t>Stock option awards vest ratably in three annual increments, beginning on the first anniversary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date of grant. The exercise price of the options is the average of the high and low market value of our common stock</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720"/>
          </w:cols>
          <w:pgMar w:left="1080" w:top="1059" w:right="1080" w:bottom="543" w:gutter="0" w:footer="0" w:header="0"/>
          <w:type w:val="continuous"/>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on the date of grant, and the options have a term of 10 years. A summary of our stock options is presented in the table below (options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4"/>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as of January 1, 2025</w:t>
            </w:r>
          </w:p>
        </w:tc>
        <w:tc>
          <w:tcPr>
            <w:tcW w:w="10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02"/>
        </w:trPr>
        <w:tc>
          <w:tcPr>
            <w:tcW w:w="7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2,375</w:t>
            </w:r>
          </w:p>
        </w:tc>
        <w:tc>
          <w:tcPr>
            <w:tcW w:w="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129.15</w:t>
            </w:r>
          </w:p>
        </w:tc>
        <w:tc>
          <w:tcPr>
            <w:tcW w:w="0" w:type="dxa"/>
            <w:vAlign w:val="bottom"/>
          </w:tcPr>
          <w:p>
            <w:pPr>
              <w:spacing w:after="0"/>
              <w:rPr>
                <w:sz w:val="1"/>
                <w:szCs w:val="1"/>
                <w:color w:val="auto"/>
              </w:rPr>
            </w:pPr>
          </w:p>
        </w:tc>
      </w:tr>
      <w:tr>
        <w:trPr>
          <w:trHeight w:val="23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231.20</w:t>
            </w:r>
          </w:p>
        </w:tc>
        <w:tc>
          <w:tcPr>
            <w:tcW w:w="0" w:type="dxa"/>
            <w:vAlign w:val="bottom"/>
          </w:tcPr>
          <w:p>
            <w:pPr>
              <w:spacing w:after="0"/>
              <w:rPr>
                <w:sz w:val="1"/>
                <w:szCs w:val="1"/>
                <w:color w:val="auto"/>
              </w:rPr>
            </w:pPr>
          </w:p>
        </w:tc>
      </w:tr>
      <w:tr>
        <w:trPr>
          <w:trHeight w:val="232"/>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Exercised (a) . . . . . . . . . . . . . . . . . . . . . . . . . . . . . . .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111.69</w:t>
            </w:r>
          </w:p>
        </w:tc>
        <w:tc>
          <w:tcPr>
            <w:tcW w:w="0" w:type="dxa"/>
            <w:vAlign w:val="bottom"/>
          </w:tcPr>
          <w:p>
            <w:pPr>
              <w:spacing w:after="0"/>
              <w:rPr>
                <w:sz w:val="1"/>
                <w:szCs w:val="1"/>
                <w:color w:val="auto"/>
              </w:rPr>
            </w:pPr>
          </w:p>
        </w:tc>
      </w:tr>
      <w:tr>
        <w:trPr>
          <w:trHeight w:val="25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Forfeited or expired . . . .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143.94</w:t>
            </w:r>
          </w:p>
        </w:tc>
        <w:tc>
          <w:tcPr>
            <w:tcW w:w="0" w:type="dxa"/>
            <w:vAlign w:val="bottom"/>
          </w:tcPr>
          <w:p>
            <w:pPr>
              <w:spacing w:after="0"/>
              <w:rPr>
                <w:sz w:val="1"/>
                <w:szCs w:val="1"/>
                <w:color w:val="auto"/>
              </w:rPr>
            </w:pPr>
          </w:p>
        </w:tc>
      </w:tr>
      <w:tr>
        <w:trPr>
          <w:trHeight w:val="230"/>
        </w:trPr>
        <w:tc>
          <w:tcPr>
            <w:tcW w:w="716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.OutstandingasofDecember31,2025(b)</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1,819</w:t>
            </w:r>
          </w:p>
        </w:tc>
        <w:tc>
          <w:tcPr>
            <w:tcW w:w="32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143.20</w:t>
            </w:r>
          </w:p>
        </w:tc>
        <w:tc>
          <w:tcPr>
            <w:tcW w:w="0" w:type="dxa"/>
            <w:vAlign w:val="bottom"/>
          </w:tcPr>
          <w:p>
            <w:pPr>
              <w:spacing w:after="0"/>
              <w:rPr>
                <w:sz w:val="1"/>
                <w:szCs w:val="1"/>
                <w:color w:val="auto"/>
              </w:rPr>
            </w:pPr>
          </w:p>
        </w:tc>
      </w:tr>
      <w:tr>
        <w:trPr>
          <w:trHeight w:val="243"/>
        </w:trPr>
        <w:tc>
          <w:tcPr>
            <w:tcW w:w="7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Exercisable as of December 31, 2025 (c) . . . . . . . . . . . . . . . . . . . . . . . . . . . . . . . . . . . . .</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approximately 110,000 stock options exercised pursuant to written trading plans that provided for net share settlement, resulting in the Company withholding approximately 81,000 shares of our common stock to cover the associated stock option exercise price and taxes.</w:t>
      </w:r>
    </w:p>
    <w:p>
      <w:pPr>
        <w:spacing w:after="0" w:line="65" w:lineRule="exact"/>
        <w:rPr>
          <w:rFonts w:ascii="Times New Roman" w:cs="Times New Roman" w:eastAsia="Times New Roman" w:hAnsi="Times New Roman"/>
          <w:sz w:val="20"/>
          <w:szCs w:val="20"/>
          <w:color w:val="auto"/>
        </w:rPr>
      </w:pPr>
    </w:p>
    <w:p>
      <w:pPr>
        <w:jc w:val="both"/>
        <w:ind w:left="360" w:hanging="353"/>
        <w:spacing w:after="0" w:line="259" w:lineRule="auto"/>
        <w:tabs>
          <w:tab w:leader="none" w:pos="3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outstanding as of December 31, 2025 have a weighted average remaining contractual term of 5.6 years and an aggregate intrinsic value of $141 million based on the market value of our common stock on December 31, 2025.</w:t>
      </w:r>
    </w:p>
    <w:p>
      <w:pPr>
        <w:spacing w:after="0" w:line="65"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exercisable as of December 31, 2025 have an aggregate intrinsic value of $128 million based on the market value of our common stock on December 31, 2025.</w: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During 2025, 2024 and 2023, we received cash proceeds of $61 million, $53 million and $ 44 million, respectively, from the exercise of 676,000, 693,000 and 597,000 of employee stock options. The aggregate intrinsic value of stock options exercised during 2025, 2024 and 2023 was $79 million, $75 million and $44 million, respectively.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Stock options exercisable as of December 31, 2025 were as follows (options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5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5"/>
                <w:szCs w:val="15"/>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4"/>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7"/>
                <w:szCs w:val="17"/>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Remaining Years</w:t>
            </w:r>
          </w:p>
        </w:tc>
      </w:tr>
      <w:tr>
        <w:trPr>
          <w:trHeight w:val="199"/>
        </w:trPr>
        <w:tc>
          <w:tcPr>
            <w:tcW w:w="5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$56.24</w:t>
            </w:r>
          </w:p>
        </w:tc>
        <w:tc>
          <w:tcPr>
            <w:tcW w:w="53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6"/>
              </w:rPr>
              <w:t>- $98.90 . . . . . . . . . . . . . . . . . . . . . . . . . . . . . . . . . . . . . . . . . . . . . . .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436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81.95</w:t>
            </w:r>
          </w:p>
        </w:tc>
        <w:tc>
          <w:tcPr>
            <w:tcW w:w="160" w:type="dxa"/>
            <w:vAlign w:val="bottom"/>
          </w:tcPr>
          <w:p>
            <w:pPr>
              <w:spacing w:after="0"/>
              <w:rPr>
                <w:sz w:val="17"/>
                <w:szCs w:val="17"/>
                <w:color w:val="auto"/>
              </w:rPr>
            </w:pPr>
          </w:p>
        </w:tc>
        <w:tc>
          <w:tcPr>
            <w:tcW w:w="12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$98.91</w:t>
            </w:r>
          </w:p>
        </w:tc>
        <w:tc>
          <w:tcPr>
            <w:tcW w:w="5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$145.67 . . . . . . . . . . . . . . .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20"/>
                <w:szCs w:val="20"/>
                <w:color w:val="auto"/>
              </w:rPr>
            </w:pPr>
          </w:p>
        </w:tc>
      </w:tr>
      <w:tr>
        <w:trPr>
          <w:trHeight w:val="250"/>
        </w:trPr>
        <w:tc>
          <w:tcPr>
            <w:tcW w:w="5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$145.68 - $231.20 . . . . . . . . . . . . . .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21"/>
                <w:szCs w:val="21"/>
                <w:color w:val="auto"/>
              </w:rPr>
            </w:pPr>
          </w:p>
        </w:tc>
      </w:tr>
      <w:tr>
        <w:trPr>
          <w:trHeight w:val="230"/>
        </w:trPr>
        <w:tc>
          <w:tcPr>
            <w:tcW w:w="5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$56.24</w:t>
            </w:r>
          </w:p>
        </w:tc>
        <w:tc>
          <w:tcPr>
            <w:tcW w:w="5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 . . . . . . . . . . . . . . . . . . . . . . . . . . . . . . . . . . . . . . . . . . . . .-$231.20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1,310</w:t>
            </w:r>
          </w:p>
        </w:tc>
        <w:tc>
          <w:tcPr>
            <w:tcW w:w="28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122.06</w:t>
            </w:r>
          </w:p>
        </w:tc>
        <w:tc>
          <w:tcPr>
            <w:tcW w:w="14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0"/>
                <w:szCs w:val="20"/>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98"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2025, 2024 and 2023 was $47.45, $43.00 and $32.82,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9720"/>
          </w:cols>
          <w:pgMar w:left="1080" w:top="1059" w:right="1080" w:bottom="543" w:gutter="0" w:footer="0" w:header="0"/>
          <w:type w:val="continuous"/>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vMerge w:val="restart"/>
          </w:tcPr>
          <w:p>
            <w:pPr>
              <w:jc w:val="right"/>
              <w:ind w:right="5020"/>
              <w:spacing w:after="0"/>
              <w:rPr>
                <w:sz w:val="20"/>
                <w:szCs w:val="20"/>
                <w:color w:val="auto"/>
              </w:rPr>
            </w:pPr>
            <w:r>
              <w:rPr>
                <w:rFonts w:ascii="Times New Roman" w:cs="Times New Roman" w:eastAsia="Times New Roman" w:hAnsi="Times New Roman"/>
                <w:sz w:val="20"/>
                <w:szCs w:val="20"/>
                <w:color w:val="auto"/>
                <w:w w:val="98"/>
              </w:rPr>
              <w:t>Expected option life</w:t>
            </w: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4.5 years</w:t>
            </w:r>
          </w:p>
        </w:tc>
        <w:tc>
          <w:tcPr>
            <w:tcW w:w="1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4.4 years</w:t>
            </w: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4.6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Expected volatility. . . . . . . . . . . . . . . . . . . . . . . . . . . . . . . . . . . . . . . . . . . . . . . . . . . .</w:t>
            </w: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19.2 %</w:t>
            </w:r>
          </w:p>
        </w:tc>
        <w:tc>
          <w:tcPr>
            <w:tcW w:w="160" w:type="dxa"/>
            <w:vAlign w:val="bottom"/>
          </w:tcPr>
          <w:p>
            <w:pPr>
              <w:spacing w:after="0"/>
              <w:rPr>
                <w:sz w:val="20"/>
                <w:szCs w:val="20"/>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20.7 %</w:t>
            </w:r>
          </w:p>
        </w:tc>
        <w:tc>
          <w:tcPr>
            <w:tcW w:w="180" w:type="dxa"/>
            <w:vAlign w:val="bottom"/>
          </w:tcPr>
          <w:p>
            <w:pPr>
              <w:spacing w:after="0"/>
              <w:rPr>
                <w:sz w:val="20"/>
                <w:szCs w:val="20"/>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22.3 %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Expected dividend yield . . . . . . . . . . . . . . . . . . . . . . . . . . . . . . . . . . . . . . . . . . . . . . .</w:t>
            </w: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1.4 %</w:t>
            </w:r>
          </w:p>
        </w:tc>
        <w:tc>
          <w:tcPr>
            <w:tcW w:w="160" w:type="dxa"/>
            <w:vAlign w:val="bottom"/>
          </w:tcPr>
          <w:p>
            <w:pPr>
              <w:spacing w:after="0"/>
              <w:rPr>
                <w:sz w:val="19"/>
                <w:szCs w:val="19"/>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1.5 %</w:t>
            </w:r>
          </w:p>
        </w:tc>
        <w:tc>
          <w:tcPr>
            <w:tcW w:w="180" w:type="dxa"/>
            <w:vAlign w:val="bottom"/>
          </w:tcPr>
          <w:p>
            <w:pPr>
              <w:spacing w:after="0"/>
              <w:rPr>
                <w:sz w:val="19"/>
                <w:szCs w:val="19"/>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Risk-free interest rate . . . . . . . . . . . . . . . . . . . . . . . . . . . . . . . . . . . . . . . . . . . . . . . . .</w:t>
            </w: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4.2 %</w:t>
            </w:r>
          </w:p>
        </w:tc>
        <w:tc>
          <w:tcPr>
            <w:tcW w:w="160" w:type="dxa"/>
            <w:vAlign w:val="bottom"/>
          </w:tcPr>
          <w:p>
            <w:pPr>
              <w:spacing w:after="0"/>
              <w:rPr>
                <w:sz w:val="23"/>
                <w:szCs w:val="23"/>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4.2 %</w:t>
            </w:r>
          </w:p>
        </w:tc>
        <w:tc>
          <w:tcPr>
            <w:tcW w:w="180" w:type="dxa"/>
            <w:vAlign w:val="bottom"/>
          </w:tcPr>
          <w:p>
            <w:pPr>
              <w:spacing w:after="0"/>
              <w:rPr>
                <w:sz w:val="23"/>
                <w:szCs w:val="23"/>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4.4 %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years ended December 31, 2025, 2024 and 2023, we recognized $154 million, $ 99 million and $78 million, respectively, of compensation expense associated with RSU, PSU and stock option awards as a component of selling, general and administrative expenses in our Consolidated Statements of Operations. Our income tax expense for the years ended December 31, 2025, 2024 and 2023 includes related income tax benefits of $29 million, $18 million and $15 million, respectively. We have not capitalized any equity-based compensation costs during the reported periods.</w:t>
      </w:r>
    </w:p>
    <w:p>
      <w:pPr>
        <w:spacing w:after="0" w:line="19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December 31, 2025, we estimate that $66 million of currently unrecognized compensation expense will be recognized over a weighted average period of 1.5 years for our unvested RSU, PSU and stock option awards issued and outstanding.</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 Plan</w:t>
      </w:r>
    </w:p>
    <w:p>
      <w:pPr>
        <w:spacing w:after="0" w:line="239"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Our non -employee directors receive annual grants of shares of our common stock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Earnings Per Share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Basic and diluted earnings per share were computed using the following common share data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(shares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 of common shares outstanding at end of period</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9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w:t>
            </w: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402.9</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401.5</w:t>
            </w: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Effect of using weighted average common shares outstanding . . . . . . . . . . . . . . .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01"/>
        </w:trPr>
        <w:tc>
          <w:tcPr>
            <w:tcW w:w="698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rPr>
              <w:t>. . . . . . . . . . . . . . . . . . . . . . . . . .Weightedaveragebasiccommonsharesoutstanding</w:t>
            </w: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402.7</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404.9</w:t>
            </w:r>
          </w:p>
        </w:tc>
        <w:tc>
          <w:tcPr>
            <w:tcW w:w="0" w:type="dxa"/>
            <w:vAlign w:val="bottom"/>
          </w:tcPr>
          <w:p>
            <w:pPr>
              <w:spacing w:after="0"/>
              <w:rPr>
                <w:sz w:val="1"/>
                <w:szCs w:val="1"/>
                <w:color w:val="auto"/>
              </w:rPr>
            </w:pPr>
          </w:p>
        </w:tc>
      </w:tr>
      <w:tr>
        <w:trPr>
          <w:trHeight w:val="230"/>
        </w:trPr>
        <w:tc>
          <w:tcPr>
            <w:tcW w:w="698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Dilutive effect of equity-based compensation awards and other contingently</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issuable shares . .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29"/>
        </w:trPr>
        <w:tc>
          <w:tcPr>
            <w:tcW w:w="698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.Weightedaveragedilutedcommonsharesoutstanding</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404.2</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403.4</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406.9</w:t>
            </w:r>
          </w:p>
        </w:tc>
        <w:tc>
          <w:tcPr>
            <w:tcW w:w="0" w:type="dxa"/>
            <w:vAlign w:val="bottom"/>
          </w:tcPr>
          <w:p>
            <w:pPr>
              <w:spacing w:after="0"/>
              <w:rPr>
                <w:sz w:val="1"/>
                <w:szCs w:val="1"/>
                <w:color w:val="auto"/>
              </w:rPr>
            </w:pPr>
          </w:p>
        </w:tc>
      </w:tr>
      <w:tr>
        <w:trPr>
          <w:trHeight w:val="211"/>
        </w:trPr>
        <w:tc>
          <w:tcPr>
            <w:tcW w:w="6980" w:type="dxa"/>
            <w:vAlign w:val="bottom"/>
          </w:tcPr>
          <w:p>
            <w:pPr>
              <w:jc w:val="right"/>
              <w:ind w:right="220"/>
              <w:spacing w:after="0" w:line="211" w:lineRule="exact"/>
              <w:rPr>
                <w:sz w:val="20"/>
                <w:szCs w:val="20"/>
                <w:color w:val="auto"/>
              </w:rPr>
            </w:pPr>
            <w:r>
              <w:rPr>
                <w:rFonts w:ascii="Times New Roman" w:cs="Times New Roman" w:eastAsia="Times New Roman" w:hAnsi="Times New Roman"/>
                <w:sz w:val="20"/>
                <w:szCs w:val="20"/>
                <w:color w:val="auto"/>
                <w:w w:val="99"/>
              </w:rPr>
              <w:t>. . . . . . . . . . . . . . . . . . . . . . . . . . . . . . . . . . . . . . . . . . . . . . .Potentiallyissuableshares</w:t>
            </w: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18"/>
                <w:szCs w:val="18"/>
                <w:color w:val="auto"/>
              </w:rPr>
            </w:pP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18"/>
                <w:szCs w:val="18"/>
                <w:color w:val="auto"/>
              </w:rPr>
            </w:pP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Number of anti-dilutive potentially issuable shares excluded from diluted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common shares outstanding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the Consolidated Statements of Operations for net income attributable to Waste Management, Inc.</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9720"/>
          </w:cols>
          <w:pgMar w:left="1080" w:top="1059" w:right="1080" w:bottom="543" w:gutter="0" w:footer="0" w:header="0"/>
          <w:type w:val="continuous"/>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Fair Value Measurements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Accounted for at Fair Value</w:t>
      </w:r>
    </w:p>
    <w:p>
      <w:pPr>
        <w:spacing w:after="0" w:line="24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119"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Observable inputs other than quoted prices in active markets for identical assets and liabilities, quoted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prices 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Inputs that are generally unobservable and typically reflect management’s estimate of assumptions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participants would use in pricing the asset or liability.</w:t>
      </w:r>
    </w:p>
    <w:p>
      <w:pPr>
        <w:spacing w:after="0" w:line="16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Quoted prices in active markets (Level 1):</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7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Cash equivalents and money market funds . . . . . . . . . . . . . . . . . . . . . . . . . . . . . . . . . . . . .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Equity securities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Significant other observable inputs (Level 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Available-for-sale securities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.Totalassetsmeasuredatfairvalue</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707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571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Cash Equivalents and Money Market Funds</w:t>
      </w:r>
    </w:p>
    <w:p>
      <w:pPr>
        <w:spacing w:after="0" w:line="2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Cash equivalents primarily include short- 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Equity Securities</w:t>
      </w:r>
    </w:p>
    <w:p>
      <w:pPr>
        <w:spacing w:after="0" w:line="2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net in our Consolidated Statements of Operations.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9720"/>
          </w:cols>
          <w:pgMar w:left="1080" w:top="1059" w:right="1080" w:bottom="543"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Available-for-Sale Securities</w:t>
      </w:r>
    </w:p>
    <w:p>
      <w:pPr>
        <w:spacing w:after="0" w:line="23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available-for-sale securities include restricted trust funds and investments in unconsolidated entities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Debt</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2025 and 2024, the carrying value of our debt was $22.9 billion and $23.9 billion, respectively. The estimated fair value of our debt was approximately $22.5 billion and $22.9 billion as of December 31, 2025 and 2024, respectively.</w:t>
      </w:r>
    </w:p>
    <w:p>
      <w:pPr>
        <w:spacing w:after="0" w:line="18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2025 and 2024. These amounts have not been revalued since those dates, and current estimates of fair value could differ significantly from the amounts presented.</w:t>
      </w:r>
    </w:p>
    <w:p>
      <w:pPr>
        <w:spacing w:after="0" w:line="20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See Note 11 for information related to our nonrecurring fair value measurements. See Note 17 for information related to the nonrecurring fair value measurement of assets and liabilities acquired in connection with our acquisition of Stericycle.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Acquisitions and Divestitures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2025 Acquisitions</w:t>
      </w:r>
    </w:p>
    <w:p>
      <w:pPr>
        <w:spacing w:after="0" w:line="2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we completed solid waste and recycling acquisitions primarily in Virginia, Maryland and Washington D.C. for total consideration of $440 million. Total consideration included $399 million in net cash paid and $41 million in non-cash consideration, primarily related to purchase price holdbacks. In addition, we paid $9 million of holdbacks, of which $8 million related to prior year acquisitions.</w:t>
      </w:r>
    </w:p>
    <w:p>
      <w:pPr>
        <w:spacing w:after="0" w:line="19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Total consideration for our 2025 acquisitions was primarily allocated to $92 million of property and equipment, $45 million of other intangible assets, primarily customer relationships, and $315 million of goodwill. Other intangible assets included $39 million of customer relationships and $6 million of covenants not-to-compete.</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goodwill related to our 2025 acquisitions was primarily a result of expected synergies from combining the acquired businesses with our existing operations and substantially all was tax deductible.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9720"/>
          </w:cols>
          <w:pgMar w:left="1080" w:top="1059" w:right="1080" w:bottom="543" w:gutter="0" w:footer="0" w:header="0"/>
          <w:type w:val="continuous"/>
        </w:sectPr>
      </w:pPr>
    </w:p>
    <w:bookmarkStart w:id="208" w:name="page209"/>
    <w:bookmarkEnd w:id="208"/>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2024 Acquisitions</w:t>
      </w:r>
    </w:p>
    <w:p>
      <w:pPr>
        <w:spacing w:after="0" w:line="23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addition to the acquisition of Stericycle, during the year ended December 31, 2024, we completed solid waste and recycling acquisitions primarily in New York, Florida, North Carolina and Arizona for total consideration of $790 million. Total consideration included $783 million in net cash paid and $7 million in non-cash consideration, primarily related to purchase price holdbacks. In addition, we paid $23 million of holdbacks, of which $16 million related to prior year acquisitions.</w:t>
      </w:r>
    </w:p>
    <w:p>
      <w:pPr>
        <w:spacing w:after="0" w:line="19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Total consideration for our 2024 acquisitions, exclusive of Stericycle, was primarily allocated to $160 million of property and equipment, $79 million of other intangible assets and $588 million of goodwill. Other intangible assets included $63 million of customer relationships and $14 million of covenants not-to-compete.</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goodwill related to our other 2024 acquisitions was primarily a result of expected synergies from combining the acquired businesses with our existing operations, a significant portion of which was tax deductible.</w:t>
      </w:r>
    </w:p>
    <w:p>
      <w:pPr>
        <w:spacing w:after="0" w:line="16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In 2024, we paid $41 million to acquire the remaining minority interests in a business engaged in accelerating film and plastic wrap recycling capabilities that is included in our Recycling Processing and Sales segment.</w:t>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Stericycle Acquisition — </w:t>
      </w:r>
      <w:r>
        <w:rPr>
          <w:rFonts w:ascii="Times New Roman" w:cs="Times New Roman" w:eastAsia="Times New Roman" w:hAnsi="Times New Roman"/>
          <w:sz w:val="20"/>
          <w:szCs w:val="20"/>
          <w:color w:val="auto"/>
        </w:rPr>
        <w:t>On June 3, 2024, we entered into an Agreement and Plan of Merger (the “Merger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RWCS and SID services that protect people and brands, promote health and well-being and safeguard the environment. The transaction closed on November 4, 2024 and was funded using $5.2 billion of borrowings under a term credit agreement, our commercial paper program and available cash on hand. Shortly thereafter, we repaid all outstanding borrowings under the term credit agreement with net proceeds from our November 2024 issuance of $5.2 billion of senior notes.</w:t>
      </w:r>
    </w:p>
    <w:p>
      <w:pPr>
        <w:spacing w:after="0" w:line="20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2025, we incurred acquisition and integration related costs of $ 120 million, comprised of $89 million of selling, general and administrative costs and $ 31 million of restructuring costs. For the year ended December 31, 2024, we incurred acquisition and integration related costs of $160 million, which were primarily classified as selling, general and administrative expenses. The post-closing operating results of Stericycle have been included in our consolidated financial statements within our Healthcare Solutions segment. Post-closing through December 31, 2024, Stericycle recognized $403 million, $244 million and $155 million of operating revenue, operating expenses and selling, general and administrative expenses, respectively, which are net of intercompany transactions and included in our Consolidated Statements of Operations.</w:t>
      </w:r>
    </w:p>
    <w:p>
      <w:pPr>
        <w:spacing w:after="0" w:line="8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consolidated financial statements have not been retroactively restated to include Stericycle’s historical financial position or results of operations. The acquisition was accounted for as a business combination. In accordance with the acquisition method of accounting, the purchase price paid has been allocated to the assets and liabilities acquired based upon their estimated fair values as of the acquisition date, with the excess of the purchase price over the net assets acquired recorded as goodwill. The allocation of the purchase price was finalized in November 2025.</w:t>
      </w:r>
    </w:p>
    <w:p>
      <w:pPr>
        <w:spacing w:after="0" w:line="7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used the following valuation techniques for the following significant accounts in which carrying value did not approximate fair value: (i) property and equipment were valued primarily using the cost approach with significant assumptions including replacement cost, trend indices, and normal useful lives; (ii) customer relationship assets were valued using the multi-period excess earnings method with significant assumptions including projected revenue, attrition rate, operating expense, selling and general administrative expenses, and discount rate; (iii) indefinite trade name assets were valued using the relief from royalty method with significant assumptions including revenue attributable to the trade names and royalty rates and (iv) permit assets were valued using the cost to recreate method with significant assumptions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9720"/>
          </w:cols>
          <w:pgMar w:left="1080" w:top="1059" w:right="1080" w:bottom="543"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including costs required to obtain the permits and the opportunity costs if the permits were not in place on the acquisition date.</w:t>
      </w:r>
    </w:p>
    <w:p>
      <w:pPr>
        <w:spacing w:after="0" w:line="16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fair values for property and equipment and intangibles were based on significant inputs that are not observable in the market and thus represent a Level 3 measurement in the fair value hierarchy. The Restricted Notes were valued using observable market prices which represent a Level 1 measurement in the fair value hierarchy.</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Goodwill of $3.8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Goodwill has been assigned to two reporting units within our Healthcare Solutions segment using a relative fair value allocation method. Substantially all of the goodwill is not deductible for income tax purposes.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shows the purchase price allocation as of the date acquired and adjustments made through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4, 2025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Pr>
          <w:p>
            <w:pPr>
              <w:spacing w:after="0"/>
              <w:rPr>
                <w:sz w:val="17"/>
                <w:szCs w:val="17"/>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November 4, 2024</w:t>
            </w:r>
          </w:p>
        </w:tc>
        <w:tc>
          <w:tcPr>
            <w:tcW w:w="240" w:type="dxa"/>
            <w:vAlign w:val="bottom"/>
          </w:tcPr>
          <w:p>
            <w:pPr>
              <w:spacing w:after="0"/>
              <w:rPr>
                <w:sz w:val="17"/>
                <w:szCs w:val="17"/>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November 4, 2025</w:t>
            </w:r>
          </w:p>
        </w:tc>
        <w:tc>
          <w:tcPr>
            <w:tcW w:w="0" w:type="dxa"/>
            <w:vAlign w:val="bottom"/>
          </w:tcPr>
          <w:p>
            <w:pPr>
              <w:spacing w:after="0"/>
              <w:rPr>
                <w:sz w:val="1"/>
                <w:szCs w:val="1"/>
                <w:color w:val="auto"/>
              </w:rPr>
            </w:pPr>
          </w:p>
        </w:tc>
      </w:tr>
      <w:tr>
        <w:trPr>
          <w:trHeight w:val="199"/>
        </w:trPr>
        <w:tc>
          <w:tcPr>
            <w:tcW w:w="4260" w:type="dxa"/>
            <w:vAlign w:val="bottom"/>
            <w:gridSpan w:val="2"/>
            <w:vMerge w:val="continue"/>
          </w:tcPr>
          <w:p>
            <w:pPr>
              <w:jc w:val="right"/>
              <w:ind w:right="380"/>
              <w:spacing w:after="0" w:line="177" w:lineRule="exact"/>
              <w:rPr>
                <w:sz w:val="20"/>
                <w:szCs w:val="20"/>
                <w:color w:val="auto"/>
              </w:rPr>
            </w:pPr>
            <w:r>
              <w:rPr>
                <w:rFonts w:ascii="Times New Roman" w:cs="Times New Roman" w:eastAsia="Times New Roman" w:hAnsi="Times New Roman"/>
                <w:sz w:val="20"/>
                <w:szCs w:val="20"/>
                <w:color w:val="auto"/>
              </w:rPr>
              <w:t>. . . . . . . . . . . . . . . . .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9"/>
              </w:rPr>
              <w:t>Accounts and other receivables (a)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Parts and supplies . . . .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Other current assets . . .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Assets held for sale (b)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Property and equipment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Goodwill . . . . . . . . . . .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Other intangible assets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Other assets . . . . . . . . . . . . . . . . . . . . . . . . . . . . . .</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Accounts payable . . . . . . .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Accrued liabilities . . . . . . .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(336)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(366)</w:t>
            </w: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Deferred revenues . . . . . . .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9"/>
              </w:rPr>
              <w:t>Current portion of long-term debt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Liabilities held for sale (b)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5"/>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9"/>
              </w:rPr>
              <w:t>Long-term debt, less current portion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(510)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r>
        <w:trPr>
          <w:trHeight w:val="244"/>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Deferred income taxes . . .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(884)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(845)</w:t>
            </w:r>
          </w:p>
        </w:tc>
        <w:tc>
          <w:tcPr>
            <w:tcW w:w="0" w:type="dxa"/>
            <w:vAlign w:val="bottom"/>
          </w:tcPr>
          <w:p>
            <w:pPr>
              <w:spacing w:after="0"/>
              <w:rPr>
                <w:sz w:val="1"/>
                <w:szCs w:val="1"/>
                <w:color w:val="auto"/>
              </w:rPr>
            </w:pPr>
          </w:p>
        </w:tc>
      </w:tr>
      <w:tr>
        <w:trPr>
          <w:trHeight w:val="250"/>
        </w:trPr>
        <w:tc>
          <w:tcPr>
            <w:tcW w:w="42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Other liabilities . . . . . . . . . . . . . . . . . . . . . . . . . . .</w:t>
            </w:r>
          </w:p>
        </w:tc>
        <w:tc>
          <w:tcPr>
            <w:tcW w:w="1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(542)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(542)</w:t>
            </w:r>
          </w:p>
        </w:tc>
        <w:tc>
          <w:tcPr>
            <w:tcW w:w="0" w:type="dxa"/>
            <w:vAlign w:val="bottom"/>
          </w:tcPr>
          <w:p>
            <w:pPr>
              <w:spacing w:after="0"/>
              <w:rPr>
                <w:sz w:val="1"/>
                <w:szCs w:val="1"/>
                <w:color w:val="auto"/>
              </w:rPr>
            </w:pPr>
          </w:p>
        </w:tc>
      </w:tr>
      <w:tr>
        <w:trPr>
          <w:trHeight w:val="230"/>
        </w:trPr>
        <w:tc>
          <w:tcPr>
            <w:tcW w:w="4240" w:type="dxa"/>
            <w:vAlign w:val="bottom"/>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Total purchase price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6,907</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allowance for doubtful accounts of $144 million as of close of the measurement period. See Note 2 for further discussion.</w:t>
      </w:r>
    </w:p>
    <w:p>
      <w:pPr>
        <w:spacing w:after="0" w:line="168"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Stericycle’s Spain and Portugal subsidiaries. See “Divestitures” for additional information.</w:t>
      </w:r>
    </w:p>
    <w:p>
      <w:pPr>
        <w:spacing w:after="0" w:line="23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final allocation of $3.5 billion for other intangible assets includes $2.3 billion for customer relationships with a weighted average amortization period of 15 years, $610 million for indefinite lived trade names, $319 million for indefinite lived permits, $114 million for definite lived trade names with a weighted average amortization period of 2.9 years, $138 million for ERP software with a weighted average amortization period of 4.7 years and $5 million for developed technology with an amortization period of 17 years.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9720"/>
          </w:cols>
          <w:pgMar w:left="1080" w:top="1059" w:right="1080" w:bottom="543"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unaudited pro forma financial information in the table below summarizes the combined results of operations for Waste Management and Stericycle as though the companies had been combined as of January 1, 2023. Examples of adjustments made to arrive at the pro forma amounts include, but are not limited to, the following:</w:t>
      </w:r>
    </w:p>
    <w:p>
      <w:pPr>
        <w:spacing w:after="0" w:line="160" w:lineRule="exact"/>
        <w:rPr>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Transaction expenses incurred by us and Stericycle;</w:t>
      </w:r>
    </w:p>
    <w:p>
      <w:pPr>
        <w:spacing w:after="0" w:line="35" w:lineRule="exact"/>
        <w:rPr>
          <w:rFonts w:ascii="Arial" w:cs="Arial" w:eastAsia="Arial" w:hAnsi="Arial"/>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Elimination of revenue and expenses between us and Stericycle;</w:t>
      </w:r>
    </w:p>
    <w:p>
      <w:pPr>
        <w:spacing w:after="0" w:line="12" w:lineRule="exact"/>
        <w:rPr>
          <w:rFonts w:ascii="Arial" w:cs="Arial" w:eastAsia="Arial" w:hAnsi="Arial"/>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Adjustments to depreciation and amortization expense due to step-up in fair value of the acquired assets;</w:t>
      </w:r>
    </w:p>
    <w:p>
      <w:pPr>
        <w:spacing w:after="0" w:line="14" w:lineRule="exact"/>
        <w:rPr>
          <w:rFonts w:ascii="Arial" w:cs="Arial" w:eastAsia="Arial" w:hAnsi="Arial"/>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Interest expense adjustments;</w:t>
      </w:r>
    </w:p>
    <w:p>
      <w:pPr>
        <w:spacing w:after="0" w:line="14" w:lineRule="exact"/>
        <w:rPr>
          <w:rFonts w:ascii="Arial" w:cs="Arial" w:eastAsia="Arial" w:hAnsi="Arial"/>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Accounting policy alignment adjustments; and</w:t>
      </w:r>
    </w:p>
    <w:p>
      <w:pPr>
        <w:spacing w:after="0" w:line="12" w:lineRule="exact"/>
        <w:rPr>
          <w:rFonts w:ascii="Arial" w:cs="Arial" w:eastAsia="Arial" w:hAnsi="Arial"/>
          <w:sz w:val="20"/>
          <w:szCs w:val="20"/>
          <w:color w:val="auto"/>
        </w:rPr>
      </w:pPr>
    </w:p>
    <w:p>
      <w:pPr>
        <w:ind w:left="360" w:hanging="353"/>
        <w:spacing w:after="0"/>
        <w:tabs>
          <w:tab w:leader="none" w:pos="360" w:val="left"/>
        </w:tabs>
        <w:numPr>
          <w:ilvl w:val="0"/>
          <w:numId w:val="138"/>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 adjustments.</w:t>
      </w:r>
    </w:p>
    <w:p>
      <w:pPr>
        <w:spacing w:after="0" w:line="21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following unaudited pro forma financial information is for informational purposes only and is not necessarily indicative of the results of operations that would have been achieved as if the acquisition had taken place as January 1, 2023 for the year ended December 31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vMerge w:val="restart"/>
          </w:tcPr>
          <w:p>
            <w:pPr>
              <w:jc w:val="right"/>
              <w:ind w:right="5840"/>
              <w:spacing w:after="0"/>
              <w:rPr>
                <w:sz w:val="20"/>
                <w:szCs w:val="20"/>
                <w:color w:val="auto"/>
              </w:rPr>
            </w:pPr>
            <w:r>
              <w:rPr>
                <w:rFonts w:ascii="Times New Roman" w:cs="Times New Roman" w:eastAsia="Times New Roman" w:hAnsi="Times New Roman"/>
                <w:sz w:val="20"/>
                <w:szCs w:val="20"/>
                <w:color w:val="auto"/>
                <w:w w:val="98"/>
              </w:rPr>
              <w:t>Operating revenues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50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w:t>
            </w:r>
          </w:p>
        </w:tc>
        <w:tc>
          <w:tcPr>
            <w:tcW w:w="180" w:type="dxa"/>
            <w:vAlign w:val="bottom"/>
          </w:tcPr>
          <w:p>
            <w:pPr>
              <w:spacing w:after="0"/>
              <w:rPr>
                <w:sz w:val="17"/>
                <w:szCs w:val="17"/>
                <w:color w:val="auto"/>
              </w:rPr>
            </w:pP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  24,258</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  23,066</w:t>
            </w:r>
          </w:p>
        </w:tc>
        <w:tc>
          <w:tcPr>
            <w:tcW w:w="0" w:type="dxa"/>
            <w:vAlign w:val="bottom"/>
          </w:tcPr>
          <w:p>
            <w:pPr>
              <w:spacing w:after="0"/>
              <w:rPr>
                <w:sz w:val="1"/>
                <w:szCs w:val="1"/>
                <w:color w:val="auto"/>
              </w:rPr>
            </w:pPr>
          </w:p>
        </w:tc>
      </w:tr>
      <w:tr>
        <w:trPr>
          <w:trHeight w:val="267"/>
        </w:trPr>
        <w:tc>
          <w:tcPr>
            <w:tcW w:w="7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8"/>
              </w:rPr>
              <w:t>Net income attributable to Waste Management, Inc. . . . . .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2023 Acquisitions</w:t>
      </w:r>
    </w:p>
    <w:p>
      <w:pPr>
        <w:spacing w:after="0" w:line="2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9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pacing w:after="0" w:line="18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goodwill related to our 2023 acquisitions was primarily a result of expected synergies from combining the acquired businesses with our existing operations and substantially all was tax deductible.</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Divestitures</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Proceeds from divestitures of businesses and other assets, net of cash divested, were $ 121 million, $158 million and $78 million in 2025, 2024 and 2023, respectively. Proceeds in 2025 primarily related to the January 2025 sale of our Healthcare Solutions segment’s Spain and Portugal subsidiaries. As the fair value of consideration transferred was equal to the carrying value of the divested subsidiaries, no gain or loss was recognized. The remaining 2025, 2024, and 2023 proceeds were from the sale of certain non-strategic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Variable Interest Entities</w:t>
      </w:r>
    </w:p>
    <w:p>
      <w:pPr>
        <w:spacing w:after="0" w:line="244"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is a description of our financial interests in unconsolidated and consolidated variable interest entities that we consider significant:</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Low-Income Housing Properties</w:t>
      </w:r>
    </w:p>
    <w:p>
      <w:pPr>
        <w:spacing w:after="0" w:line="24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do not consolidate our investments in entities established to manage low-income housing properties because we are not the primary beneficiary of these entities as we do not have the power to individually direct the activities of these</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9720"/>
          </w:cols>
          <w:pgMar w:left="1080" w:top="1059" w:right="1080" w:bottom="543"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entities. Our aggregate investment balance in these entities was $624 million and $707 million as of December 31, 2025 and 2024, respectively. The debt balance related to our investments in low-income housing properties was $616 million and $670 million as of December 31, 2025 and 2024, respectively. Additional information related to these investments is discussed in Note 8.</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Trust Funds for Final Capping, Closure, Post-Closure or Environmental Remediation Obligations</w:t>
      </w:r>
    </w:p>
    <w:p>
      <w:pPr>
        <w:spacing w:after="0" w:line="24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Unconsolidated Variable Interest Entities — </w:t>
      </w:r>
      <w:r>
        <w:rPr>
          <w:rFonts w:ascii="Times New Roman" w:cs="Times New Roman" w:eastAsia="Times New Roman" w:hAnsi="Times New Roman"/>
          <w:sz w:val="20"/>
          <w:szCs w:val="20"/>
          <w:color w:val="auto"/>
        </w:rPr>
        <w:t>Trust funds that are established for both the benefit of the Company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$127 million and $111 million as of December 31, 2025 and 2024, respectively.</w:t>
      </w:r>
    </w:p>
    <w:p>
      <w:pPr>
        <w:spacing w:after="0" w:line="20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Consolidated Variable Interest Entities — </w:t>
      </w:r>
      <w:r>
        <w:rPr>
          <w:rFonts w:ascii="Times New Roman" w:cs="Times New Roman" w:eastAsia="Times New Roman" w:hAnsi="Times New Roman"/>
          <w:sz w:val="20"/>
          <w:szCs w:val="20"/>
          <w:color w:val="auto"/>
        </w:rPr>
        <w:t>Trust funds for which we are the sole beneficiary are consolidated because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$140 million and $128 million as of December 31, 2025 and 2024,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and Related Information</w:t>
      </w:r>
    </w:p>
    <w:p>
      <w:pPr>
        <w:spacing w:after="0" w:line="24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senior management evaluates, oversees and manages the financial performance of our business through five reportable segments, referred to as (i) East Tier; (ii) West Tier; (iii) Recycling Processing and Sales; (iv) Renewable Energy and (v) Healthcare Solutions. Our East and West Tiers, along with Other Ancillary services, form our “Collection and Disposal” businesses. We also provide additional services not managed through our five reportable segments, which are presented as Corporate and Other.</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4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720"/>
          </w:cols>
          <w:pgMar w:left="1080" w:top="1059" w:right="1080" w:bottom="543"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RINs, electricity and capacity, RECs and related environmental attributes from the 86 landfill beneficial use renewable energy projects owned by Renewable Energy on our active landfills, which is eliminated in consolidation.</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Renewable Energy</w:t>
      </w:r>
    </w:p>
    <w:p>
      <w:pPr>
        <w:spacing w:after="0" w:line="23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Renewable Energy converts landfill gas into several sources of renewable energy which include RNG, electricity and capacity, heat and/or steam.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20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projects are on third-party landfills. The revenues from these facilities are primarily generated through the sale of RNG, RINs, electricity and capacity, heat and/or steam, RECs and related environmental attributes.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Healthcare Solutions</w:t>
      </w:r>
    </w:p>
    <w:p>
      <w:pPr>
        <w:spacing w:after="0" w:line="239"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Our Healthcare Solutions segment includes (i) RWCS, which provide compliance programs and collection, processing and disposal of regulated and specialized waste, including medical, pharmaceutical and hazardous waste and (ii) SID</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9720"/>
          </w:cols>
          <w:pgMar w:left="1080" w:top="1059" w:right="1080" w:bottom="543"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services, which provide for the collection of personal and confidential information for secure destruction and recycling of sorted office paper. RWCS are provided to customers in the U.S., Canada, Ireland and the United Kingdom (“U.K.”). SID services are provided to customers in the U.S., Canada, Belgium, France, Germany, Ireland, Luxembourg, the Netherlands and the U.K.</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Healthcare Solutions businesses also provide services to airports and seaports, education institutions, funeral homes and crematories, government and military, banks and professional services, and other businesses. While the Healthcare Solutions businesses manage large volumes of waste and other materials, the average volume per customer site is relatively small.</w:t>
      </w:r>
    </w:p>
    <w:p>
      <w:pPr>
        <w:spacing w:after="0" w:line="19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Healthcare Solutions customers typically enter into a contract for the provision of services on a scheduled basis including weekly, monthly or on an as- needed basis over the contract term. Under the contract terms, the Healthcare Solutions businesses receive fees based on a monthly, quarterly or annual rate and/or fees based on contractual rates depending upon measures including the type and volume or weight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pacing w:after="0" w:line="20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2025, our Healthcare Solutions segment operates out of approximately 307 leased and owned facilities worldwide with 51 autoclaves or other alternative medical waste treatment facilities, 17 medical waste incinerator facilities, 99 SID processing facilities, and 140 transfer stations.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4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five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20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chief operating decision maker (“CODM”) is the chief executive officer. The CODM regularly reviews financial results, operating performance, and capital expenditures of our five reportable segments. Our CODM uses income from operations for each segment predominantly in the annual budget and forecasting process and considers budget-to-actual variances on a monthly basis when making decisions about the allocation of operating and capital resources to each segment. Our CODM also uses segment income from operations to assess the performance of each segment by comparing the results of each segment with one another. Summarized financial information concerning our reportable segments as of December 31 and for the year then ended is shown in the following table (in millions):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9720"/>
          </w:cols>
          <w:pgMar w:left="1080" w:top="1059" w:right="1080" w:bottom="543" w:gutter="0" w:footer="0" w:header="0"/>
          <w:type w:val="continuous"/>
        </w:sectPr>
      </w:pPr>
    </w:p>
    <w:bookmarkStart w:id="214" w:name="page215"/>
    <w:bookmarkEnd w:id="214"/>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7"/>
              </w:rPr>
              <w:t>Selling,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80" w:type="dxa"/>
            <w:vAlign w:val="bottom"/>
          </w:tcPr>
          <w:p>
            <w:pPr>
              <w:spacing w:after="0"/>
              <w:rPr>
                <w:sz w:val="13"/>
                <w:szCs w:val="1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General, 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Depletion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from</w:t>
            </w:r>
          </w:p>
        </w:tc>
        <w:tc>
          <w:tcPr>
            <w:tcW w:w="8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Expenditures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Revenues(a)</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3"/>
              </w:rPr>
              <w:t>Expenses</w:t>
            </w:r>
          </w:p>
        </w:tc>
        <w:tc>
          <w:tcPr>
            <w:tcW w:w="8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8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Expenses(b)</w:t>
            </w:r>
          </w:p>
        </w:tc>
        <w:tc>
          <w:tcPr>
            <w:tcW w:w="8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Operations(c)</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Collection and Disposal:</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East Tier . . . . . . . . . . . . . . .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11,482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2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West Tier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Other Ancillary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40" w:type="dxa"/>
            <w:vAlign w:val="bottom"/>
            <w:gridSpan w:val="2"/>
          </w:tcPr>
          <w:p>
            <w:pPr>
              <w:jc w:val="right"/>
              <w:ind w:right="1040"/>
              <w:spacing w:after="0" w:line="128" w:lineRule="exact"/>
              <w:rPr>
                <w:sz w:val="20"/>
                <w:szCs w:val="20"/>
                <w:color w:val="auto"/>
              </w:rPr>
            </w:pPr>
            <w:r>
              <w:rPr>
                <w:rFonts w:ascii="Times New Roman" w:cs="Times New Roman" w:eastAsia="Times New Roman" w:hAnsi="Times New Roman"/>
                <w:sz w:val="13"/>
                <w:szCs w:val="13"/>
                <w:color w:val="auto"/>
              </w:rPr>
              <w:t>Collection and</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Disposal(e)(f)(g).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25,545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Recycling Processing and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Sales(e)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51"/>
        </w:trPr>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Renewable Energy(f)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50"/>
        </w:trPr>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Healthcare Solutions(g)(h)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64"/>
        </w:trPr>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Corporate and Other(f)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 . . . . . . . . . . . . . . . . . .Total</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25,204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5,691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30,895</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20,680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gridSpan w:val="3"/>
          </w:tcPr>
          <w:p>
            <w:pPr>
              <w:jc w:val="right"/>
              <w:spacing w:after="0" w:line="140" w:lineRule="exact"/>
              <w:rPr>
                <w:sz w:val="20"/>
                <w:szCs w:val="20"/>
                <w:color w:val="auto"/>
              </w:rPr>
            </w:pPr>
            <w:r>
              <w:rPr>
                <w:rFonts w:ascii="Times New Roman" w:cs="Times New Roman" w:eastAsia="Times New Roman" w:hAnsi="Times New Roman"/>
                <w:sz w:val="13"/>
                <w:szCs w:val="13"/>
                <w:color w:val="auto"/>
              </w:rPr>
              <w:t>2,745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2,863</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4,308</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3,072</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Intercompany Elimination(a) . . . . . .</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line="142" w:lineRule="exact"/>
              <w:rPr>
                <w:sz w:val="20"/>
                <w:szCs w:val="20"/>
                <w:color w:val="auto"/>
              </w:rPr>
            </w:pPr>
            <w:r>
              <w:rPr>
                <w:rFonts w:ascii="Times New Roman" w:cs="Times New Roman" w:eastAsia="Times New Roman" w:hAnsi="Times New Roman"/>
                <w:sz w:val="13"/>
                <w:szCs w:val="13"/>
                <w:color w:val="auto"/>
              </w:rPr>
              <w:t>. . . . . . . . . . . . . . . . . . . . . . .Net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25,204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15,012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Intercompany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General, 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Depletion and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from</w:t>
            </w:r>
          </w:p>
        </w:tc>
        <w:tc>
          <w:tcPr>
            <w:tcW w:w="8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Expenditures</w:t>
            </w:r>
          </w:p>
        </w:tc>
        <w:tc>
          <w:tcPr>
            <w:tcW w:w="0" w:type="dxa"/>
            <w:vAlign w:val="bottom"/>
          </w:tcPr>
          <w:p>
            <w:pPr>
              <w:spacing w:after="0"/>
              <w:rPr>
                <w:sz w:val="1"/>
                <w:szCs w:val="1"/>
                <w:color w:val="auto"/>
              </w:rPr>
            </w:pPr>
          </w:p>
        </w:tc>
      </w:tr>
      <w:tr>
        <w:trPr>
          <w:trHeight w:val="164"/>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Revenues(a)</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8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60" w:type="dxa"/>
            <w:vAlign w:val="bottom"/>
          </w:tcPr>
          <w:p>
            <w:pPr>
              <w:spacing w:after="0"/>
              <w:rPr>
                <w:sz w:val="14"/>
                <w:szCs w:val="14"/>
                <w:color w:val="auto"/>
              </w:rPr>
            </w:pPr>
          </w:p>
        </w:tc>
        <w:tc>
          <w:tcPr>
            <w:tcW w:w="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Operations(c)</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6"/>
        </w:trPr>
        <w:tc>
          <w:tcPr>
            <w:tcW w:w="2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Collection and Disposal: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East Tier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West Tier . . . . . . . . . . . . . . . .</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Other Ancillary  . . . . . . . . . . .</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40" w:type="dxa"/>
            <w:vAlign w:val="bottom"/>
            <w:gridSpan w:val="2"/>
          </w:tcPr>
          <w:p>
            <w:pPr>
              <w:jc w:val="right"/>
              <w:ind w:right="940"/>
              <w:spacing w:after="0" w:line="128" w:lineRule="exact"/>
              <w:rPr>
                <w:sz w:val="20"/>
                <w:szCs w:val="20"/>
                <w:color w:val="auto"/>
              </w:rPr>
            </w:pPr>
            <w:r>
              <w:rPr>
                <w:rFonts w:ascii="Times New Roman" w:cs="Times New Roman" w:eastAsia="Times New Roman" w:hAnsi="Times New Roman"/>
                <w:sz w:val="13"/>
                <w:szCs w:val="13"/>
                <w:color w:val="auto"/>
              </w:rPr>
              <w:t>Collection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Disposal(e)(f)(g) . . . . . . . . .</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24,207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Recycling Processing 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Sales(e)  . . . . . . . . . . . . . . . . . . .</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Renewable Energy(f) . . . . . . . . . . .</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Healthcare Solutions(g)(h) . . . . . . .</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4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Corporate and Other(f) . . . . . . . . . .</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3"/>
          </w:tcPr>
          <w:p>
            <w:pPr>
              <w:jc w:val="right"/>
              <w:ind w:right="115"/>
              <w:spacing w:after="0" w:line="140" w:lineRule="exact"/>
              <w:rPr>
                <w:sz w:val="20"/>
                <w:szCs w:val="20"/>
                <w:color w:val="auto"/>
              </w:rPr>
            </w:pPr>
            <w:r>
              <w:rPr>
                <w:rFonts w:ascii="Times New Roman" w:cs="Times New Roman" w:eastAsia="Times New Roman" w:hAnsi="Times New Roman"/>
                <w:sz w:val="13"/>
                <w:szCs w:val="13"/>
                <w:color w:val="auto"/>
              </w:rPr>
              <w:t>. . . . . . . . . . . . . . . . . . .Total</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22,063</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4,874</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26,937</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18,236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3"/>
          </w:tcPr>
          <w:p>
            <w:pPr>
              <w:jc w:val="right"/>
              <w:spacing w:after="0" w:line="140" w:lineRule="exact"/>
              <w:rPr>
                <w:sz w:val="20"/>
                <w:szCs w:val="20"/>
                <w:color w:val="auto"/>
              </w:rPr>
            </w:pPr>
            <w:r>
              <w:rPr>
                <w:rFonts w:ascii="Times New Roman" w:cs="Times New Roman" w:eastAsia="Times New Roman" w:hAnsi="Times New Roman"/>
                <w:sz w:val="13"/>
                <w:szCs w:val="13"/>
                <w:color w:val="auto"/>
              </w:rPr>
              <w:t>2,285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2,267</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4,063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3,328</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Intercompany Elimination(a) . . . . . .</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(4,874)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(4,853)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3"/>
          </w:tcPr>
          <w:p>
            <w:pPr>
              <w:jc w:val="right"/>
              <w:ind w:right="115"/>
              <w:spacing w:after="0" w:line="142" w:lineRule="exact"/>
              <w:rPr>
                <w:sz w:val="20"/>
                <w:szCs w:val="20"/>
                <w:color w:val="auto"/>
              </w:rPr>
            </w:pPr>
            <w:r>
              <w:rPr>
                <w:rFonts w:ascii="Times New Roman" w:cs="Times New Roman" w:eastAsia="Times New Roman" w:hAnsi="Times New Roman"/>
                <w:sz w:val="13"/>
                <w:szCs w:val="13"/>
                <w:color w:val="auto"/>
              </w:rPr>
              <w:t>. . . . . . . . . . . . . . . . . . . . . . .Net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22,063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13,383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2,267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Intercompany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General, 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Depletion and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from</w:t>
            </w:r>
          </w:p>
        </w:tc>
        <w:tc>
          <w:tcPr>
            <w:tcW w:w="8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Expenditures</w:t>
            </w:r>
          </w:p>
        </w:tc>
        <w:tc>
          <w:tcPr>
            <w:tcW w:w="0" w:type="dxa"/>
            <w:vAlign w:val="bottom"/>
          </w:tcPr>
          <w:p>
            <w:pPr>
              <w:spacing w:after="0"/>
              <w:rPr>
                <w:sz w:val="1"/>
                <w:szCs w:val="1"/>
                <w:color w:val="auto"/>
              </w:rPr>
            </w:pPr>
          </w:p>
        </w:tc>
      </w:tr>
      <w:tr>
        <w:trPr>
          <w:trHeight w:val="166"/>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Revenues(a)</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8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60" w:type="dxa"/>
            <w:vAlign w:val="bottom"/>
          </w:tcPr>
          <w:p>
            <w:pPr>
              <w:spacing w:after="0"/>
              <w:rPr>
                <w:sz w:val="14"/>
                <w:szCs w:val="14"/>
                <w:color w:val="auto"/>
              </w:rPr>
            </w:pPr>
          </w:p>
        </w:tc>
        <w:tc>
          <w:tcPr>
            <w:tcW w:w="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Operations(c)</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5"/>
        </w:trPr>
        <w:tc>
          <w:tcPr>
            <w:tcW w:w="21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Collection and Disposal: . . . . . . . . .</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East Tier . . . . . . . . . . . . . . .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West Tier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Other Ancillary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40" w:type="dxa"/>
            <w:vAlign w:val="bottom"/>
            <w:gridSpan w:val="2"/>
          </w:tcPr>
          <w:p>
            <w:pPr>
              <w:jc w:val="right"/>
              <w:ind w:right="1040"/>
              <w:spacing w:after="0" w:line="128" w:lineRule="exact"/>
              <w:rPr>
                <w:sz w:val="20"/>
                <w:szCs w:val="20"/>
                <w:color w:val="auto"/>
              </w:rPr>
            </w:pPr>
            <w:r>
              <w:rPr>
                <w:rFonts w:ascii="Times New Roman" w:cs="Times New Roman" w:eastAsia="Times New Roman" w:hAnsi="Times New Roman"/>
                <w:sz w:val="13"/>
                <w:szCs w:val="13"/>
                <w:color w:val="auto"/>
              </w:rPr>
              <w:t>Collection and</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Disposal(e)(f)(g)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23,141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Recycling Processing and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Sales(e)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Renewable Energy(f)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Corporate and Other(f)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 . . . . . . . . . . . . . . . . . .Total</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20,426</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4,613</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25,039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17,204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gridSpan w:val="3"/>
          </w:tcPr>
          <w:p>
            <w:pPr>
              <w:jc w:val="right"/>
              <w:spacing w:after="0" w:line="140" w:lineRule="exact"/>
              <w:rPr>
                <w:sz w:val="20"/>
                <w:szCs w:val="20"/>
                <w:color w:val="auto"/>
              </w:rPr>
            </w:pPr>
            <w:r>
              <w:rPr>
                <w:rFonts w:ascii="Times New Roman" w:cs="Times New Roman" w:eastAsia="Times New Roman" w:hAnsi="Times New Roman"/>
                <w:sz w:val="13"/>
                <w:szCs w:val="13"/>
                <w:color w:val="auto"/>
              </w:rPr>
              <w:t>1,941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248</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2,071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3,575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2,838</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Intercompany Elimination(a) . . . . . .</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gridSpan w:val="3"/>
          </w:tcPr>
          <w:p>
            <w:pPr>
              <w:jc w:val="right"/>
              <w:ind w:right="182"/>
              <w:spacing w:after="0" w:line="142" w:lineRule="exact"/>
              <w:rPr>
                <w:sz w:val="20"/>
                <w:szCs w:val="20"/>
                <w:color w:val="auto"/>
              </w:rPr>
            </w:pPr>
            <w:r>
              <w:rPr>
                <w:rFonts w:ascii="Times New Roman" w:cs="Times New Roman" w:eastAsia="Times New Roman" w:hAnsi="Times New Roman"/>
                <w:sz w:val="13"/>
                <w:szCs w:val="13"/>
                <w:color w:val="auto"/>
              </w:rPr>
              <w:t>. . . . . . . . . . . . . . . . . . . . . . .Net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20,426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12,606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2,071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45" w:lineRule="exact"/>
        <w:rPr>
          <w:rFonts w:ascii="Times New Roman" w:cs="Times New Roman" w:eastAsia="Times New Roman" w:hAnsi="Times New Roman"/>
          <w:sz w:val="20"/>
          <w:szCs w:val="20"/>
          <w:color w:val="auto"/>
        </w:rPr>
      </w:pPr>
    </w:p>
    <w:p>
      <w:pPr>
        <w:ind w:left="360" w:hanging="353"/>
        <w:spacing w:after="0" w:line="278" w:lineRule="auto"/>
        <w:tabs>
          <w:tab w:leader="none" w:pos="3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expenses include restructuring expenses, (gain) loss from divestitures, and asset impairments and unusual items, net.</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9720"/>
          </w:cols>
          <w:pgMar w:left="1080" w:top="1059" w:right="1080" w:bottom="543"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hanging="353"/>
        <w:spacing w:after="0" w:line="278" w:lineRule="auto"/>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those items included in the determination of income from operations, the accounting policies of the segments are the same as those described in Note 2.</w:t>
      </w:r>
    </w:p>
    <w:p>
      <w:pPr>
        <w:spacing w:after="0" w:line="47" w:lineRule="exact"/>
        <w:rPr>
          <w:rFonts w:ascii="Times New Roman" w:cs="Times New Roman" w:eastAsia="Times New Roman" w:hAnsi="Times New Roman"/>
          <w:sz w:val="20"/>
          <w:szCs w:val="20"/>
          <w:color w:val="auto"/>
        </w:rPr>
      </w:pPr>
    </w:p>
    <w:p>
      <w:pPr>
        <w:jc w:val="both"/>
        <w:ind w:left="360" w:hanging="353"/>
        <w:spacing w:after="0" w:line="270" w:lineRule="auto"/>
        <w:tabs>
          <w:tab w:leader="none" w:pos="36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56" w:lineRule="exact"/>
        <w:rPr>
          <w:rFonts w:ascii="Times New Roman" w:cs="Times New Roman" w:eastAsia="Times New Roman" w:hAnsi="Times New Roman"/>
          <w:sz w:val="19"/>
          <w:szCs w:val="19"/>
          <w:color w:val="auto"/>
        </w:rPr>
      </w:pPr>
    </w:p>
    <w:p>
      <w:pPr>
        <w:jc w:val="both"/>
        <w:ind w:left="360" w:hanging="352"/>
        <w:spacing w:after="0" w:line="259" w:lineRule="auto"/>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fees related to the processing of recyclable material we collect are included within our Collection and Disposal businesses. The amounts in income from operations for the years ended December 31, 2025, 2024 and 2023 are $75 million, $100 million and $61 million, respectively.</w:t>
      </w:r>
    </w:p>
    <w:p>
      <w:pPr>
        <w:spacing w:after="0" w:line="65" w:lineRule="exact"/>
        <w:rPr>
          <w:rFonts w:ascii="Times New Roman" w:cs="Times New Roman" w:eastAsia="Times New Roman" w:hAnsi="Times New Roman"/>
          <w:sz w:val="20"/>
          <w:szCs w:val="20"/>
          <w:color w:val="auto"/>
        </w:rPr>
      </w:pPr>
    </w:p>
    <w:p>
      <w:pPr>
        <w:jc w:val="both"/>
        <w:ind w:left="360" w:hanging="352"/>
        <w:spacing w:after="0" w:line="252" w:lineRule="auto"/>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Renewable Energy for the years ended December 31, 2025, 2024 and 2023 are $72 million, $48 million and $41 million, respectively.</w:t>
      </w:r>
    </w:p>
    <w:p>
      <w:pPr>
        <w:spacing w:after="0" w:line="74" w:lineRule="exact"/>
        <w:rPr>
          <w:rFonts w:ascii="Times New Roman" w:cs="Times New Roman" w:eastAsia="Times New Roman" w:hAnsi="Times New Roman"/>
          <w:sz w:val="20"/>
          <w:szCs w:val="20"/>
          <w:color w:val="auto"/>
        </w:rPr>
      </w:pPr>
    </w:p>
    <w:p>
      <w:pPr>
        <w:jc w:val="both"/>
        <w:ind w:left="360" w:hanging="352"/>
        <w:spacing w:after="0" w:line="252" w:lineRule="auto"/>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Collection and Disposal business records intercompany operating revenue for collection and disposal services provided to Healthcare Solutions. The total amount of intercompany operating revenues reflected in our Collection and Disposal businesses and in operating expenses for Healthcare Solutions for the years ended December 31, 2025 and 2024, are $55 million and $8 million, respectively.</w:t>
      </w:r>
    </w:p>
    <w:p>
      <w:pPr>
        <w:spacing w:after="0" w:line="73" w:lineRule="exact"/>
        <w:rPr>
          <w:rFonts w:ascii="Times New Roman" w:cs="Times New Roman" w:eastAsia="Times New Roman" w:hAnsi="Times New Roman"/>
          <w:sz w:val="20"/>
          <w:szCs w:val="20"/>
          <w:color w:val="auto"/>
        </w:rPr>
      </w:pPr>
    </w:p>
    <w:p>
      <w:pPr>
        <w:jc w:val="both"/>
        <w:ind w:left="360" w:hanging="352"/>
        <w:spacing w:after="0" w:line="246" w:lineRule="auto"/>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years ended December 31, 2025 and 2024 activity were made to properly reflect intra-segment activity for both periods. Intra-segment operating revenues and operating expenses within Healthcare Solutions for the years ended December 31, 2025 and 2024 are $425 million and $58 million, respectively.</w:t>
      </w:r>
    </w:p>
    <w:p>
      <w:pPr>
        <w:spacing w:after="0" w:line="80"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assets by reportable segment as of December 31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vMerge w:val="restart"/>
          </w:tcPr>
          <w:p>
            <w:pPr>
              <w:jc w:val="right"/>
              <w:ind w:right="5580"/>
              <w:spacing w:after="0"/>
              <w:rPr>
                <w:sz w:val="20"/>
                <w:szCs w:val="20"/>
                <w:color w:val="auto"/>
              </w:rPr>
            </w:pPr>
            <w:r>
              <w:rPr>
                <w:rFonts w:ascii="Times New Roman" w:cs="Times New Roman" w:eastAsia="Times New Roman" w:hAnsi="Times New Roman"/>
                <w:sz w:val="20"/>
                <w:szCs w:val="20"/>
                <w:color w:val="auto"/>
                <w:w w:val="99"/>
              </w:rPr>
              <w:t>Collection and Disposal:</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East Tier . . . . . . . . . . . .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16,099</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15,328</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West Tier . . . . . .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11,786</w:t>
            </w:r>
          </w:p>
        </w:tc>
        <w:tc>
          <w:tcPr>
            <w:tcW w:w="0" w:type="dxa"/>
            <w:vAlign w:val="bottom"/>
          </w:tcPr>
          <w:p>
            <w:pPr>
              <w:spacing w:after="0"/>
              <w:rPr>
                <w:sz w:val="1"/>
                <w:szCs w:val="1"/>
                <w:color w:val="auto"/>
              </w:rPr>
            </w:pPr>
          </w:p>
        </w:tc>
      </w:tr>
      <w:tr>
        <w:trPr>
          <w:trHeight w:val="251"/>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Other Ancillary . . .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0" w:type="dxa"/>
            <w:vAlign w:val="bottom"/>
          </w:tcPr>
          <w:p>
            <w:pPr>
              <w:spacing w:after="0"/>
              <w:rPr>
                <w:sz w:val="1"/>
                <w:szCs w:val="1"/>
                <w:color w:val="auto"/>
              </w:rPr>
            </w:pPr>
          </w:p>
        </w:tc>
      </w:tr>
      <w:tr>
        <w:trPr>
          <w:trHeight w:val="202"/>
        </w:trPr>
        <w:tc>
          <w:tcPr>
            <w:tcW w:w="7660" w:type="dxa"/>
            <w:vAlign w:val="bottom"/>
          </w:tcPr>
          <w:p>
            <w:pPr>
              <w:jc w:val="right"/>
              <w:ind w:right="22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 . . . . . . .CollectionandDisposal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29,145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27,893</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Recycling Processing and Sales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w:t>
            </w:r>
          </w:p>
        </w:tc>
        <w:tc>
          <w:tcPr>
            <w:tcW w:w="0" w:type="dxa"/>
            <w:vAlign w:val="bottom"/>
          </w:tcPr>
          <w:p>
            <w:pPr>
              <w:spacing w:after="0"/>
              <w:rPr>
                <w:sz w:val="1"/>
                <w:szCs w:val="1"/>
                <w:color w:val="auto"/>
              </w:rPr>
            </w:pPr>
          </w:p>
        </w:tc>
      </w:tr>
      <w:tr>
        <w:trPr>
          <w:trHeight w:val="232"/>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Renewable Energy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Healthcare Solutions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9,406</w:t>
            </w:r>
          </w:p>
        </w:tc>
        <w:tc>
          <w:tcPr>
            <w:tcW w:w="0" w:type="dxa"/>
            <w:vAlign w:val="bottom"/>
          </w:tcPr>
          <w:p>
            <w:pPr>
              <w:spacing w:after="0"/>
              <w:rPr>
                <w:sz w:val="1"/>
                <w:szCs w:val="1"/>
                <w:color w:val="auto"/>
              </w:rPr>
            </w:pPr>
          </w:p>
        </w:tc>
      </w:tr>
      <w:tr>
        <w:trPr>
          <w:trHeight w:val="232"/>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Corporate and Other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3,785</w:t>
            </w:r>
          </w:p>
        </w:tc>
        <w:tc>
          <w:tcPr>
            <w:tcW w:w="0" w:type="dxa"/>
            <w:vAlign w:val="bottom"/>
          </w:tcPr>
          <w:p>
            <w:pPr>
              <w:spacing w:after="0"/>
              <w:rPr>
                <w:sz w:val="1"/>
                <w:szCs w:val="1"/>
                <w:color w:val="auto"/>
              </w:rPr>
            </w:pPr>
          </w:p>
        </w:tc>
      </w:tr>
      <w:tr>
        <w:trPr>
          <w:trHeight w:val="25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Elimination of intercompany investments and advances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(894)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0" w:type="dxa"/>
            <w:vAlign w:val="bottom"/>
          </w:tcPr>
          <w:p>
            <w:pPr>
              <w:spacing w:after="0"/>
              <w:rPr>
                <w:sz w:val="1"/>
                <w:szCs w:val="1"/>
                <w:color w:val="auto"/>
              </w:rPr>
            </w:pPr>
          </w:p>
        </w:tc>
      </w:tr>
      <w:tr>
        <w:trPr>
          <w:trHeight w:val="231"/>
        </w:trPr>
        <w:tc>
          <w:tcPr>
            <w:tcW w:w="766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.Totalassets,perConsolidatedBalanceSheets</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45,835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9720"/>
          </w:cols>
          <w:pgMar w:left="1080" w:top="1059" w:right="1080" w:bottom="543"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The mix of operating revenues from our major lines of business for the year ended December 31 are as follows (in millions):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Years Ended December 31: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w:t>
      </w:r>
    </w:p>
    <w:p>
      <w:pPr>
        <w:spacing w:after="0" w:line="241" w:lineRule="auto"/>
        <w:rPr>
          <w:sz w:val="20"/>
          <w:szCs w:val="20"/>
          <w:color w:val="auto"/>
        </w:rPr>
      </w:pPr>
      <w:r>
        <w:rPr>
          <w:rFonts w:ascii="Times New Roman" w:cs="Times New Roman" w:eastAsia="Times New Roman" w:hAnsi="Times New Roman"/>
          <w:sz w:val="20"/>
          <w:szCs w:val="20"/>
          <w:color w:val="auto"/>
        </w:rPr>
        <w:t>Commercial . . . . . . . . . . . . . . . . . . . . . . . . . . . . . . . . . . . $ Industrial . . . . . . . . . . . . . . . . . . . . . . . . . . . . . . . . . . . . . Residential . . . . . . . . . . . . . . . . . . . . . . . . . . . . .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collection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 . . . . . . . . . . .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Landfill . . . . . . . . . .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 . . . . . .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and Disposal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Recycling Processing and Sales . . . . . . . . . . . . . . . . . . .</w:t>
      </w:r>
    </w:p>
    <w:p>
      <w:pPr>
        <w:spacing w:after="0"/>
        <w:rPr>
          <w:sz w:val="20"/>
          <w:szCs w:val="20"/>
          <w:color w:val="auto"/>
        </w:rPr>
      </w:pPr>
      <w:r>
        <w:rPr>
          <w:rFonts w:ascii="Times New Roman" w:cs="Times New Roman" w:eastAsia="Times New Roman" w:hAnsi="Times New Roman"/>
          <w:sz w:val="20"/>
          <w:szCs w:val="20"/>
          <w:color w:val="auto"/>
        </w:rPr>
        <w:t>Renewable Energy .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Healthcare Solutions . . . . . . . . . . . . . . . . . . . . . . . . . . . .</w:t>
      </w:r>
    </w:p>
    <w:p>
      <w:pPr>
        <w:spacing w:after="0"/>
        <w:rPr>
          <w:sz w:val="20"/>
          <w:szCs w:val="20"/>
          <w:color w:val="auto"/>
        </w:rPr>
      </w:pPr>
      <w:r>
        <w:rPr>
          <w:rFonts w:ascii="Times New Roman" w:cs="Times New Roman" w:eastAsia="Times New Roman" w:hAnsi="Times New Roman"/>
          <w:sz w:val="20"/>
          <w:szCs w:val="20"/>
          <w:color w:val="auto"/>
        </w:rPr>
        <w:t>Corporate and Other . . . . . . . . . . . . . . . . . . . . . . . . . . . .</w:t>
      </w:r>
    </w:p>
    <w:p>
      <w:pPr>
        <w:spacing w:after="0" w:line="9" w:lineRule="exact"/>
        <w:rPr>
          <w:sz w:val="20"/>
          <w:szCs w:val="20"/>
          <w:color w:val="auto"/>
        </w:rPr>
      </w:pPr>
    </w:p>
    <w:p>
      <w:pPr>
        <w:ind w:left="240"/>
        <w:spacing w:after="0"/>
        <w:tabs>
          <w:tab w:leader="none" w:pos="4600" w:val="left"/>
        </w:tabs>
        <w:rPr>
          <w:sz w:val="20"/>
          <w:szCs w:val="20"/>
          <w:color w:val="auto"/>
        </w:rPr>
      </w:pPr>
      <w:r>
        <w:rPr>
          <w:rFonts w:ascii="Times New Roman" w:cs="Times New Roman" w:eastAsia="Times New Roman" w:hAnsi="Times New Roman"/>
          <w:sz w:val="20"/>
          <w:szCs w:val="20"/>
          <w:color w:val="auto"/>
        </w:rPr>
        <w:t>Total . . . . . . . . . . . . . . . . . . . . . . . . . . . . . . . . . . . . . .</w:t>
        <w:tab/>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 . . . . . . . . . . . . . . . . . . . . . . . . . . . . . . . . . . $ Industrial . . . . . . . . . . . . . . . . . . . . . . . . . . . . . . . . . . . . . Residential . . . . . . . . . . . . . . . . . .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collection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 . . . . . . . . . . .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Landfill . . . . . . . . . .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 . . . . . .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and Disposal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Recycling Processing and Sales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Renewable Energy . . . . . . . . . . . . . . . . . . . . . . . . . . . . .</w:t>
      </w:r>
    </w:p>
    <w:p>
      <w:pPr>
        <w:spacing w:after="0"/>
        <w:rPr>
          <w:sz w:val="20"/>
          <w:szCs w:val="20"/>
          <w:color w:val="auto"/>
        </w:rPr>
      </w:pPr>
      <w:r>
        <w:rPr>
          <w:rFonts w:ascii="Times New Roman" w:cs="Times New Roman" w:eastAsia="Times New Roman" w:hAnsi="Times New Roman"/>
          <w:sz w:val="20"/>
          <w:szCs w:val="20"/>
          <w:color w:val="auto"/>
        </w:rPr>
        <w:t>Healthcare Solutions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and Other . . . . . . . . . . . . . . . . . . . . . . . . . . . .</w:t>
      </w:r>
    </w:p>
    <w:p>
      <w:pPr>
        <w:spacing w:after="0" w:line="9" w:lineRule="exact"/>
        <w:rPr>
          <w:sz w:val="20"/>
          <w:szCs w:val="20"/>
          <w:color w:val="auto"/>
        </w:rPr>
      </w:pPr>
    </w:p>
    <w:p>
      <w:pPr>
        <w:ind w:left="240"/>
        <w:spacing w:after="0"/>
        <w:tabs>
          <w:tab w:leader="none" w:pos="4600" w:val="left"/>
        </w:tabs>
        <w:rPr>
          <w:sz w:val="20"/>
          <w:szCs w:val="20"/>
          <w:color w:val="auto"/>
        </w:rPr>
      </w:pPr>
      <w:r>
        <w:rPr>
          <w:rFonts w:ascii="Times New Roman" w:cs="Times New Roman" w:eastAsia="Times New Roman" w:hAnsi="Times New Roman"/>
          <w:sz w:val="20"/>
          <w:szCs w:val="20"/>
          <w:color w:val="auto"/>
        </w:rPr>
        <w:t>Total . . . . . . . . . . . . . . . . . . . . . . . . . . . . . . . . . . . . . .</w:t>
        <w:tab/>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 . . . . . . . . . . . . . . . . . . . . . . . . . . . . . . . . . . $ Industrial . . . . . . . . . . . . . . . . . . . . . . . . . . . . . . . . . . . . . Residential . . . . . . . . . . . . . . . . . .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collection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 . . . . . . . . . . . . . . . . . . . . . . . . . . . .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Landfill . . . . . . . . . . . . . . . . . . . . . . . . . . . . . . . . . . . . . .</w:t>
      </w:r>
    </w:p>
    <w:p>
      <w:pPr>
        <w:spacing w:after="0"/>
        <w:rPr>
          <w:sz w:val="20"/>
          <w:szCs w:val="20"/>
          <w:color w:val="auto"/>
        </w:rPr>
      </w:pPr>
      <w:r>
        <w:rPr>
          <w:rFonts w:ascii="Times New Roman" w:cs="Times New Roman" w:eastAsia="Times New Roman" w:hAnsi="Times New Roman"/>
          <w:sz w:val="20"/>
          <w:szCs w:val="20"/>
          <w:color w:val="auto"/>
        </w:rPr>
        <w:t>Transfer . . . . . . . . . . . . . . . . . . . . . . . . . . . . . . . . . . . . . .</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Total Collection and Disposal . . . . . . . . . . . . . . . . .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Recycling Processing and Sales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Renewable Energy . . . . . . . . . . . . . . . . . . . . . . . . . . . . .</w:t>
      </w:r>
    </w:p>
    <w:p>
      <w:pPr>
        <w:spacing w:after="0"/>
        <w:rPr>
          <w:sz w:val="20"/>
          <w:szCs w:val="20"/>
          <w:color w:val="auto"/>
        </w:rPr>
      </w:pPr>
      <w:r>
        <w:rPr>
          <w:rFonts w:ascii="Times New Roman" w:cs="Times New Roman" w:eastAsia="Times New Roman" w:hAnsi="Times New Roman"/>
          <w:sz w:val="20"/>
          <w:szCs w:val="20"/>
          <w:color w:val="auto"/>
        </w:rPr>
        <w:t>Corporate and Other . . . . . . . . . . . . . . . . . . . . . . . . . . . .</w:t>
      </w:r>
    </w:p>
    <w:p>
      <w:pPr>
        <w:spacing w:after="0" w:line="9" w:lineRule="exact"/>
        <w:rPr>
          <w:sz w:val="20"/>
          <w:szCs w:val="20"/>
          <w:color w:val="auto"/>
        </w:rPr>
      </w:pPr>
    </w:p>
    <w:p>
      <w:pPr>
        <w:ind w:left="240"/>
        <w:spacing w:after="0"/>
        <w:tabs>
          <w:tab w:leader="none" w:pos="4600" w:val="left"/>
        </w:tabs>
        <w:rPr>
          <w:sz w:val="20"/>
          <w:szCs w:val="20"/>
          <w:color w:val="auto"/>
        </w:rPr>
      </w:pPr>
      <w:r>
        <w:rPr>
          <w:rFonts w:ascii="Times New Roman" w:cs="Times New Roman" w:eastAsia="Times New Roman" w:hAnsi="Times New Roman"/>
          <w:sz w:val="20"/>
          <w:szCs w:val="20"/>
          <w:color w:val="auto"/>
        </w:rPr>
        <w:t>Total . . . . . . . . . . . . . . . . . . . . . . . . . . . . . . . . . . . . . .</w:t>
        <w:tab/>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Intercompany</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185"/>
        </w:trPr>
        <w:tc>
          <w:tcPr>
            <w:tcW w:w="132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04"/>
        </w:trPr>
        <w:tc>
          <w:tcPr>
            <w:tcW w:w="132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Revenues(a)</w:t>
            </w:r>
          </w:p>
        </w:tc>
        <w:tc>
          <w:tcPr>
            <w:tcW w:w="20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-278130</wp:posOffset>
                </wp:positionH>
                <wp:positionV relativeFrom="paragraph">
                  <wp:posOffset>-2540</wp:posOffset>
                </wp:positionV>
                <wp:extent cx="99123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0.1999pt" to="56.15pt,-0.1999pt" o:allowincell="f" strokecolor="#000000" strokeweight="0.4799pt"/>
            </w:pict>
          </mc:Fallback>
        </mc:AlternateContent>
      </w: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5,630</w:t>
            </w:r>
          </w:p>
        </w:tc>
        <w:tc>
          <w:tcPr>
            <w:tcW w:w="580" w:type="dxa"/>
            <w:vAlign w:val="bottom"/>
            <w:gridSpan w:val="2"/>
          </w:tcPr>
          <w:p>
            <w:pPr>
              <w:jc w:val="right"/>
              <w:ind w:right="395"/>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3,106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3,989</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3,510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3,597</w:t>
            </w:r>
          </w:p>
        </w:tc>
      </w:tr>
      <w:tr>
        <w:trPr>
          <w:trHeight w:val="25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3,175</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3,463</w:t>
            </w:r>
          </w:p>
        </w:tc>
      </w:tr>
      <w:tr>
        <w:trPr>
          <w:trHeight w:val="202"/>
        </w:trPr>
        <w:tc>
          <w:tcPr>
            <w:tcW w:w="80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w w:val="94"/>
              </w:rPr>
              <w:t>15,421</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17,569</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3,781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w:t>
            </w:r>
          </w:p>
        </w:tc>
      </w:tr>
      <w:tr>
        <w:trPr>
          <w:trHeight w:val="25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1,502</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2,629</w:t>
            </w:r>
          </w:p>
        </w:tc>
      </w:tr>
      <w:tr>
        <w:trPr>
          <w:trHeight w:val="202"/>
        </w:trPr>
        <w:tc>
          <w:tcPr>
            <w:tcW w:w="80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w w:val="94"/>
              </w:rPr>
              <w:t>20,704</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4,841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25,545</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1,492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478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2,508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r>
      <w:tr>
        <w:trPr>
          <w:trHeight w:val="251"/>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8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4"/>
              </w:rPr>
              <w:t>25,204</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5,691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jc w:val="right"/>
              <w:ind w:right="3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30,895</w:t>
            </w:r>
          </w:p>
        </w:tc>
      </w:tr>
      <w:tr>
        <w:trPr>
          <w:trHeight w:val="674"/>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5,371</w:t>
            </w:r>
          </w:p>
        </w:tc>
        <w:tc>
          <w:tcPr>
            <w:tcW w:w="580" w:type="dxa"/>
            <w:vAlign w:val="bottom"/>
            <w:gridSpan w:val="2"/>
          </w:tcPr>
          <w:p>
            <w:pPr>
              <w:jc w:val="right"/>
              <w:ind w:right="395"/>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6,169</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3,089</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3,466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w:t>
            </w:r>
          </w:p>
        </w:tc>
      </w:tr>
      <w:tr>
        <w:trPr>
          <w:trHeight w:val="251"/>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2,964</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3,194</w:t>
            </w:r>
          </w:p>
        </w:tc>
      </w:tr>
      <w:tr>
        <w:trPr>
          <w:trHeight w:val="201"/>
        </w:trPr>
        <w:tc>
          <w:tcPr>
            <w:tcW w:w="800" w:type="dxa"/>
            <w:vAlign w:val="bottom"/>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w w:val="94"/>
              </w:rPr>
              <w:t>14,890</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16,801</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3,445</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4,958</w:t>
            </w:r>
          </w:p>
        </w:tc>
      </w:tr>
      <w:tr>
        <w:trPr>
          <w:trHeight w:val="25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1,381</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2,448</w:t>
            </w:r>
          </w:p>
        </w:tc>
      </w:tr>
      <w:tr>
        <w:trPr>
          <w:trHeight w:val="202"/>
        </w:trPr>
        <w:tc>
          <w:tcPr>
            <w:tcW w:w="80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w w:val="94"/>
              </w:rPr>
              <w:t>19,716</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4,491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24,207</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1,603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318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r>
      <w:tr>
        <w:trPr>
          <w:trHeight w:val="25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8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4"/>
              </w:rPr>
              <w:t>22,063</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4,874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jc w:val="right"/>
              <w:ind w:right="3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26,937</w:t>
            </w:r>
          </w:p>
        </w:tc>
      </w:tr>
      <w:tr>
        <w:trPr>
          <w:trHeight w:val="674"/>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5,109</w:t>
            </w:r>
          </w:p>
        </w:tc>
        <w:tc>
          <w:tcPr>
            <w:tcW w:w="580" w:type="dxa"/>
            <w:vAlign w:val="bottom"/>
            <w:gridSpan w:val="2"/>
          </w:tcPr>
          <w:p>
            <w:pPr>
              <w:jc w:val="right"/>
              <w:ind w:right="395"/>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3,083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3,378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r>
      <w:tr>
        <w:trPr>
          <w:trHeight w:val="251"/>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2,786</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3,006</w:t>
            </w:r>
          </w:p>
        </w:tc>
      </w:tr>
      <w:tr>
        <w:trPr>
          <w:trHeight w:val="202"/>
        </w:trPr>
        <w:tc>
          <w:tcPr>
            <w:tcW w:w="800" w:type="dxa"/>
            <w:vAlign w:val="bottom"/>
          </w:tcPr>
          <w:p>
            <w:pPr>
              <w:jc w:val="right"/>
              <w:ind w:right="160"/>
              <w:spacing w:after="0" w:line="202" w:lineRule="exact"/>
              <w:rPr>
                <w:sz w:val="20"/>
                <w:szCs w:val="20"/>
                <w:color w:val="auto"/>
              </w:rPr>
            </w:pPr>
            <w:r>
              <w:rPr>
                <w:rFonts w:ascii="Times New Roman" w:cs="Times New Roman" w:eastAsia="Times New Roman" w:hAnsi="Times New Roman"/>
                <w:sz w:val="20"/>
                <w:szCs w:val="20"/>
                <w:color w:val="auto"/>
                <w:w w:val="94"/>
              </w:rPr>
              <w:t>14,356</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16,117</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3,252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w:t>
            </w:r>
          </w:p>
        </w:tc>
      </w:tr>
      <w:tr>
        <w:trPr>
          <w:trHeight w:val="251"/>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1,257</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w:t>
            </w:r>
          </w:p>
        </w:tc>
      </w:tr>
      <w:tr>
        <w:trPr>
          <w:trHeight w:val="201"/>
        </w:trPr>
        <w:tc>
          <w:tcPr>
            <w:tcW w:w="800" w:type="dxa"/>
            <w:vAlign w:val="bottom"/>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w w:val="94"/>
              </w:rPr>
              <w:t>18,865</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23,141</w:t>
            </w:r>
          </w:p>
        </w:tc>
      </w:tr>
      <w:tr>
        <w:trPr>
          <w:trHeight w:val="232"/>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1,264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1,576</w:t>
            </w:r>
          </w:p>
        </w:tc>
      </w:tr>
      <w:tr>
        <w:trPr>
          <w:trHeight w:val="230"/>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273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r>
      <w:tr>
        <w:trPr>
          <w:trHeight w:val="251"/>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1"/>
        </w:trPr>
        <w:tc>
          <w:tcPr>
            <w:tcW w:w="80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94"/>
              </w:rPr>
              <w:t>20,426</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4,613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25,039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-278130</wp:posOffset>
                </wp:positionH>
                <wp:positionV relativeFrom="paragraph">
                  <wp:posOffset>-5685155</wp:posOffset>
                </wp:positionV>
                <wp:extent cx="99123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447.6499pt" to="56.15pt,-447.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-5238115</wp:posOffset>
                </wp:positionV>
                <wp:extent cx="99123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412.4499pt" to="56.15pt,-412.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-4498340</wp:posOffset>
                </wp:positionV>
                <wp:extent cx="99123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354.1999pt" to="56.15pt,-354.1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-4345305</wp:posOffset>
                </wp:positionV>
                <wp:extent cx="99123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342.1499pt" to="56.15pt,-342.1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-4333240</wp:posOffset>
                </wp:positionV>
                <wp:extent cx="99123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341.1999pt" to="56.15pt,-341.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-3446145</wp:posOffset>
                </wp:positionV>
                <wp:extent cx="99123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271.3499pt" to="56.15pt,-271.3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-3000375</wp:posOffset>
                </wp:positionV>
                <wp:extent cx="99123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236.2499pt" to="56.15pt,-236.2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-2260600</wp:posOffset>
                </wp:positionV>
                <wp:extent cx="99123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178pt" to="56.15pt,-17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-2107565</wp:posOffset>
                </wp:positionV>
                <wp:extent cx="99123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165.9499pt" to="56.15pt,-165.9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-2094865</wp:posOffset>
                </wp:positionV>
                <wp:extent cx="99123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164.9499pt" to="56.15pt,-164.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-1208405</wp:posOffset>
                </wp:positionV>
                <wp:extent cx="99123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95.1499pt" to="56.15pt,-95.1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-762000</wp:posOffset>
                </wp:positionV>
                <wp:extent cx="99123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60pt" to="56.15pt,-60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-278130</wp:posOffset>
                </wp:positionH>
                <wp:positionV relativeFrom="paragraph">
                  <wp:posOffset>-168910</wp:posOffset>
                </wp:positionV>
                <wp:extent cx="99123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999pt,-13.2999pt" to="56.15pt,-13.2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-287655</wp:posOffset>
                </wp:positionH>
                <wp:positionV relativeFrom="paragraph">
                  <wp:posOffset>-2540</wp:posOffset>
                </wp:positionV>
                <wp:extent cx="100076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499pt,-0.1999pt" to="56.15pt,-0.1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-287655</wp:posOffset>
                </wp:positionH>
                <wp:positionV relativeFrom="paragraph">
                  <wp:posOffset>-14605</wp:posOffset>
                </wp:positionV>
                <wp:extent cx="100076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499pt,-1.1499pt" to="56.15pt,-1.1499pt" o:allowincell="f" strokecolor="#000000" strokeweight="0.4799pt"/>
            </w:pict>
          </mc:Fallback>
        </mc:AlternateContent>
      </w:r>
    </w:p>
    <w:p>
      <w:pPr>
        <w:spacing w:after="0" w:line="200" w:lineRule="exact"/>
        <w:rPr>
          <w:sz w:val="20"/>
          <w:szCs w:val="20"/>
          <w:color w:val="auto"/>
        </w:rPr>
      </w:pPr>
    </w:p>
    <w:p>
      <w:pPr>
        <w:sectPr>
          <w:pgSz w:w="11880" w:h="15480" w:orient="portrait"/>
          <w:cols w:equalWidth="0" w:num="2">
            <w:col w:w="4720" w:space="340"/>
            <w:col w:w="4660"/>
          </w:cols>
          <w:pgMar w:left="1080" w:top="1059" w:right="1080" w:bottom="543"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9720"/>
          </w:cols>
          <w:pgMar w:left="1080" w:top="1059" w:right="1080" w:bottom="543"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720" w:hanging="353"/>
        <w:spacing w:after="0" w:line="259" w:lineRule="auto"/>
        <w:tabs>
          <w:tab w:leader="none" w:pos="7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12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3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operating revenues relating to operations for the year ended December 31 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20" w:type="dxa"/>
            <w:vAlign w:val="bottom"/>
            <w:vMerge w:val="restart"/>
          </w:tcPr>
          <w:p>
            <w:pPr>
              <w:jc w:val="right"/>
              <w:ind w:right="6400"/>
              <w:spacing w:after="0"/>
              <w:rPr>
                <w:sz w:val="20"/>
                <w:szCs w:val="20"/>
                <w:color w:val="auto"/>
              </w:rPr>
            </w:pPr>
            <w:r>
              <w:rPr>
                <w:rFonts w:ascii="Times New Roman" w:cs="Times New Roman" w:eastAsia="Times New Roman" w:hAnsi="Times New Roman"/>
                <w:sz w:val="20"/>
                <w:szCs w:val="20"/>
                <w:color w:val="auto"/>
                <w:w w:val="98"/>
              </w:rPr>
              <w:t>U.S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vMerge w:val="continue"/>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 .</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23,911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21,107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19,595</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Canada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0" w:type="dxa"/>
            <w:vAlign w:val="bottom"/>
          </w:tcPr>
          <w:p>
            <w:pPr>
              <w:spacing w:after="0"/>
              <w:rPr>
                <w:sz w:val="1"/>
                <w:szCs w:val="1"/>
                <w:color w:val="auto"/>
              </w:rPr>
            </w:pPr>
          </w:p>
        </w:tc>
      </w:tr>
      <w:tr>
        <w:trPr>
          <w:trHeight w:val="251"/>
        </w:trPr>
        <w:tc>
          <w:tcPr>
            <w:tcW w:w="68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Western Europe(a)(b)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1"/>
        </w:trPr>
        <w:tc>
          <w:tcPr>
            <w:tcW w:w="682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25,204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22,063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and 2024 primarily relates to the impact of operations from the U.K., Ireland, Belgium, France, Germany, Luxembourg, and the Netherlands as a result of the November 2024 Stericycle acquisition.</w:t>
      </w:r>
    </w:p>
    <w:p>
      <w:pPr>
        <w:spacing w:after="0" w:line="147"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2023 primarily relates to an acquired smaller recycling-related operations in the Netherlands.</w:t>
      </w:r>
    </w:p>
    <w:p>
      <w:pPr>
        <w:spacing w:after="0" w:line="220"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Property and equipment, net of accumulated depreciation and depletion, relating to operations as of December 31 are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00" w:type="dxa"/>
            <w:vAlign w:val="bottom"/>
            <w:vMerge w:val="restart"/>
          </w:tcPr>
          <w:p>
            <w:pPr>
              <w:jc w:val="right"/>
              <w:ind w:right="7280"/>
              <w:spacing w:after="0"/>
              <w:rPr>
                <w:sz w:val="20"/>
                <w:szCs w:val="20"/>
                <w:color w:val="auto"/>
              </w:rPr>
            </w:pPr>
            <w:r>
              <w:rPr>
                <w:rFonts w:ascii="Times New Roman" w:cs="Times New Roman" w:eastAsia="Times New Roman" w:hAnsi="Times New Roman"/>
                <w:sz w:val="20"/>
                <w:szCs w:val="20"/>
                <w:color w:val="auto"/>
                <w:w w:val="98"/>
              </w:rPr>
              <w:t>U.S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7700" w:type="dxa"/>
            <w:vAlign w:val="bottom"/>
            <w:vMerge w:val="continue"/>
          </w:tcPr>
          <w:p>
            <w:pPr>
              <w:jc w:val="right"/>
              <w:ind w:right="180"/>
              <w:spacing w:after="0" w:line="178"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18,809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17,995</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Canada . . . . . . . . . .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w:t>
            </w:r>
          </w:p>
        </w:tc>
        <w:tc>
          <w:tcPr>
            <w:tcW w:w="0" w:type="dxa"/>
            <w:vAlign w:val="bottom"/>
          </w:tcPr>
          <w:p>
            <w:pPr>
              <w:spacing w:after="0"/>
              <w:rPr>
                <w:sz w:val="1"/>
                <w:szCs w:val="1"/>
                <w:color w:val="auto"/>
              </w:rPr>
            </w:pPr>
          </w:p>
        </w:tc>
      </w:tr>
      <w:tr>
        <w:trPr>
          <w:trHeight w:val="251"/>
        </w:trPr>
        <w:tc>
          <w:tcPr>
            <w:tcW w:w="7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Western Europe and other(a)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31"/>
        </w:trPr>
        <w:tc>
          <w:tcPr>
            <w:tcW w:w="770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20,378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121285</wp:posOffset>
                </wp:positionV>
                <wp:extent cx="154178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55pt" to="121.65pt,9.55pt" o:allowincell="f" strokecolor="#000000" strokeweight="1.02pt"/>
            </w:pict>
          </mc:Fallback>
        </mc:AlternateContent>
      </w:r>
    </w:p>
    <w:p>
      <w:pPr>
        <w:spacing w:after="0" w:line="213" w:lineRule="exact"/>
        <w:rPr>
          <w:sz w:val="20"/>
          <w:szCs w:val="20"/>
          <w:color w:val="auto"/>
        </w:rPr>
      </w:pPr>
    </w:p>
    <w:p>
      <w:pPr>
        <w:ind w:left="360" w:hanging="353"/>
        <w:spacing w:after="0" w:line="278" w:lineRule="auto"/>
        <w:tabs>
          <w:tab w:leader="none" w:pos="3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and 2024 asset balances primarily relate to Healthcare Solutions’ operations in the U.K., Ireland, Belgium, France, Germany, Luxembourg, and the Netherlands.</w:t>
      </w:r>
    </w:p>
    <w:p>
      <w:pPr>
        <w:sectPr>
          <w:pgSz w:w="11880" w:h="15480" w:orient="portrait"/>
          <w:cols w:equalWidth="0" w:num="1">
            <w:col w:w="9720"/>
          </w:cols>
          <w:pgMar w:left="1080" w:top="1059"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9720"/>
          </w:cols>
          <w:pgMar w:left="1080" w:top="1059" w:right="1080" w:bottom="543" w:gutter="0" w:footer="0" w:header="0"/>
          <w:type w:val="continuous"/>
        </w:sectPr>
      </w:pPr>
    </w:p>
    <w:bookmarkStart w:id="218" w:name="page219"/>
    <w:bookmarkEnd w:id="218"/>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Effectiveness of Disclosure Controls and Procedures</w:t>
      </w:r>
    </w:p>
    <w:p>
      <w:pPr>
        <w:spacing w:after="0" w:line="24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2025 (the end of the period covered by this Annual Report on Form 10-K) at a reasonable assurance level.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202" w:lineRule="exact"/>
        <w:rPr>
          <w:sz w:val="20"/>
          <w:szCs w:val="20"/>
          <w:color w:val="auto"/>
        </w:rPr>
      </w:pPr>
    </w:p>
    <w:p>
      <w:pPr>
        <w:ind w:left="720" w:hanging="353"/>
        <w:spacing w:after="0" w:line="278" w:lineRule="auto"/>
        <w:tabs>
          <w:tab w:leader="none" w:pos="7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66" w:lineRule="exact"/>
        <w:rPr>
          <w:rFonts w:ascii="Times New Roman" w:cs="Times New Roman" w:eastAsia="Times New Roman" w:hAnsi="Times New Roman"/>
          <w:sz w:val="20"/>
          <w:szCs w:val="20"/>
          <w:color w:val="auto"/>
        </w:rPr>
      </w:pPr>
    </w:p>
    <w:p>
      <w:pPr>
        <w:jc w:val="both"/>
        <w:ind w:left="720" w:hanging="353"/>
        <w:spacing w:after="0" w:line="252" w:lineRule="auto"/>
        <w:tabs>
          <w:tab w:leader="none" w:pos="7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4" w:lineRule="exact"/>
        <w:rPr>
          <w:rFonts w:ascii="Times New Roman" w:cs="Times New Roman" w:eastAsia="Times New Roman" w:hAnsi="Times New Roman"/>
          <w:sz w:val="20"/>
          <w:szCs w:val="20"/>
          <w:color w:val="auto"/>
        </w:rPr>
      </w:pPr>
    </w:p>
    <w:p>
      <w:pPr>
        <w:ind w:left="720" w:hanging="353"/>
        <w:spacing w:after="0" w:line="278" w:lineRule="auto"/>
        <w:tabs>
          <w:tab w:leader="none" w:pos="7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Management of the Company assessed the effectiveness of our internal control over financial reporting as of December 31, 2025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2025.</w:t>
      </w:r>
    </w:p>
    <w:p>
      <w:pPr>
        <w:spacing w:after="0" w:line="19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9720"/>
          </w:cols>
          <w:pgMar w:left="1080" w:top="1063" w:right="1080" w:bottom="542"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Management, together with our CEO and CFO, evaluated the changes in our internal control over financial reporting during the quarter ended December 31, 2025. During this period, we completed the integration of the internal control over financial reporting of Stericycle, which we acquired in November 2024 and is now referred to herein as our Healthcare Solutions business, with the Company’s overall internal control over financial reporting process. Other than this integration, management determined that there were no changes in our internal control over financial reporting during the quarter ended December 31, 2025 that have materially affected, or are reasonably likely to materially affect, our internal control over financial reporting.</w:t>
      </w:r>
    </w:p>
    <w:p>
      <w:pPr>
        <w:spacing w:after="0" w:line="19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i w:val="1"/>
          <w:i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243"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On November 17, 2025, Donald J. Smith, Senior Vice President – Operations, adopted a stock trading plan (the “Smith Plan”) intended to satisfy the affirmative defense of Rule 10b5-1(c) under the Exchange Act. The Smith Plan will commence on February 17, 2026, and will automatically terminate on the earlier of February 17, 2027, and the completion of all the contemplated transactions set forth therein. The Smith Plan provides for (i) the potential cashless exercise and sale of up to 4,842 stock options, pursuant to which shares of our common stock will be withheld or sold to cover the option exercise price, tax obligations, commission and fees; and (ii) the potential sale of all net after-tax shares of our common stock received from the payout of performance share unit (“PSU”) equity compensation awards for the performance period ended December 31, 2025. Each of the contemplated transactions will occur upon our common stock reaching specified market prices. Mr. Smith received a target grant of 10,526 PSU awards with a performance period ended December 31, 2025; the number of shares to be paid out to Mr. Smith on account of these PSU awards can range from zero to 200% of the initial target grant. As a result, the number of shares of common stock to potentially be sold pursuant to the Smith Plan will be determined in the first quarter of 2026 based on certification by the Management Development and Compensation Committee of the Board of Directors of the Company’s achievement relative to applicable performance measures for the underlying PSU awards.</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 November 30, 2025, Tara J. Hemmer, Senior Vice President and Chief Sustainability Officer, adopted a stock trading plan (the “Hemmer Plan”) intended to satisfy the affirmative defense of Rule 10b5-1(c) under the Exchange Act. The Hemmer Plan will commence on March 2, 2026, and will automatically terminate on the earlier of May 29, 2026, and the completion of all the contemplated transactions set forth therein. The Hemmer Plan provides for the potential sale of up to 66% of net after-tax shares of our common stock received from the payout of PSU equity compensation awards, for the performance period ended December 31, 2025, upon our common stock reaching specified market prices. Ms. Hemmer received a target grant of 9,474 PSU awards with a performance period ended December 31, 2025; the number of shares to be paid out to Ms. Hemmer on account of these PSU awards can range from zero to 200% of the initial target grant. As a result, as described above in connection with the Smith Plan, the number of shares of common stock to potentially be sold pursuant to the Hemmer Plan will be determined in the first quarter of 2026.</w:t>
      </w:r>
    </w:p>
    <w:p>
      <w:pPr>
        <w:spacing w:after="0" w:line="20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On November 30, 2025, Michael J. Watson, Senior Vice President and Chief Customer Officer, adopted a stock trading plan (the “Watson Plan”) intended to satisfy the affirmative defense of Rule 10b5-1(c) under the Exchange Act. The Watson Plan will commence on March 2, 2026, and will automatically terminate on the earlier of February 26, 2027, and the completion of all the contemplated transactions set forth therein. The Watson Plan provides for (i) the potential cashless exercise and sale of up to 12,642 stock options, pursuant to which shares of our common stock will be withheld or sold to cover the option exercise price, tax obligations, commission and fees; and (ii) the potential sale of all net after-tax shares of our common stock received from the payout of PSU equity compensation awards for the performance period ended December 31, 2025. Each of the contemplated transactions will occur upon our common stock reaching specified market prices. Mr. Watson received a target grant of 7,474 PSU awards with a performance period ended December 31, 2025; the number of shares to be paid out to Mr. Watson on account of these PSU awards can range from zero to 200% of the initial target grant. As a result, as described above in connection with the Smith Plan, the number of shares of common stock to potentially be sold pursuant to the Watson Plan will be determined in the first quarter of 2026.</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9720"/>
          </w:cols>
          <w:pgMar w:left="1080" w:top="1063" w:right="1080" w:bottom="542" w:gutter="0" w:footer="0" w:header="0"/>
          <w:type w:val="continuous"/>
        </w:sectPr>
      </w:pPr>
    </w:p>
    <w:bookmarkStart w:id="220" w:name="page221"/>
    <w:bookmarkEnd w:id="220"/>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December 4, 2025, John J. Morris, Jr., President and Chief Operating Officer, adopted a stock trading plan (the “Morris Plan”) intended to satisfy the affirmative defense of Rule 10b5-1(c) under the Exchange Act. The Morris Plan will commence on March 6, 2026, and will automatically terminate on the earlier of February 2, 2027, and the completion of all the contemplated transactions set forth therein. The Morris Plan provides for (i) the potential cashless exercise of up to 5,484 stock options, pursuant to which shares of our common stock will be withheld or sold to cover the option exercise price, tax obligations, commission and fees, and Mr. Morris will then receive all remaining shares of common stock after the settlement; and (ii) the potential sale of up to 75% of net after-tax shares of our common stock received from the payout of PSU equity compensation awards for the performance period ended December 31, 2025. Each of the contemplated transactions will occur upon our common stock reaching specified market prices. Mr. Morris received a target grant of 14,210 PSU awards with a performance period ended December 31, 2025; the number of shares to be paid out to Mr. Morris on account of these PSU awards can range from zero to 200% of the initial target grant. As a result, as described above in connection with the Smith Plan, the number of shares of common stock to potentially be sold pursuant to the Morris Plan will be determined in the first quarter of 2026.</w:t>
      </w:r>
    </w:p>
    <w:p>
      <w:pPr>
        <w:spacing w:after="0" w:line="20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r>
        <w:rPr>
          <w:rFonts w:ascii="Times New Roman" w:cs="Times New Roman" w:eastAsia="Times New Roman" w:hAnsi="Times New Roman"/>
          <w:sz w:val="19"/>
          <w:szCs w:val="19"/>
          <w:b w:val="1"/>
          <w:bCs w:val="1"/>
          <w:color w:val="auto"/>
        </w:rPr>
        <w:t>.</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24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adopted a code of ethics that applies to our CEO, President and COO, CFO and Chief Accounting Officer, as well as other officers, directors and employees of the Company. The code of ethics, entitled “Code of Conduct,” is available online at investors.wm.com in the tab “Sustainability &amp; Governance — Corporate Governance” (investors.wm.com/sustainability-governance/governance). We intend to post any amendments to the Code of Conduct that apply to our officers and directors, and any required disclosure of waivers from the Code of Conduct, to the “Sustainability &amp; Governance — Corporate Governance” tab at investors.wm.com.</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 of Company securities by directors, officers, employees, contractors and consultants providing services to the Company, as well as by the Company itself, that we believe is reasonably designed to promote compliance with insider trading laws, rules and regulations and New York Stock Exchange listing standards. The foregoing summary of the Insider Trading Policy does not purport to be complete and is qualified in its entirety by reference to the full text of the Insider Trading Policy filed as Exhibit 19.1 to this Annual Report.</w:t>
      </w:r>
    </w:p>
    <w:p>
      <w:pPr>
        <w:spacing w:after="0" w:line="20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All other information required by this Item will be included in the Company’s definitive proxy statement for its 2026 Annual Meeting of Stockholders (the “2026 Proxy Statement”) to be filed with SEC within 120 days of the end of our fiscal year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4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4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43"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9720"/>
          </w:cols>
          <w:pgMar w:left="1080" w:top="1066" w:right="1080" w:bottom="542"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Accounting Fees and Services.</w:t>
      </w:r>
    </w:p>
    <w:p>
      <w:pPr>
        <w:spacing w:after="0" w:line="24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Financial Statement Schedules.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(1) Consolidated Financial Statements:</w:t>
      </w:r>
    </w:p>
    <w:p>
      <w:pPr>
        <w:spacing w:after="0" w:line="239" w:lineRule="exact"/>
        <w:rPr>
          <w:sz w:val="20"/>
          <w:szCs w:val="20"/>
          <w:color w:val="auto"/>
        </w:rPr>
      </w:pPr>
    </w:p>
    <w:p>
      <w:pPr>
        <w:ind w:left="360" w:right="4180"/>
        <w:spacing w:after="0" w:line="255" w:lineRule="auto"/>
        <w:rPr>
          <w:sz w:val="20"/>
          <w:szCs w:val="20"/>
          <w:color w:val="auto"/>
        </w:rPr>
      </w:pPr>
      <w:r>
        <w:rPr>
          <w:rFonts w:ascii="Times New Roman" w:cs="Times New Roman" w:eastAsia="Times New Roman" w:hAnsi="Times New Roman"/>
          <w:sz w:val="20"/>
          <w:szCs w:val="20"/>
          <w:color w:val="auto"/>
        </w:rPr>
        <w:t>Reports of Independent Registered Public Accounting Firm Consolidated Balance Sheets as of December 31, 2025 and 2024</w:t>
      </w:r>
    </w:p>
    <w:p>
      <w:pPr>
        <w:ind w:left="360" w:right="700"/>
        <w:spacing w:after="0" w:line="242" w:lineRule="auto"/>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 Consolidated Statements of Comprehensive Income for the years ended December 31, 2025, 2024 and 2023 Consolidated Statements of Cash Flows for the years ended December 31, 2025, 2024 and 2023 Consolidated Statements of Changes in Equity for the years ended December 31, 2025, 2024 and 2023 Notes to Consolidated Financial Statements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(2) Consolidated Financial Statement Schedules:</w:t>
      </w:r>
    </w:p>
    <w:p>
      <w:pPr>
        <w:spacing w:after="0" w:line="24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All schedules have been omitted because the required information is not significant or is included in the financial statements or notes thereto, or is not applicable.</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(3) Exhibits:</w:t>
      </w:r>
    </w:p>
    <w:p>
      <w:pPr>
        <w:spacing w:after="0" w:line="241"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866140</wp:posOffset>
                </wp:positionH>
                <wp:positionV relativeFrom="paragraph">
                  <wp:posOffset>14605</wp:posOffset>
                </wp:positionV>
                <wp:extent cx="530098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09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2pt,1.15pt" to="485.6pt,1.15pt" o:allowincell="f" strokecolor="#000000" strokeweight="0.48pt"/>
            </w:pict>
          </mc:Fallback>
        </mc:AlternateContent>
      </w:r>
    </w:p>
    <w:p>
      <w:pPr>
        <w:spacing w:after="0" w:line="16"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 Fourth Restated Certificate of Incorporation of Waste Management, Inc. [incorporated by reference to Exhibit 3.2 to Form 8-K dated May 14, 2024].</w:t>
      </w:r>
    </w:p>
    <w:p>
      <w:pPr>
        <w:spacing w:after="0" w:line="1"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 Amended and Restated By- laws of Waste Management, Inc. [incorporated by reference to Exhibit 3.2 to Form 8-K dated November 6, 2023].</w:t>
      </w:r>
    </w:p>
    <w:p>
      <w:pPr>
        <w:spacing w:after="0" w:line="1"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 Specimen Stock Certificate [incorporated by reference to Exhibit 4.1 to Form 10-K for the year ended December 31, 1998].</w:t>
      </w:r>
    </w:p>
    <w:p>
      <w:pPr>
        <w:spacing w:after="0" w:line="2"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 Third Restated Certificate of Incorporation of Waste Management Holdings, Inc. [incorporated by reference to Exhibit 4.2 to Form 10-K for the year ended December 31, 2014].</w:t>
      </w:r>
    </w:p>
    <w:p>
      <w:pPr>
        <w:spacing w:after="0" w:line="2"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 Amended and Restated By-laws of Waste Management Holdings, Inc. [incorporated by reference to Exhibit 4.3 to Form 10-Q for the quarter ended June 30, 2014].</w:t>
      </w:r>
    </w:p>
    <w:p>
      <w:pPr>
        <w:spacing w:after="0" w:line="1"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Indenture for Subordinated Debt Securities dated February 1, 1997, among the Registrant and The Bank of New York Mellon Trust Company, N.A. (the current successor to Texas Commerce Bank National Association), as trustee [incorporated by reference to Exhibit 4.1 to Form 8-K dated February 7, 1997].</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 Indenture for Senior Debt Securities dated September 10, 1997, among the Registrant and The Bank of New York Mellon Trust Company, N.A. (the current successor to Texas Commerce Bank National Association), as trustee [incorporated by reference to Exhibit 4.1 to Form 8-K dated September 10, 1997].</w:t>
      </w: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 Description of Waste Management, Inc.’s Common Stock [incorporated by reference to Exhibit 4.6 to Form 10-K for the year ended December 31, 2024].</w:t>
      </w:r>
    </w:p>
    <w:p>
      <w:pPr>
        <w:spacing w:after="0" w:line="2"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 Schedule of Officers’ Certificates delivered pursuant to Section 301 of the Indenture dated September 10, 1997 establishing the terms and form of Waste Management, Inc.’s Senior Notes. Waste Management and its subsidiaries are parties to debt instruments that have not been filed with the SEC under which the total amount of securities authorized under any single instrument does not exceed 10% of the total assets of Waste Management and its subsidiaries on a consolidated basis. Pursuant to paragraph 4(iii)(A) of Item 601(b) of Regulation S-K, Waste Management agrees to furnish a copy of such instruments to the SEC upon request.</w:t>
      </w:r>
    </w:p>
    <w:p>
      <w:pPr>
        <w:spacing w:after="0" w:line="6" w:lineRule="exact"/>
        <w:rPr>
          <w:sz w:val="20"/>
          <w:szCs w:val="20"/>
          <w:color w:val="auto"/>
        </w:rPr>
      </w:pPr>
    </w:p>
    <w:p>
      <w:pPr>
        <w:jc w:val="both"/>
        <w:ind w:left="1000" w:hanging="1356"/>
        <w:spacing w:after="0" w:line="244" w:lineRule="auto"/>
        <w:tabs>
          <w:tab w:leader="none" w:pos="9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 Officers’ Certificate delivered pursuant to Section 301 of the Indenture dated September 10, 1997 establishing the terms and form of the 4.500% Senior Notes due 2028 [incorporated by reference to Exhibit 4.8 to Form 10-K for the year ended December 31, 2024].</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9720"/>
          </w:cols>
          <w:pgMar w:left="1080" w:top="1063" w:right="1080" w:bottom="542" w:gutter="0" w:footer="0" w:header="0"/>
          <w:type w:val="continuous"/>
        </w:sectPr>
      </w:pPr>
    </w:p>
    <w:bookmarkStart w:id="222" w:name="page223"/>
    <w:bookmarkEnd w:id="222"/>
    <w:p>
      <w:pPr>
        <w:jc w:val="both"/>
        <w:ind w:left="1000" w:hanging="1356"/>
        <w:spacing w:after="0" w:line="249" w:lineRule="auto"/>
        <w:tabs>
          <w:tab w:leader="none" w:pos="98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 Guarantee Agreement by Waste Management Holdings, Inc. in favor of The Bank of New York Mellon Trust Company, N.A., as Trustee for the holders of the 4.500% Senior Notes due 2028 [incorporated by reference to Exhibit 4.13 to Form 10-K for the year ended December 31, 2024].</w:t>
      </w:r>
    </w:p>
    <w:p>
      <w:pPr>
        <w:spacing w:after="0" w:line="2" w:lineRule="exact"/>
        <w:rPr>
          <w:sz w:val="20"/>
          <w:szCs w:val="20"/>
          <w:color w:val="auto"/>
        </w:rPr>
      </w:pP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w:t>
        <w:tab/>
        <w:t>2023 Stock Incentive Plan [incorporated by reference to Exhibit 10.1 to Form 8-K dated May 9, 2023].</w:t>
      </w: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w:t>
        <w:tab/>
        <w:t>2014 Stock Incentive Plan [incorporated by reference to Exhibit 10.1 to Form 8-K dated May 13, 2014].</w:t>
      </w: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 First Amendment to 2014 Stock Incentive Plan [incorporated by reference to Exhibit 10.2 to Form 8-K dated May 12, 2020].</w:t>
      </w:r>
    </w:p>
    <w:p>
      <w:pPr>
        <w:spacing w:after="0" w:line="2"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 Second Amendment to 2014 Stock Incentive Plan [incorporated by reference to Exhibit 10.3 to Form 10-Q for the quarter ended June 30, 2022].</w:t>
      </w:r>
    </w:p>
    <w:p>
      <w:pPr>
        <w:spacing w:after="0" w:line="2" w:lineRule="exact"/>
        <w:rPr>
          <w:sz w:val="20"/>
          <w:szCs w:val="20"/>
          <w:color w:val="auto"/>
        </w:rPr>
      </w:pP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w:t>
        <w:tab/>
        <w:t>Waste Management, Inc. Employee Stock Purchase Plan (As Amended and Restated effective May 12,</w:t>
      </w:r>
    </w:p>
    <w:p>
      <w:pPr>
        <w:ind w:left="1360"/>
        <w:spacing w:after="0"/>
        <w:rPr>
          <w:sz w:val="20"/>
          <w:szCs w:val="20"/>
          <w:color w:val="auto"/>
        </w:rPr>
      </w:pPr>
      <w:r>
        <w:rPr>
          <w:rFonts w:ascii="Times New Roman" w:cs="Times New Roman" w:eastAsia="Times New Roman" w:hAnsi="Times New Roman"/>
          <w:sz w:val="20"/>
          <w:szCs w:val="20"/>
          <w:color w:val="auto"/>
        </w:rPr>
        <w:t>2020) [incorporated by reference to Exhibit 10.1 to Form 8-K dated May 12, 2020].</w:t>
      </w: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 First Amendment to the Waste Management, Inc. Employee Stock Purchase Plan [incorporated by reference to Exhibit 10.8 to Form 10-K for the year ended December 31, 2023].</w:t>
      </w:r>
    </w:p>
    <w:p>
      <w:pPr>
        <w:spacing w:after="0" w:line="2"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 Waste Management, Inc. 409A Deferral Savings Plan as Amended and Restated effective January 1, 2014 [incorporated by reference to Exhibit 10.2 to Form 10-Q for the quarter ended March 31, 2014].</w:t>
      </w:r>
    </w:p>
    <w:p>
      <w:pPr>
        <w:spacing w:after="0" w:line="2"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 $3.5 Billion Seventh Amended and Restated Revolving Credit Agreement dated as of May 8, 2024 by and among Waste Management, Inc., Waste Management of Canada Corporation, WM Quebec Inc. and Waste Management Holdings, Inc., certain banks party thereto, and Bank of America, N.A., as administrative agent [incorporated by reference to Exhibit 10.1 to Form 8-K dated May 8, 2024].</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 Amendment No. 1 to Seventh Amended and Restated Revolving Credit Agreement dated as of November 22, 2024 [incorporated by reference to Exhibit 10.10 to Form 10-K for the year ended December 31, 2024].</w:t>
      </w: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 Commercial Paper Dealer Agreement, substantially in the form as executed with each of Mizuho Securities USA LLC, BofA Securities, Inc., J.P. Morgan Securities LLC, MUFG Securities Americas Inc., Wells Fargo Securities, LLC, RBC Capital Markets, LLC, Siebert Williams Shank &amp; Co., LLC, and Barclays Capital Inc. as Dealer [incorporated by reference to Exhibit 10.11 to Form 10-K for the year ended December 31, 2016].</w:t>
      </w:r>
    </w:p>
    <w:p>
      <w:pPr>
        <w:spacing w:after="0" w:line="5"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 Commercial Paper Issuing and Paying Agent Agreement between Waste Management, Inc. and U.S. Bank Trust Company, National Association dated October 28, 2022. [incorporated by reference to Exhibit 10.11 to Form 10-K for the year ended December 31, 2022].</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 First Amended and Restated Employment Agreement between USA Waste-Management Resources, LLC and James C. Fish, Jr. dated December 22, 2017 [incorporated by reference to Exhibit 10.2 to Form 8-K dated December 22, 2017].</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 Compensation Relinquishment Agreement between USA Waste-Management Resources, LLC and James C. Fish, Jr. [incorporated by reference to Exhibit 10.14 to Form 10-K for the year ended December 31, 2023].</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 First Amendment to Compensation Relinquishment Agreement between USA Waste-Management Resources, LLC and James C. Fish, Jr. [incorporated by reference to Exhibit 10.15 to Form 10-K for the year ended December 31, 2023].</w:t>
      </w:r>
    </w:p>
    <w:p>
      <w:pPr>
        <w:jc w:val="both"/>
        <w:ind w:left="1000" w:hanging="1356"/>
        <w:spacing w:after="0" w:line="252" w:lineRule="auto"/>
        <w:tabs>
          <w:tab w:leader="none" w:pos="9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auto"/>
        </w:rPr>
        <w:t>— Employment Agreement between USA Waste-Management Resources, LLC and Devina A. Rankin dated December 22, 2017 [incorporated by reference to Exhibit 10.3 to Form 8-K dated December 22, 2017].</w:t>
      </w:r>
    </w:p>
    <w:p>
      <w:pPr>
        <w:spacing w:after="0" w:line="1" w:lineRule="exact"/>
        <w:rPr>
          <w:sz w:val="20"/>
          <w:szCs w:val="20"/>
          <w:color w:val="auto"/>
        </w:rPr>
      </w:pPr>
    </w:p>
    <w:p>
      <w:pPr>
        <w:jc w:val="both"/>
        <w:ind w:left="1000" w:hanging="1356"/>
        <w:spacing w:after="0" w:line="252" w:lineRule="auto"/>
        <w:tabs>
          <w:tab w:leader="none" w:pos="9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 First Amended and Restated Employment Agreement between USA Waste-Management Resources, LLC and John J. Morris, Jr. [incorporated by reference to Exhibit 10.4 to Form 8-K dated December 22, 2017].</w:t>
      </w:r>
    </w:p>
    <w:p>
      <w:pPr>
        <w:spacing w:after="0" w:line="1" w:lineRule="exact"/>
        <w:rPr>
          <w:sz w:val="20"/>
          <w:szCs w:val="20"/>
          <w:color w:val="auto"/>
        </w:rPr>
      </w:pP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 First Amendment to First Amended and Restated Employment Agreement between USA Waste-Management Resources, LLC and John J. Morris, Jr. [incorporated by reference to Exhibit 10.1 to Form 10-Q for the quarter ended June 30, 2025].</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 Employment Agreement between USA Waste-Management Resources, LLC and Charles C. Boettcher dated December 22, 2017 [incorporated by reference to Exhibit 10.23 to Form 10-K for the year ended December 31, 2017].</w:t>
      </w:r>
    </w:p>
    <w:p>
      <w:pPr>
        <w:jc w:val="both"/>
        <w:ind w:left="1000" w:hanging="1356"/>
        <w:spacing w:after="0"/>
        <w:tabs>
          <w:tab w:leader="none" w:pos="9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 Form of Director and Executive Officer Indemnity Agreement [incorporated by reference to Exhibit 10.43 to Form 10-K for the year ended December 31, 2012].</w:t>
      </w:r>
    </w:p>
    <w:p>
      <w:pPr>
        <w:spacing w:after="0" w:line="1" w:lineRule="exact"/>
        <w:rPr>
          <w:sz w:val="20"/>
          <w:szCs w:val="20"/>
          <w:color w:val="auto"/>
        </w:rPr>
      </w:pPr>
    </w:p>
    <w:p>
      <w:pPr>
        <w:jc w:val="both"/>
        <w:ind w:left="1000" w:hanging="1356"/>
        <w:spacing w:after="0" w:line="239" w:lineRule="auto"/>
        <w:tabs>
          <w:tab w:leader="none" w:pos="9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 Waste Management Holdings, Inc. Executive Severance Plan [incorporated by reference to Exhibit 10.1 to Form 8-K dated December 22, 2017].</w:t>
      </w:r>
    </w:p>
    <w:p>
      <w:pPr>
        <w:spacing w:after="0" w:line="2" w:lineRule="exact"/>
        <w:rPr>
          <w:sz w:val="20"/>
          <w:szCs w:val="20"/>
          <w:color w:val="auto"/>
        </w:rPr>
      </w:pPr>
    </w:p>
    <w:p>
      <w:pPr>
        <w:jc w:val="both"/>
        <w:ind w:left="1000" w:hanging="1356"/>
        <w:spacing w:after="0" w:line="249" w:lineRule="auto"/>
        <w:tabs>
          <w:tab w:leader="none" w:pos="9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 Form of 2022 Long Term Incentive Compensation Award Agreement for Senior Leadership Team [incorporated by reference to Exhibit 10.1 to Form 8-K dated March 1, 2022].</w:t>
      </w:r>
    </w:p>
    <w:p>
      <w:pPr>
        <w:sectPr>
          <w:pgSz w:w="11880" w:h="15480" w:orient="portrait"/>
          <w:cols w:equalWidth="0" w:num="1">
            <w:col w:w="9720"/>
          </w:cols>
          <w:pgMar w:left="1080" w:top="1066" w:right="1080" w:bottom="542"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880" w:h="15480" w:orient="portrait"/>
          <w:cols w:equalWidth="0" w:num="1">
            <w:col w:w="9720"/>
          </w:cols>
          <w:pgMar w:left="1080" w:top="1066" w:right="1080" w:bottom="542"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  Form of 2022 Long Term Incentive Compensation RSU Award Agreement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10.2 to Form 8-K dated March 1, 2022].</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2023 Long Term Incentive Compensation Award Agreement for Senior Leadership Team</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March 7, 2023].</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for Senior Leadership Team</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March 1, 2024].</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2024 Executive Officer Annual Incentive Award Agreement for Senior Leadership Team</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10.2 to Form 8-K dated March 1, 2024].</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for Leadership Tier (Chief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Accounting Officer) [incorporated by reference to Exhibit 10.3 to Form 10-Q for the quarter ended</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March 31, 2024].</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RSU Award (U.S.)(Three-Year</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Step Vest) [incorporated by reference to Exhibit 10.2 to Form 10-Q for the quarter ended September 30,</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2024].</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2025 Long Term Incentive Compensation PSU Award Agreement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10.1 to Form 8-K dated February 25, 2025].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2025 Long Term Incentive Compensation Stock Option Award Agreement [incorporated by</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 to Exhibit 10.2 to Form 8-K dated February 25, 2025].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2025 Executive Officer Annual Incentive Award Agreement [incorporated by reference to</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10.3 to Form 8-K dated February 25, 2025].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  Form of 2025 Long Term Incentive Compensation RSU Award Agreement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10.4 to Form 10-Q for the quarter ended March 31, 2025].</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Form of 2025 Long Term Incentive Compensation RSU Award Agreement for Tara Hemmer Retention</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Award [incorporated by reference to Exhibit 10.1 to Form 8-K dated August 21, 2025].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Insider Trading Policy [incorporated by reference to Exhibit 19.1 to Form 10-K for the year ended</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December 31, 2024].</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Subsidiaries of the Registrant.</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Guarantor Subsidiary.</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Consent of Independent Registered Public Accounting Firm.</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Certification Pursuant to Rules 13a-14(a) and 15d-14(a) under the Securities Exchange Act of 1934 of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James C. Fish, Jr., Chief Executive Officer.</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Certification Pursuant to Rules 13a-14(a) and 15d-14(a) under the Securities Exchange Act of 1934 of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David L. Reed, Executive Vice President and Chief Financial Officer.</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Certification Pursuant to 18 U.S.C. §1350 of James C. Fish, Jr., Chief Executive Officer.</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Pursuant to 18 U.S.C. §1350 of David L. Reed, Executive Vice President and Chief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95*</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Waste Management, Inc. Clawback Policy [incorporated by refence to Exhibit 97 to Form 10-K for the</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year ended December 31, 2023].</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w:t>
            </w:r>
          </w:p>
        </w:tc>
      </w:tr>
    </w:tbl>
    <w:p>
      <w:pPr>
        <w:spacing w:after="0"/>
        <w:tabs>
          <w:tab w:leader="none" w:pos="1340" w:val="left"/>
        </w:tabs>
        <w:rPr>
          <w:sz w:val="20"/>
          <w:szCs w:val="20"/>
          <w:color w:val="auto"/>
        </w:rPr>
      </w:pPr>
      <w:r>
        <w:rPr>
          <w:rFonts w:ascii="Times New Roman" w:cs="Times New Roman" w:eastAsia="Times New Roman" w:hAnsi="Times New Roman"/>
          <w:sz w:val="20"/>
          <w:szCs w:val="20"/>
          <w:color w:val="auto"/>
        </w:rPr>
        <w:t>101.SCH*  —</w:t>
        <w:tab/>
        <w:t>Inline XBRL Taxonomy Extension Schema.</w:t>
      </w:r>
    </w:p>
    <w:p>
      <w:pPr>
        <w:spacing w:after="0"/>
        <w:tabs>
          <w:tab w:leader="none" w:pos="1340" w:val="left"/>
        </w:tabs>
        <w:rPr>
          <w:sz w:val="20"/>
          <w:szCs w:val="20"/>
          <w:color w:val="auto"/>
        </w:rPr>
      </w:pPr>
      <w:r>
        <w:rPr>
          <w:rFonts w:ascii="Times New Roman" w:cs="Times New Roman" w:eastAsia="Times New Roman" w:hAnsi="Times New Roman"/>
          <w:sz w:val="20"/>
          <w:szCs w:val="20"/>
          <w:color w:val="auto"/>
        </w:rPr>
        <w:t>101.CAL*  —</w:t>
        <w:tab/>
        <w:t>Inline XBRL Taxonomy Extension Calculation.</w:t>
      </w:r>
    </w:p>
    <w:p>
      <w:pPr>
        <w:spacing w:after="0"/>
        <w:tabs>
          <w:tab w:leader="none" w:pos="1340" w:val="left"/>
        </w:tabs>
        <w:rPr>
          <w:sz w:val="20"/>
          <w:szCs w:val="20"/>
          <w:color w:val="auto"/>
        </w:rPr>
      </w:pPr>
      <w:r>
        <w:rPr>
          <w:rFonts w:ascii="Times New Roman" w:cs="Times New Roman" w:eastAsia="Times New Roman" w:hAnsi="Times New Roman"/>
          <w:sz w:val="20"/>
          <w:szCs w:val="20"/>
          <w:color w:val="auto"/>
        </w:rPr>
        <w:t>101.LAB*  —</w:t>
        <w:tab/>
        <w:t>Inline XBRL Taxonomy Extension Labels.</w:t>
      </w: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101.PRE*</w:t>
        <w:tab/>
        <w:t>—</w:t>
      </w:r>
      <w:r>
        <w:rPr>
          <w:sz w:val="20"/>
          <w:szCs w:val="20"/>
          <w:color w:val="auto"/>
        </w:rPr>
        <w:tab/>
      </w:r>
      <w:r>
        <w:rPr>
          <w:rFonts w:ascii="Times New Roman" w:cs="Times New Roman" w:eastAsia="Times New Roman" w:hAnsi="Times New Roman"/>
          <w:sz w:val="19"/>
          <w:szCs w:val="19"/>
          <w:color w:val="auto"/>
        </w:rPr>
        <w:t>Inline XBRL Taxonomy Extension Presentation.</w:t>
      </w: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101.DEF*</w:t>
        <w:tab/>
        <w:t>—</w:t>
        <w:tab/>
        <w:t>Inline XBRL Taxonomy Extension Definition.</w:t>
      </w:r>
    </w:p>
    <w:p>
      <w:pPr>
        <w:spacing w:after="0"/>
        <w:tabs>
          <w:tab w:leader="none" w:pos="980" w:val="left"/>
          <w:tab w:leader="none" w:pos="13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1540510"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92">
                      <a:extLst>
                        <a:ext uri="{28A0092B-C50C-407E-A947-70E740481C1C}"/>
                      </a:extLst>
                    </a:blip>
                    <a:srcRect/>
                    <a:stretch>
                      <a:fillRect/>
                    </a:stretch>
                  </pic:blipFill>
                  <pic:spPr bwMode="auto">
                    <a:xfrm>
                      <a:off x="0" y="0"/>
                      <a:ext cx="1540510" cy="12700"/>
                    </a:xfrm>
                    <a:prstGeom prst="rect">
                      <a:avLst/>
                    </a:prstGeom>
                    <a:noFill/>
                  </pic:spPr>
                </pic:pic>
              </a:graphicData>
            </a:graphic>
          </wp:anchor>
        </w:drawing>
      </w:r>
    </w:p>
    <w:p>
      <w:pPr>
        <w:spacing w:after="0" w:line="72" w:lineRule="exact"/>
        <w:rPr>
          <w:sz w:val="20"/>
          <w:szCs w:val="20"/>
          <w:color w:val="auto"/>
        </w:rPr>
      </w:pPr>
    </w:p>
    <w:p>
      <w:pPr>
        <w:ind w:left="360" w:hanging="353"/>
        <w:spacing w:after="0"/>
        <w:tabs>
          <w:tab w:leader="none" w:pos="36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ind w:left="360" w:hanging="353"/>
        <w:spacing w:after="0"/>
        <w:tabs>
          <w:tab w:leader="none" w:pos="3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1880" w:h="15480" w:orient="portrait"/>
          <w:cols w:equalWidth="0" w:num="1">
            <w:col w:w="9720"/>
          </w:cols>
          <w:pgMar w:left="1080" w:top="1066" w:right="1080" w:bottom="542" w:gutter="0" w:footer="0" w:header="0"/>
          <w:type w:val="continuous"/>
        </w:sectPr>
      </w:pPr>
    </w:p>
    <w:bookmarkStart w:id="224" w:name="page225"/>
    <w:bookmarkEnd w:id="22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WASTE MANAGEMENT, INC.</w:t>
      </w:r>
    </w:p>
    <w:p>
      <w:pPr>
        <w:spacing w:after="0" w:line="230" w:lineRule="exact"/>
        <w:rPr>
          <w:sz w:val="20"/>
          <w:szCs w:val="20"/>
          <w:color w:val="auto"/>
        </w:rPr>
      </w:pPr>
    </w:p>
    <w:tbl>
      <w:tblPr>
        <w:tblLayout w:type="fixed"/>
        <w:tblInd w:w="4960" w:type="dxa"/>
        <w:tblCellMar>
          <w:top w:w="0" w:type="dxa"/>
          <w:left w:w="0" w:type="dxa"/>
          <w:bottom w:w="0" w:type="dxa"/>
          <w:right w:w="0" w:type="dxa"/>
        </w:tblCellMar>
      </w:tblP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JAMES C. FISH, JR.</w:t>
            </w:r>
          </w:p>
        </w:tc>
      </w:tr>
      <w:tr>
        <w:trPr>
          <w:trHeight w:val="203"/>
        </w:trPr>
        <w:tc>
          <w:tcPr>
            <w:tcW w:w="360" w:type="dxa"/>
            <w:vAlign w:val="bottom"/>
          </w:tcPr>
          <w:p>
            <w:pPr>
              <w:spacing w:after="0"/>
              <w:rPr>
                <w:sz w:val="17"/>
                <w:szCs w:val="17"/>
                <w:color w:val="auto"/>
              </w:rPr>
            </w:pPr>
          </w:p>
        </w:tc>
        <w:tc>
          <w:tcPr>
            <w:tcW w:w="44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James C. Fish, Jr.</w:t>
            </w:r>
          </w:p>
        </w:tc>
      </w:tr>
      <w:tr>
        <w:trPr>
          <w:trHeight w:val="265"/>
        </w:trPr>
        <w:tc>
          <w:tcPr>
            <w:tcW w:w="360" w:type="dxa"/>
            <w:vAlign w:val="bottom"/>
          </w:tcPr>
          <w:p>
            <w:pPr>
              <w:spacing w:after="0"/>
              <w:rPr>
                <w:sz w:val="23"/>
                <w:szCs w:val="2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Executive Officer and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9, 2026</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center"/>
              <w:ind w:right="881"/>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20" w:type="dxa"/>
            <w:vAlign w:val="bottom"/>
          </w:tcPr>
          <w:p>
            <w:pPr>
              <w:spacing w:after="0"/>
              <w:rPr>
                <w:sz w:val="17"/>
                <w:szCs w:val="17"/>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449"/>
        </w:trPr>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36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20"/>
                <w:szCs w:val="20"/>
                <w:color w:val="auto"/>
                <w:w w:val="99"/>
              </w:rPr>
              <w:t>JAMES C. FISH, JR.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60" w:type="dxa"/>
            <w:vAlign w:val="bottom"/>
            <w:gridSpan w:val="2"/>
          </w:tcPr>
          <w:p>
            <w:pPr>
              <w:jc w:val="center"/>
              <w:ind w:right="661"/>
              <w:spacing w:after="0"/>
              <w:rPr>
                <w:sz w:val="20"/>
                <w:szCs w:val="20"/>
                <w:color w:val="auto"/>
              </w:rPr>
            </w:pPr>
            <w:r>
              <w:rPr>
                <w:rFonts w:ascii="Times New Roman" w:cs="Times New Roman" w:eastAsia="Times New Roman" w:hAnsi="Times New Roman"/>
                <w:sz w:val="20"/>
                <w:szCs w:val="20"/>
                <w:color w:val="auto"/>
                <w:w w:val="99"/>
              </w:rPr>
              <w:t>James C. Fish, Jr.</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4"/>
              </w:rPr>
              <w:t>/s/</w:t>
            </w:r>
          </w:p>
        </w:tc>
        <w:tc>
          <w:tcPr>
            <w:tcW w:w="236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DAVID L. REED</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Executive Vice President and</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199"/>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Pr>
          <w:p>
            <w:pPr>
              <w:jc w:val="center"/>
              <w:ind w:right="881"/>
              <w:spacing w:after="0" w:line="200" w:lineRule="exact"/>
              <w:rPr>
                <w:sz w:val="20"/>
                <w:szCs w:val="20"/>
                <w:color w:val="auto"/>
              </w:rPr>
            </w:pPr>
            <w:r>
              <w:rPr>
                <w:rFonts w:ascii="Times New Roman" w:cs="Times New Roman" w:eastAsia="Times New Roman" w:hAnsi="Times New Roman"/>
                <w:sz w:val="20"/>
                <w:szCs w:val="20"/>
                <w:color w:val="auto"/>
              </w:rPr>
              <w:t>David L. Reed</w:t>
            </w:r>
          </w:p>
        </w:tc>
        <w:tc>
          <w:tcPr>
            <w:tcW w:w="320" w:type="dxa"/>
            <w:vAlign w:val="bottom"/>
          </w:tcPr>
          <w:p>
            <w:pPr>
              <w:spacing w:after="0"/>
              <w:rPr>
                <w:sz w:val="17"/>
                <w:szCs w:val="17"/>
                <w:color w:val="auto"/>
              </w:rPr>
            </w:pPr>
          </w:p>
        </w:tc>
        <w:tc>
          <w:tcPr>
            <w:tcW w:w="4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Chief Financial Officer</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67"/>
        </w:trPr>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443"/>
        </w:trPr>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/s/</w:t>
            </w:r>
          </w:p>
        </w:tc>
        <w:tc>
          <w:tcPr>
            <w:tcW w:w="236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20"/>
                <w:szCs w:val="20"/>
                <w:color w:val="auto"/>
              </w:rPr>
              <w:t>JOHN CARROLL</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Vice President and Chief Accounting Officer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61"/>
              <w:spacing w:after="0"/>
              <w:rPr>
                <w:sz w:val="20"/>
                <w:szCs w:val="20"/>
                <w:color w:val="auto"/>
              </w:rPr>
            </w:pPr>
            <w:r>
              <w:rPr>
                <w:rFonts w:ascii="Times New Roman" w:cs="Times New Roman" w:eastAsia="Times New Roman" w:hAnsi="Times New Roman"/>
                <w:sz w:val="20"/>
                <w:szCs w:val="20"/>
                <w:color w:val="auto"/>
              </w:rPr>
              <w:t>John Carroll</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0"/>
                <w:szCs w:val="20"/>
                <w:color w:val="auto"/>
              </w:rPr>
              <w:t>/s/</w:t>
            </w:r>
          </w:p>
        </w:tc>
        <w:tc>
          <w:tcPr>
            <w:tcW w:w="236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THOMAS L. BENÉ</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61"/>
              <w:spacing w:after="0"/>
              <w:rPr>
                <w:sz w:val="20"/>
                <w:szCs w:val="20"/>
                <w:color w:val="auto"/>
              </w:rPr>
            </w:pPr>
            <w:r>
              <w:rPr>
                <w:rFonts w:ascii="Times New Roman" w:cs="Times New Roman" w:eastAsia="Times New Roman" w:hAnsi="Times New Roman"/>
                <w:sz w:val="20"/>
                <w:szCs w:val="20"/>
                <w:color w:val="auto"/>
                <w:w w:val="99"/>
              </w:rPr>
              <w:t>Thomas L. Bené</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rPr>
              <w:t>/s/</w:t>
            </w:r>
          </w:p>
        </w:tc>
        <w:tc>
          <w:tcPr>
            <w:tcW w:w="236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20"/>
                <w:szCs w:val="20"/>
                <w:color w:val="auto"/>
              </w:rPr>
              <w:t>BRUCE E. CHINN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61"/>
              <w:spacing w:after="0"/>
              <w:rPr>
                <w:sz w:val="20"/>
                <w:szCs w:val="20"/>
                <w:color w:val="auto"/>
              </w:rPr>
            </w:pPr>
            <w:r>
              <w:rPr>
                <w:rFonts w:ascii="Times New Roman" w:cs="Times New Roman" w:eastAsia="Times New Roman" w:hAnsi="Times New Roman"/>
                <w:sz w:val="20"/>
                <w:szCs w:val="20"/>
                <w:color w:val="auto"/>
              </w:rPr>
              <w:t>Bruce E. Chinn</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w w:val="84"/>
              </w:rPr>
              <w:t>/s/</w:t>
            </w:r>
          </w:p>
        </w:tc>
        <w:tc>
          <w:tcPr>
            <w:tcW w:w="2560" w:type="dxa"/>
            <w:vAlign w:val="bottom"/>
            <w:tcBorders>
              <w:bottom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20"/>
                <w:szCs w:val="20"/>
                <w:color w:val="auto"/>
              </w:rPr>
              <w:t>ANDRÉS R. GLUSKI</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61"/>
              <w:spacing w:after="0"/>
              <w:rPr>
                <w:sz w:val="20"/>
                <w:szCs w:val="20"/>
                <w:color w:val="auto"/>
              </w:rPr>
            </w:pPr>
            <w:r>
              <w:rPr>
                <w:rFonts w:ascii="Times New Roman" w:cs="Times New Roman" w:eastAsia="Times New Roman" w:hAnsi="Times New Roman"/>
                <w:sz w:val="20"/>
                <w:szCs w:val="20"/>
                <w:color w:val="auto"/>
              </w:rPr>
              <w:t>Andrés R. Gluski</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w w:val="84"/>
              </w:rPr>
              <w:t>/s/</w:t>
            </w:r>
          </w:p>
        </w:tc>
        <w:tc>
          <w:tcPr>
            <w:tcW w:w="2560" w:type="dxa"/>
            <w:vAlign w:val="bottom"/>
            <w:tcBorders>
              <w:bottom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20"/>
                <w:szCs w:val="20"/>
                <w:color w:val="auto"/>
              </w:rPr>
              <w:t>VICTORIA M. HOLT</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81"/>
              <w:spacing w:after="0"/>
              <w:rPr>
                <w:sz w:val="20"/>
                <w:szCs w:val="20"/>
                <w:color w:val="auto"/>
              </w:rPr>
            </w:pPr>
            <w:r>
              <w:rPr>
                <w:rFonts w:ascii="Times New Roman" w:cs="Times New Roman" w:eastAsia="Times New Roman" w:hAnsi="Times New Roman"/>
                <w:sz w:val="20"/>
                <w:szCs w:val="20"/>
                <w:color w:val="auto"/>
              </w:rPr>
              <w:t>Victoria M. Holt</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w:t>
            </w:r>
          </w:p>
        </w:tc>
        <w:tc>
          <w:tcPr>
            <w:tcW w:w="2880" w:type="dxa"/>
            <w:vAlign w:val="bottom"/>
            <w:tcBorders>
              <w:bottom w:val="single" w:sz="8" w:color="auto"/>
            </w:tcBorders>
            <w:gridSpan w:val="3"/>
          </w:tcPr>
          <w:p>
            <w:pPr>
              <w:jc w:val="center"/>
              <w:ind w:right="1"/>
              <w:spacing w:after="0"/>
              <w:rPr>
                <w:sz w:val="20"/>
                <w:szCs w:val="20"/>
                <w:color w:val="auto"/>
              </w:rPr>
            </w:pPr>
            <w:r>
              <w:rPr>
                <w:rFonts w:ascii="Times New Roman" w:cs="Times New Roman" w:eastAsia="Times New Roman" w:hAnsi="Times New Roman"/>
                <w:sz w:val="20"/>
                <w:szCs w:val="20"/>
                <w:color w:val="auto"/>
                <w:w w:val="99"/>
              </w:rPr>
              <w:t>KATHLEEN M. MAZZARELLA</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2880" w:type="dxa"/>
            <w:vAlign w:val="bottom"/>
            <w:gridSpan w:val="3"/>
          </w:tcPr>
          <w:p>
            <w:pPr>
              <w:jc w:val="center"/>
              <w:ind w:right="361"/>
              <w:spacing w:after="0"/>
              <w:rPr>
                <w:sz w:val="20"/>
                <w:szCs w:val="20"/>
                <w:color w:val="auto"/>
              </w:rPr>
            </w:pPr>
            <w:r>
              <w:rPr>
                <w:rFonts w:ascii="Times New Roman" w:cs="Times New Roman" w:eastAsia="Times New Roman" w:hAnsi="Times New Roman"/>
                <w:sz w:val="20"/>
                <w:szCs w:val="20"/>
                <w:color w:val="auto"/>
              </w:rPr>
              <w:t>Kathleen M. Mazzarella</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/s/</w:t>
            </w:r>
          </w:p>
        </w:tc>
        <w:tc>
          <w:tcPr>
            <w:tcW w:w="236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20"/>
                <w:szCs w:val="20"/>
                <w:color w:val="auto"/>
                <w:w w:val="99"/>
              </w:rPr>
              <w:t>SEAN E. MENKE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jc w:val="center"/>
              <w:ind w:right="881"/>
              <w:spacing w:after="0"/>
              <w:rPr>
                <w:sz w:val="20"/>
                <w:szCs w:val="20"/>
                <w:color w:val="auto"/>
              </w:rPr>
            </w:pPr>
            <w:r>
              <w:rPr>
                <w:rFonts w:ascii="Times New Roman" w:cs="Times New Roman" w:eastAsia="Times New Roman" w:hAnsi="Times New Roman"/>
                <w:sz w:val="20"/>
                <w:szCs w:val="20"/>
                <w:color w:val="auto"/>
              </w:rPr>
              <w:t>Sean E. Menke</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3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rPr>
              <w:t>/s/  WILLIAM B. PLUMMER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60" w:type="dxa"/>
            <w:vAlign w:val="bottom"/>
            <w:gridSpan w:val="2"/>
          </w:tcPr>
          <w:p>
            <w:pPr>
              <w:jc w:val="center"/>
              <w:ind w:right="661"/>
              <w:spacing w:after="0"/>
              <w:rPr>
                <w:sz w:val="20"/>
                <w:szCs w:val="20"/>
                <w:color w:val="auto"/>
              </w:rPr>
            </w:pPr>
            <w:r>
              <w:rPr>
                <w:rFonts w:ascii="Times New Roman" w:cs="Times New Roman" w:eastAsia="Times New Roman" w:hAnsi="Times New Roman"/>
                <w:sz w:val="20"/>
                <w:szCs w:val="20"/>
                <w:color w:val="auto"/>
              </w:rPr>
              <w:t>William B. Plummer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w:t>
            </w:r>
          </w:p>
        </w:tc>
        <w:tc>
          <w:tcPr>
            <w:tcW w:w="2880" w:type="dxa"/>
            <w:vAlign w:val="bottom"/>
            <w:tcBorders>
              <w:bottom w:val="single" w:sz="8" w:color="auto"/>
            </w:tcBorders>
            <w:gridSpan w:val="3"/>
          </w:tcPr>
          <w:p>
            <w:pPr>
              <w:jc w:val="center"/>
              <w:ind w:right="21"/>
              <w:spacing w:after="0"/>
              <w:rPr>
                <w:sz w:val="20"/>
                <w:szCs w:val="20"/>
                <w:color w:val="auto"/>
              </w:rPr>
            </w:pPr>
            <w:r>
              <w:rPr>
                <w:rFonts w:ascii="Times New Roman" w:cs="Times New Roman" w:eastAsia="Times New Roman" w:hAnsi="Times New Roman"/>
                <w:sz w:val="20"/>
                <w:szCs w:val="20"/>
                <w:color w:val="auto"/>
              </w:rPr>
              <w:t>MARYROSE T. SYLVESTER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9, 2026</w:t>
            </w:r>
          </w:p>
        </w:tc>
      </w:tr>
      <w:tr>
        <w:trPr>
          <w:trHeight w:val="256"/>
        </w:trPr>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60" w:type="dxa"/>
            <w:vAlign w:val="bottom"/>
            <w:gridSpan w:val="2"/>
          </w:tcPr>
          <w:p>
            <w:pPr>
              <w:jc w:val="center"/>
              <w:ind w:right="681"/>
              <w:spacing w:after="0"/>
              <w:rPr>
                <w:sz w:val="20"/>
                <w:szCs w:val="20"/>
                <w:color w:val="auto"/>
              </w:rPr>
            </w:pPr>
            <w:r>
              <w:rPr>
                <w:rFonts w:ascii="Times New Roman" w:cs="Times New Roman" w:eastAsia="Times New Roman" w:hAnsi="Times New Roman"/>
                <w:sz w:val="20"/>
                <w:szCs w:val="20"/>
                <w:color w:val="auto"/>
                <w:w w:val="99"/>
              </w:rPr>
              <w:t>Maryrose T. Sylvester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880" w:h="15480" w:orient="portrait"/>
          <w:cols w:equalWidth="0" w:num="1">
            <w:col w:w="9720"/>
          </w:cols>
          <w:pgMar w:left="1080" w:top="1063" w:right="1080" w:bottom="542" w:gutter="0" w:footer="0" w:header="0"/>
          <w:type w:val="continuous"/>
        </w:sectPr>
      </w:pPr>
    </w:p>
    <w:bookmarkStart w:id="225" w:name="page226"/>
    <w:bookmarkEnd w:id="22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26" w:name="page227"/>
    <w:bookmarkEnd w:id="226"/>
    <w:p>
      <w:pPr>
        <w:ind w:left="660"/>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863600</wp:posOffset>
            </wp:positionH>
            <wp:positionV relativeFrom="page">
              <wp:posOffset>786130</wp:posOffset>
            </wp:positionV>
            <wp:extent cx="5791200" cy="2806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93">
                      <a:extLst>
                        <a:ext uri="{28A0092B-C50C-407E-A947-70E740481C1C}"/>
                      </a:extLst>
                    </a:blip>
                    <a:srcRect/>
                    <a:stretch>
                      <a:fillRect/>
                    </a:stretch>
                  </pic:blipFill>
                  <pic:spPr bwMode="auto">
                    <a:xfrm>
                      <a:off x="0" y="0"/>
                      <a:ext cx="5791200" cy="280670"/>
                    </a:xfrm>
                    <a:prstGeom prst="rect">
                      <a:avLst/>
                    </a:prstGeom>
                    <a:noFill/>
                  </pic:spPr>
                </pic:pic>
              </a:graphicData>
            </a:graphic>
          </wp:anchor>
        </w:drawing>
        <w:t>Corporate Information</w:t>
      </w:r>
    </w:p>
    <w:p>
      <w:pPr>
        <w:sectPr>
          <w:pgSz w:w="11880" w:h="15480" w:orient="portrait"/>
          <w:cols w:equalWidth="0" w:num="1">
            <w:col w:w="9860"/>
          </w:cols>
          <w:pgMar w:left="1380" w:top="1283" w:right="6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L. BENÉ (C)</w:t>
      </w:r>
    </w:p>
    <w:p>
      <w:pPr>
        <w:spacing w:after="0" w:line="1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President and Chief Executive Officer Breakthru Beverage Group, LLC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BRUCE E. CHINN (A)</w:t>
      </w:r>
    </w:p>
    <w:p>
      <w:pPr>
        <w:spacing w:after="0" w:line="15"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Former President and Chief Executive Officer Chevron Phillips Chemical Company LLC</w:t>
      </w:r>
    </w:p>
    <w:p>
      <w:pPr>
        <w:spacing w:after="0" w:line="74" w:lineRule="exact"/>
        <w:rPr>
          <w:sz w:val="20"/>
          <w:szCs w:val="20"/>
          <w:color w:val="auto"/>
        </w:rPr>
      </w:pPr>
    </w:p>
    <w:p>
      <w:pPr>
        <w:ind w:right="1120"/>
        <w:spacing w:after="0" w:line="264" w:lineRule="auto"/>
        <w:rPr>
          <w:sz w:val="20"/>
          <w:szCs w:val="20"/>
          <w:color w:val="auto"/>
        </w:rPr>
      </w:pPr>
      <w:r>
        <w:rPr>
          <w:rFonts w:ascii="Arial" w:cs="Arial" w:eastAsia="Arial" w:hAnsi="Arial"/>
          <w:sz w:val="16"/>
          <w:szCs w:val="16"/>
          <w:b w:val="1"/>
          <w:bCs w:val="1"/>
          <w:color w:val="auto"/>
        </w:rPr>
        <w:t xml:space="preserve">JAMES C. FISH, JR. </w:t>
      </w:r>
      <w:r>
        <w:rPr>
          <w:rFonts w:ascii="Arial" w:cs="Arial" w:eastAsia="Arial" w:hAnsi="Arial"/>
          <w:sz w:val="16"/>
          <w:szCs w:val="16"/>
          <w:color w:val="auto"/>
        </w:rPr>
        <w:t>Chief Executive Officer Waste Management, Inc.</w:t>
      </w:r>
    </w:p>
    <w:p>
      <w:pPr>
        <w:spacing w:after="0" w:line="125"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b w:val="1"/>
          <w:bCs w:val="1"/>
          <w:color w:val="auto"/>
        </w:rPr>
        <w:t xml:space="preserve">ANDRÉS R. GLUSKI (A, C) </w:t>
      </w:r>
      <w:r>
        <w:rPr>
          <w:rFonts w:ascii="Arial" w:cs="Arial" w:eastAsia="Arial" w:hAnsi="Arial"/>
          <w:sz w:val="16"/>
          <w:szCs w:val="16"/>
          <w:color w:val="auto"/>
        </w:rPr>
        <w:t>President and Chief Executive Officer The AES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VICTORIA M. HOLT (A, 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Former President and Chief Executive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Officer Proto Labs, Inc.</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 xml:space="preserve">KATHLEEN M. MAZZARELLA (A, C, N) </w:t>
      </w:r>
      <w:r>
        <w:rPr>
          <w:rFonts w:ascii="Arial" w:cs="Arial" w:eastAsia="Arial" w:hAnsi="Arial"/>
          <w:sz w:val="16"/>
          <w:szCs w:val="16"/>
          <w:color w:val="auto"/>
        </w:rPr>
        <w:t>Non-Executive Chair of the Board Chairman, President and Chief Executive Officer Graybar Electric Company,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E. MENKE (A, 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Former Chief Executive Officer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Chairman Sabre Corporation</w:t>
      </w:r>
    </w:p>
    <w:p>
      <w:pPr>
        <w:spacing w:after="0" w:line="152" w:lineRule="exact"/>
        <w:rPr>
          <w:sz w:val="20"/>
          <w:szCs w:val="20"/>
          <w:color w:val="auto"/>
        </w:rPr>
      </w:pPr>
    </w:p>
    <w:p>
      <w:pPr>
        <w:ind w:right="580"/>
        <w:spacing w:after="0" w:line="262" w:lineRule="auto"/>
        <w:rPr>
          <w:sz w:val="20"/>
          <w:szCs w:val="20"/>
          <w:color w:val="auto"/>
        </w:rPr>
      </w:pPr>
      <w:r>
        <w:rPr>
          <w:rFonts w:ascii="Arial" w:cs="Arial" w:eastAsia="Arial" w:hAnsi="Arial"/>
          <w:sz w:val="16"/>
          <w:szCs w:val="16"/>
          <w:b w:val="1"/>
          <w:bCs w:val="1"/>
          <w:color w:val="auto"/>
        </w:rPr>
        <w:t xml:space="preserve">WILLIAM B. PLUMMER (A, C) </w:t>
      </w:r>
      <w:r>
        <w:rPr>
          <w:rFonts w:ascii="Arial" w:cs="Arial" w:eastAsia="Arial" w:hAnsi="Arial"/>
          <w:sz w:val="16"/>
          <w:szCs w:val="16"/>
          <w:color w:val="auto"/>
        </w:rPr>
        <w:t>Former Executive Vice President and Chief Financial Officer United Rentals, Inc.</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MARYROSE T. SYLVESTER (C, 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Former U.S. Managing Director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U.S. Head of Electrification ABB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Audit Committee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 Management Development and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Committee</w:t>
      </w:r>
    </w:p>
    <w:p>
      <w:pPr>
        <w:spacing w:after="0" w:line="13" w:lineRule="exact"/>
        <w:rPr>
          <w:sz w:val="20"/>
          <w:szCs w:val="20"/>
          <w:color w:val="auto"/>
        </w:rPr>
      </w:pPr>
    </w:p>
    <w:p>
      <w:pPr>
        <w:ind w:left="320" w:hanging="318"/>
        <w:spacing w:after="0"/>
        <w:tabs>
          <w:tab w:leader="none" w:pos="3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13"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C. FISH, JR.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J. MORRIS, JR.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L. REED</w:t>
      </w:r>
    </w:p>
    <w:p>
      <w:pPr>
        <w:spacing w:after="0" w:line="15" w:lineRule="exact"/>
        <w:rPr>
          <w:sz w:val="20"/>
          <w:szCs w:val="20"/>
          <w:color w:val="auto"/>
        </w:rPr>
      </w:pPr>
    </w:p>
    <w:p>
      <w:pPr>
        <w:ind w:right="660"/>
        <w:spacing w:after="0" w:line="269" w:lineRule="auto"/>
        <w:rPr>
          <w:sz w:val="20"/>
          <w:szCs w:val="20"/>
          <w:color w:val="auto"/>
        </w:rPr>
      </w:pPr>
      <w:r>
        <w:rPr>
          <w:rFonts w:ascii="Arial" w:cs="Arial" w:eastAsia="Arial" w:hAnsi="Arial"/>
          <w:sz w:val="16"/>
          <w:szCs w:val="16"/>
          <w:color w:val="auto"/>
        </w:rPr>
        <w:t>Executive Vice President and Chief Financial Officer</w:t>
      </w:r>
    </w:p>
    <w:p>
      <w:pPr>
        <w:spacing w:after="0" w:line="121" w:lineRule="exact"/>
        <w:rPr>
          <w:sz w:val="20"/>
          <w:szCs w:val="20"/>
          <w:color w:val="auto"/>
        </w:rPr>
      </w:pPr>
    </w:p>
    <w:p>
      <w:pPr>
        <w:ind w:right="680"/>
        <w:spacing w:after="0" w:line="264" w:lineRule="auto"/>
        <w:rPr>
          <w:sz w:val="20"/>
          <w:szCs w:val="20"/>
          <w:color w:val="auto"/>
        </w:rPr>
      </w:pPr>
      <w:r>
        <w:rPr>
          <w:rFonts w:ascii="Arial" w:cs="Arial" w:eastAsia="Arial" w:hAnsi="Arial"/>
          <w:sz w:val="16"/>
          <w:szCs w:val="16"/>
          <w:b w:val="1"/>
          <w:bCs w:val="1"/>
          <w:color w:val="auto"/>
        </w:rPr>
        <w:t xml:space="preserve">CHARLES C. BOETTCHER </w:t>
      </w:r>
      <w:r>
        <w:rPr>
          <w:rFonts w:ascii="Arial" w:cs="Arial" w:eastAsia="Arial" w:hAnsi="Arial"/>
          <w:sz w:val="16"/>
          <w:szCs w:val="16"/>
          <w:color w:val="auto"/>
        </w:rPr>
        <w:t>Executive Vice President and Chief Legal Officer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RAFAEL E. CARRASCO</w:t>
      </w:r>
    </w:p>
    <w:p>
      <w:pPr>
        <w:spacing w:after="0" w:line="15"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Senior Vice President, Enterprise Strategy; President, WM Healthcare Solutions</w:t>
      </w:r>
    </w:p>
    <w:p>
      <w:pPr>
        <w:spacing w:after="0" w:line="129"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b w:val="1"/>
          <w:bCs w:val="1"/>
          <w:color w:val="auto"/>
        </w:rPr>
        <w:t xml:space="preserve">CHRISTOPHER P. DESANTIS </w:t>
      </w:r>
      <w:r>
        <w:rPr>
          <w:rFonts w:ascii="Arial" w:cs="Arial" w:eastAsia="Arial" w:hAnsi="Arial"/>
          <w:sz w:val="16"/>
          <w:szCs w:val="16"/>
          <w:color w:val="auto"/>
        </w:rPr>
        <w:t>Senior Vice President, Operations</w:t>
      </w:r>
    </w:p>
    <w:p>
      <w:pPr>
        <w:spacing w:after="0" w:line="118" w:lineRule="exact"/>
        <w:rPr>
          <w:sz w:val="20"/>
          <w:szCs w:val="20"/>
          <w:color w:val="auto"/>
        </w:rPr>
      </w:pPr>
    </w:p>
    <w:p>
      <w:pPr>
        <w:ind w:right="840"/>
        <w:spacing w:after="0" w:line="264" w:lineRule="auto"/>
        <w:rPr>
          <w:sz w:val="20"/>
          <w:szCs w:val="20"/>
          <w:color w:val="auto"/>
        </w:rPr>
      </w:pPr>
      <w:r>
        <w:rPr>
          <w:rFonts w:ascii="Arial" w:cs="Arial" w:eastAsia="Arial" w:hAnsi="Arial"/>
          <w:sz w:val="16"/>
          <w:szCs w:val="16"/>
          <w:b w:val="1"/>
          <w:bCs w:val="1"/>
          <w:color w:val="auto"/>
        </w:rPr>
        <w:t xml:space="preserve">TARA J. HEMMER </w:t>
      </w:r>
      <w:r>
        <w:rPr>
          <w:rFonts w:ascii="Arial" w:cs="Arial" w:eastAsia="Arial" w:hAnsi="Arial"/>
          <w:sz w:val="16"/>
          <w:szCs w:val="16"/>
          <w:color w:val="auto"/>
        </w:rPr>
        <w:t>Senior Vice President and Chief Sustainability Officer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DONALD J. SMITH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Operations</w:t>
      </w:r>
    </w:p>
    <w:p>
      <w:pPr>
        <w:spacing w:after="0" w:line="152"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b w:val="1"/>
          <w:bCs w:val="1"/>
          <w:color w:val="auto"/>
        </w:rPr>
        <w:t xml:space="preserve">KIMBERLY G. STITH </w:t>
      </w:r>
      <w:r>
        <w:rPr>
          <w:rFonts w:ascii="Arial" w:cs="Arial" w:eastAsia="Arial" w:hAnsi="Arial"/>
          <w:sz w:val="16"/>
          <w:szCs w:val="16"/>
          <w:color w:val="auto"/>
        </w:rPr>
        <w:t>Senior Vice President and Chief Human Resources Officer</w:t>
      </w:r>
    </w:p>
    <w:p>
      <w:pPr>
        <w:spacing w:after="0" w:line="125" w:lineRule="exact"/>
        <w:rPr>
          <w:sz w:val="20"/>
          <w:szCs w:val="20"/>
          <w:color w:val="auto"/>
        </w:rPr>
      </w:pPr>
    </w:p>
    <w:p>
      <w:pPr>
        <w:ind w:right="880"/>
        <w:spacing w:after="0" w:line="264" w:lineRule="auto"/>
        <w:rPr>
          <w:sz w:val="20"/>
          <w:szCs w:val="20"/>
          <w:color w:val="auto"/>
        </w:rPr>
      </w:pPr>
      <w:r>
        <w:rPr>
          <w:rFonts w:ascii="Arial" w:cs="Arial" w:eastAsia="Arial" w:hAnsi="Arial"/>
          <w:sz w:val="16"/>
          <w:szCs w:val="16"/>
          <w:b w:val="1"/>
          <w:bCs w:val="1"/>
          <w:color w:val="auto"/>
        </w:rPr>
        <w:t xml:space="preserve">JOHNSON VARKEY </w:t>
      </w:r>
      <w:r>
        <w:rPr>
          <w:rFonts w:ascii="Arial" w:cs="Arial" w:eastAsia="Arial" w:hAnsi="Arial"/>
          <w:sz w:val="16"/>
          <w:szCs w:val="16"/>
          <w:color w:val="auto"/>
        </w:rPr>
        <w:t>Senior Vice President and Chief Information Officer</w:t>
      </w:r>
    </w:p>
    <w:p>
      <w:pPr>
        <w:spacing w:after="0" w:line="125" w:lineRule="exact"/>
        <w:rPr>
          <w:sz w:val="20"/>
          <w:szCs w:val="20"/>
          <w:color w:val="auto"/>
        </w:rPr>
      </w:pPr>
    </w:p>
    <w:p>
      <w:pPr>
        <w:ind w:right="960"/>
        <w:spacing w:after="0" w:line="264" w:lineRule="auto"/>
        <w:rPr>
          <w:sz w:val="20"/>
          <w:szCs w:val="20"/>
          <w:color w:val="auto"/>
        </w:rPr>
      </w:pPr>
      <w:r>
        <w:rPr>
          <w:rFonts w:ascii="Arial" w:cs="Arial" w:eastAsia="Arial" w:hAnsi="Arial"/>
          <w:sz w:val="16"/>
          <w:szCs w:val="16"/>
          <w:b w:val="1"/>
          <w:bCs w:val="1"/>
          <w:color w:val="auto"/>
        </w:rPr>
        <w:t xml:space="preserve">MICHAEL J. WATSON </w:t>
      </w:r>
      <w:r>
        <w:rPr>
          <w:rFonts w:ascii="Arial" w:cs="Arial" w:eastAsia="Arial" w:hAnsi="Arial"/>
          <w:sz w:val="16"/>
          <w:szCs w:val="16"/>
          <w:color w:val="auto"/>
        </w:rPr>
        <w:t>Senior Vice Preident and Chief Customer Officer</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JEFF R. BENNETT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Assistant Treasurer</w:t>
      </w:r>
    </w:p>
    <w:p>
      <w:pPr>
        <w:spacing w:after="0" w:line="152" w:lineRule="exact"/>
        <w:rPr>
          <w:sz w:val="20"/>
          <w:szCs w:val="20"/>
          <w:color w:val="auto"/>
        </w:rPr>
      </w:pPr>
    </w:p>
    <w:p>
      <w:pPr>
        <w:ind w:right="940"/>
        <w:spacing w:after="0" w:line="264" w:lineRule="auto"/>
        <w:rPr>
          <w:sz w:val="20"/>
          <w:szCs w:val="20"/>
          <w:color w:val="auto"/>
        </w:rPr>
      </w:pPr>
      <w:r>
        <w:rPr>
          <w:rFonts w:ascii="Arial" w:cs="Arial" w:eastAsia="Arial" w:hAnsi="Arial"/>
          <w:sz w:val="16"/>
          <w:szCs w:val="16"/>
          <w:b w:val="1"/>
          <w:bCs w:val="1"/>
          <w:color w:val="auto"/>
        </w:rPr>
        <w:t xml:space="preserve">JOHN A. CARROLL </w:t>
      </w:r>
      <w:r>
        <w:rPr>
          <w:rFonts w:ascii="Arial" w:cs="Arial" w:eastAsia="Arial" w:hAnsi="Arial"/>
          <w:sz w:val="16"/>
          <w:szCs w:val="16"/>
          <w:color w:val="auto"/>
        </w:rPr>
        <w:t>Vice President and Chief Accounting Officer</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 A. LOCKETT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Tax</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LESLIE K. NAGY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and Treasurer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CHARLES S. SCHWAGER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Compliance and Ethics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COURTNEY A. TIPPY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and Corporate 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-2019300</wp:posOffset>
                </wp:positionH>
                <wp:positionV relativeFrom="paragraph">
                  <wp:posOffset>403860</wp:posOffset>
                </wp:positionV>
                <wp:extent cx="579120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5E26"/>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pt,31.8pt" to="297pt,31.8pt" o:allowincell="f" strokecolor="#005E26"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HEADQUARTERS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Waste Management,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800 Capitol Street, Suite 3000</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77002</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Telephone: (713) 512-6200</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WEB SITE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www.wm.com</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15" w:lineRule="exact"/>
        <w:rPr>
          <w:sz w:val="20"/>
          <w:szCs w:val="20"/>
          <w:color w:val="auto"/>
        </w:rPr>
      </w:pPr>
    </w:p>
    <w:p>
      <w:pPr>
        <w:jc w:val="both"/>
        <w:ind w:left="20" w:right="460"/>
        <w:spacing w:after="0" w:line="261" w:lineRule="auto"/>
        <w:rPr>
          <w:sz w:val="20"/>
          <w:szCs w:val="20"/>
          <w:color w:val="auto"/>
        </w:rPr>
      </w:pPr>
      <w:r>
        <w:rPr>
          <w:rFonts w:ascii="Arial" w:cs="Arial" w:eastAsia="Arial" w:hAnsi="Arial"/>
          <w:sz w:val="16"/>
          <w:szCs w:val="16"/>
          <w:color w:val="auto"/>
        </w:rPr>
        <w:t>Security analysts, investment professionals, and shareholders should direct inquiries to Investor Relations at the corporate address or call (713) 265-1656.</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ANNUAL MEETING</w:t>
      </w:r>
    </w:p>
    <w:p>
      <w:pPr>
        <w:spacing w:after="0" w:line="15" w:lineRule="exact"/>
        <w:rPr>
          <w:sz w:val="20"/>
          <w:szCs w:val="20"/>
          <w:color w:val="auto"/>
        </w:rPr>
      </w:pPr>
    </w:p>
    <w:p>
      <w:pPr>
        <w:ind w:left="20" w:right="160"/>
        <w:spacing w:after="0" w:line="257" w:lineRule="auto"/>
        <w:rPr>
          <w:sz w:val="20"/>
          <w:szCs w:val="20"/>
          <w:color w:val="auto"/>
        </w:rPr>
      </w:pPr>
      <w:r>
        <w:rPr>
          <w:rFonts w:ascii="Arial" w:cs="Arial" w:eastAsia="Arial" w:hAnsi="Arial"/>
          <w:sz w:val="16"/>
          <w:szCs w:val="16"/>
          <w:color w:val="auto"/>
        </w:rPr>
        <w:t>The annual meeting of the stockholders of the Company is scheduled to be held at 11:00 a.m. CT May 12, 2026 at the offices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Waste Management, Inc.</w:t>
      </w:r>
    </w:p>
    <w:p>
      <w:pPr>
        <w:spacing w:after="0" w:line="13" w:lineRule="exact"/>
        <w:rPr>
          <w:sz w:val="20"/>
          <w:szCs w:val="20"/>
          <w:color w:val="auto"/>
        </w:rPr>
      </w:pPr>
    </w:p>
    <w:p>
      <w:pPr>
        <w:ind w:left="20" w:right="1340"/>
        <w:spacing w:after="0" w:line="269" w:lineRule="auto"/>
        <w:rPr>
          <w:sz w:val="20"/>
          <w:szCs w:val="20"/>
          <w:color w:val="auto"/>
        </w:rPr>
      </w:pPr>
      <w:r>
        <w:rPr>
          <w:rFonts w:ascii="Arial" w:cs="Arial" w:eastAsia="Arial" w:hAnsi="Arial"/>
          <w:sz w:val="16"/>
          <w:szCs w:val="16"/>
          <w:color w:val="auto"/>
        </w:rPr>
        <w:t>800 Capitol Street, Suite 3000 Houston, Texas 77002</w:t>
      </w:r>
    </w:p>
    <w:p>
      <w:pPr>
        <w:spacing w:after="0" w:line="231" w:lineRule="exact"/>
        <w:rPr>
          <w:sz w:val="20"/>
          <w:szCs w:val="20"/>
          <w:color w:val="auto"/>
        </w:rPr>
      </w:pPr>
    </w:p>
    <w:p>
      <w:pPr>
        <w:ind w:left="20" w:right="1520"/>
        <w:spacing w:after="0" w:line="258" w:lineRule="auto"/>
        <w:rPr>
          <w:sz w:val="20"/>
          <w:szCs w:val="20"/>
          <w:color w:val="auto"/>
        </w:rPr>
      </w:pPr>
      <w:r>
        <w:rPr>
          <w:rFonts w:ascii="Arial" w:cs="Arial" w:eastAsia="Arial" w:hAnsi="Arial"/>
          <w:sz w:val="16"/>
          <w:szCs w:val="16"/>
          <w:b w:val="1"/>
          <w:bCs w:val="1"/>
          <w:color w:val="auto"/>
        </w:rPr>
        <w:t xml:space="preserve">INDEPENDENT AUDITORS </w:t>
      </w:r>
      <w:r>
        <w:rPr>
          <w:rFonts w:ascii="Arial" w:cs="Arial" w:eastAsia="Arial" w:hAnsi="Arial"/>
          <w:sz w:val="16"/>
          <w:szCs w:val="16"/>
          <w:color w:val="auto"/>
        </w:rPr>
        <w:t>Ernst &amp; Young LLP 5 Houston Center</w:t>
      </w:r>
    </w:p>
    <w:p>
      <w:pPr>
        <w:spacing w:after="0" w:line="1" w:lineRule="exact"/>
        <w:rPr>
          <w:sz w:val="20"/>
          <w:szCs w:val="20"/>
          <w:color w:val="auto"/>
        </w:rPr>
      </w:pPr>
    </w:p>
    <w:p>
      <w:pPr>
        <w:ind w:left="20" w:right="1100"/>
        <w:spacing w:after="0" w:line="257" w:lineRule="auto"/>
        <w:rPr>
          <w:sz w:val="20"/>
          <w:szCs w:val="20"/>
          <w:color w:val="auto"/>
        </w:rPr>
      </w:pPr>
      <w:r>
        <w:rPr>
          <w:rFonts w:ascii="Arial" w:cs="Arial" w:eastAsia="Arial" w:hAnsi="Arial"/>
          <w:sz w:val="16"/>
          <w:szCs w:val="16"/>
          <w:color w:val="auto"/>
        </w:rPr>
        <w:t>1401 McKinney Street, Suite 2400 Houston, Texas 77010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(713) 750-1500</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COMPANY STOCK</w:t>
      </w:r>
    </w:p>
    <w:p>
      <w:pPr>
        <w:spacing w:after="0" w:line="15" w:lineRule="exact"/>
        <w:rPr>
          <w:sz w:val="20"/>
          <w:szCs w:val="20"/>
          <w:color w:val="auto"/>
        </w:rPr>
      </w:pPr>
    </w:p>
    <w:p>
      <w:pPr>
        <w:ind w:right="140" w:firstLine="20"/>
        <w:spacing w:after="0" w:line="257" w:lineRule="auto"/>
        <w:rPr>
          <w:sz w:val="20"/>
          <w:szCs w:val="20"/>
          <w:color w:val="auto"/>
        </w:rPr>
      </w:pPr>
      <w:r>
        <w:rPr>
          <w:rFonts w:ascii="Arial" w:cs="Arial" w:eastAsia="Arial" w:hAnsi="Arial"/>
          <w:sz w:val="16"/>
          <w:szCs w:val="16"/>
          <w:color w:val="auto"/>
        </w:rPr>
        <w:t>The Company’s common stock is traded on the New York Stock Exchange (NYSE) under the symbol “WM.” The number of holders of record of common stock based on the transfer records of the Company at March 11, 2026 was 6,649. Based on security position listings, the Company believes that, as of March 10, 2026,</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it had approximately 2,130,982 beneficial owners.</w:t>
      </w:r>
    </w:p>
    <w:p>
      <w:pPr>
        <w:spacing w:after="0" w:line="262" w:lineRule="exact"/>
        <w:rPr>
          <w:sz w:val="20"/>
          <w:szCs w:val="20"/>
          <w:color w:val="auto"/>
        </w:rPr>
      </w:pPr>
    </w:p>
    <w:p>
      <w:pPr>
        <w:ind w:left="20" w:right="740"/>
        <w:spacing w:after="0" w:line="294" w:lineRule="auto"/>
        <w:rPr>
          <w:sz w:val="20"/>
          <w:szCs w:val="20"/>
          <w:color w:val="auto"/>
        </w:rPr>
      </w:pPr>
      <w:r>
        <w:rPr>
          <w:rFonts w:ascii="Arial" w:cs="Arial" w:eastAsia="Arial" w:hAnsi="Arial"/>
          <w:sz w:val="16"/>
          <w:szCs w:val="16"/>
          <w:b w:val="1"/>
          <w:bCs w:val="1"/>
          <w:color w:val="auto"/>
        </w:rPr>
        <w:t xml:space="preserve">TRANSFER AGENT AND REGISTRAR </w:t>
      </w:r>
      <w:r>
        <w:rPr>
          <w:rFonts w:ascii="Arial" w:cs="Arial" w:eastAsia="Arial" w:hAnsi="Arial"/>
          <w:sz w:val="16"/>
          <w:szCs w:val="16"/>
          <w:color w:val="auto"/>
        </w:rPr>
        <w:t>Computershare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Shareholder Services: (800) 969-1190</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Shareholder Services - International:</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(201) 680-6578</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 Box 43006</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Providence, Rhode Island 02940</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Overnight Delivery:</w:t>
      </w:r>
    </w:p>
    <w:p>
      <w:pPr>
        <w:spacing w:after="0" w:line="41" w:lineRule="exact"/>
        <w:rPr>
          <w:sz w:val="20"/>
          <w:szCs w:val="20"/>
          <w:color w:val="auto"/>
        </w:rPr>
      </w:pPr>
    </w:p>
    <w:p>
      <w:pPr>
        <w:ind w:left="20" w:right="1360"/>
        <w:spacing w:after="0" w:line="305" w:lineRule="auto"/>
        <w:rPr>
          <w:sz w:val="20"/>
          <w:szCs w:val="20"/>
          <w:color w:val="auto"/>
        </w:rPr>
      </w:pPr>
      <w:r>
        <w:rPr>
          <w:rFonts w:ascii="Arial" w:cs="Arial" w:eastAsia="Arial" w:hAnsi="Arial"/>
          <w:sz w:val="16"/>
          <w:szCs w:val="16"/>
          <w:color w:val="auto"/>
        </w:rPr>
        <w:t>150 Royall Street, Suite 101 Canton, Massachusetts 02021</w:t>
      </w:r>
    </w:p>
    <w:p>
      <w:pPr>
        <w:sectPr>
          <w:pgSz w:w="11880" w:h="15480" w:orient="portrait"/>
          <w:cols w:equalWidth="0" w:num="3">
            <w:col w:w="2900" w:space="280"/>
            <w:col w:w="2740" w:space="380"/>
            <w:col w:w="3560"/>
          </w:cols>
          <w:pgMar w:left="1380" w:top="1283" w:right="640" w:bottom="1440" w:gutter="0" w:footer="0" w:header="0"/>
          <w:type w:val="continuous"/>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2967990</wp:posOffset>
            </wp:positionH>
            <wp:positionV relativeFrom="page">
              <wp:posOffset>7973060</wp:posOffset>
            </wp:positionV>
            <wp:extent cx="1604645" cy="4451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94">
                      <a:extLst>
                        <a:ext uri="{28A0092B-C50C-407E-A947-70E740481C1C}"/>
                      </a:extLst>
                    </a:blip>
                    <a:srcRect/>
                    <a:stretch>
                      <a:fillRect/>
                    </a:stretch>
                  </pic:blipFill>
                  <pic:spPr bwMode="auto">
                    <a:xfrm>
                      <a:off x="0" y="0"/>
                      <a:ext cx="160464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800 Capitol Street - Suite 3000 - Houston, Texas 77002</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www.wm.com</w:t>
      </w:r>
    </w:p>
    <w:sectPr>
      <w:pgSz w:w="11880" w:h="15480" w:orient="portrait"/>
      <w:cols w:equalWidth="0" w:num="1">
        <w:col w:w="9000"/>
      </w:cols>
      <w:pgMar w:left="1440" w:top="1440" w:right="1440" w:bottom="8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decimal"/>
      <w:start w:val="1"/>
    </w:lvl>
  </w:abstractNum>
  <w:abstractNum w:abstractNumId="10">
    <w:nsid w:val="3B0FD379"/>
    <w:multiLevelType w:val="hybridMultilevel"/>
    <w:lvl w:ilvl="0">
      <w:lvlJc w:val="left"/>
      <w:lvlText w:val="(%1)"/>
      <w:numFmt w:val="decimal"/>
      <w:start w:val="1"/>
    </w:lvl>
  </w:abstractNum>
  <w:abstractNum w:abstractNumId="11">
    <w:nsid w:val="68EB2F63"/>
    <w:multiLevelType w:val="hybridMultilevel"/>
    <w:lvl w:ilvl="0">
      <w:lvlJc w:val="left"/>
      <w:lvlText w:val="(%1)"/>
      <w:numFmt w:val="decimal"/>
      <w:start w:val="5"/>
    </w:lvl>
  </w:abstractNum>
  <w:abstractNum w:abstractNumId="12">
    <w:nsid w:val="4962813B"/>
    <w:multiLevelType w:val="hybridMultilevel"/>
    <w:lvl w:ilvl="0">
      <w:lvlJc w:val="left"/>
      <w:lvlText w:val="(%1)"/>
      <w:numFmt w:val="decimal"/>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1)"/>
      <w:numFmt w:val="decimal"/>
      <w:start w:val="1"/>
    </w:lvl>
  </w:abstractNum>
  <w:abstractNum w:abstractNumId="20">
    <w:nsid w:val="7FB7E0AA"/>
    <w:multiLevelType w:val="hybridMultilevel"/>
    <w:lvl w:ilvl="0">
      <w:lvlJc w:val="left"/>
      <w:lvlText w:val="(%1)"/>
      <w:numFmt w:val="decimal"/>
      <w:start w:val="1"/>
    </w:lvl>
  </w:abstractNum>
  <w:abstractNum w:abstractNumId="21">
    <w:nsid w:val="6EB5BD4"/>
    <w:multiLevelType w:val="hybridMultilevel"/>
    <w:lvl w:ilvl="0">
      <w:lvlJc w:val="left"/>
      <w:lvlText w:val="(%1)"/>
      <w:numFmt w:val="decimal"/>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1)"/>
      <w:numFmt w:val="lowerLetter"/>
      <w:start w:val="3"/>
    </w:lvl>
  </w:abstractNum>
  <w:abstractNum w:abstractNumId="24">
    <w:nsid w:val="885E1B"/>
    <w:multiLevelType w:val="hybridMultilevel"/>
    <w:lvl w:ilvl="0">
      <w:lvlJc w:val="left"/>
      <w:lvlText w:val="(%1)"/>
      <w:numFmt w:val="lowerLetter"/>
      <w:start w:val="5"/>
    </w:lvl>
  </w:abstractNum>
  <w:abstractNum w:abstractNumId="25">
    <w:nsid w:val="76272110"/>
    <w:multiLevelType w:val="hybridMultilevel"/>
    <w:lvl w:ilvl="0">
      <w:lvlJc w:val="left"/>
      <w:lvlText w:val="(%1)"/>
      <w:numFmt w:val="decimal"/>
      <w:start w:val="1"/>
    </w:lvl>
  </w:abstractNum>
  <w:abstractNum w:abstractNumId="26">
    <w:nsid w:val="4C04A8AF"/>
    <w:multiLevelType w:val="hybridMultilevel"/>
    <w:lvl w:ilvl="0">
      <w:lvlJc w:val="left"/>
      <w:lvlText w:val="(%1)"/>
      <w:numFmt w:val="decimal"/>
      <w:start w:val="1"/>
    </w:lvl>
  </w:abstractNum>
  <w:abstractNum w:abstractNumId="27">
    <w:nsid w:val="1716703B"/>
    <w:multiLevelType w:val="hybridMultilevel"/>
    <w:lvl w:ilvl="0">
      <w:lvlJc w:val="left"/>
      <w:lvlText w:val="(%1)"/>
      <w:numFmt w:val="decimal"/>
      <w:start w:val="2"/>
    </w:lvl>
  </w:abstractNum>
  <w:abstractNum w:abstractNumId="28">
    <w:nsid w:val="14E17E33"/>
    <w:multiLevelType w:val="hybridMultilevel"/>
    <w:lvl w:ilvl="0">
      <w:lvlJc w:val="left"/>
      <w:lvlText w:val="%1"/>
      <w:numFmt w:val="decimal"/>
      <w:start w:val="1"/>
    </w:lvl>
    <w:lvl w:ilvl="1">
      <w:lvlJc w:val="left"/>
      <w:lvlText w:val="(%2)"/>
      <w:numFmt w:val="lowerLetter"/>
      <w:start w:val="1"/>
    </w:lvl>
  </w:abstractNum>
  <w:abstractNum w:abstractNumId="29">
    <w:nsid w:val="3222E7CD"/>
    <w:multiLevelType w:val="hybridMultilevel"/>
    <w:lvl w:ilvl="0">
      <w:lvlJc w:val="left"/>
      <w:lvlText w:val="(%1)"/>
      <w:numFmt w:val="decimal"/>
      <w:start w:val="5"/>
    </w:lvl>
    <w:lvl w:ilvl="1">
      <w:lvlJc w:val="left"/>
      <w:lvlText w:val="%2"/>
      <w:numFmt w:val="lowerLetter"/>
      <w:start w:val="1"/>
    </w:lvl>
  </w:abstractNum>
  <w:abstractNum w:abstractNumId="30">
    <w:nsid w:val="74DE0EE3"/>
    <w:multiLevelType w:val="hybridMultilevel"/>
    <w:lvl w:ilvl="0">
      <w:lvlJc w:val="left"/>
      <w:lvlText w:val="(%1)"/>
      <w:numFmt w:val="decimal"/>
      <w:start w:val="1"/>
    </w:lvl>
  </w:abstractNum>
  <w:abstractNum w:abstractNumId="31">
    <w:nsid w:val="68EBC550"/>
    <w:multiLevelType w:val="hybridMultilevel"/>
    <w:lvl w:ilvl="0">
      <w:lvlJc w:val="left"/>
      <w:lvlText w:val="(%1)"/>
      <w:numFmt w:val="decimal"/>
      <w:start w:val="4"/>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5"/>
    </w:lvl>
  </w:abstractNum>
  <w:abstractNum w:abstractNumId="34">
    <w:nsid w:val="4A2AC315"/>
    <w:multiLevelType w:val="hybridMultilevel"/>
    <w:lvl w:ilvl="0">
      <w:lvlJc w:val="left"/>
      <w:lvlText w:val="(%1)"/>
      <w:numFmt w:val="decimal"/>
      <w:start w:val="2"/>
    </w:lvl>
    <w:lvl w:ilvl="1">
      <w:lvlJc w:val="left"/>
      <w:lvlText w:val="(%2)"/>
      <w:numFmt w:val="lowerLetter"/>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decimal"/>
      <w:start w:val="1"/>
    </w:lvl>
  </w:abstractNum>
  <w:abstractNum w:abstractNumId="40">
    <w:nsid w:val="26F324BA"/>
    <w:multiLevelType w:val="hybridMultilevel"/>
    <w:lvl w:ilvl="0">
      <w:lvlJc w:val="left"/>
      <w:lvlText w:val="(%1)"/>
      <w:numFmt w:val="decimal"/>
      <w:start w:val="1"/>
    </w:lvl>
  </w:abstractNum>
  <w:abstractNum w:abstractNumId="41">
    <w:nsid w:val="7F01579B"/>
    <w:multiLevelType w:val="hybridMultilevel"/>
    <w:lvl w:ilvl="0">
      <w:lvlJc w:val="left"/>
      <w:lvlText w:val="(%1)"/>
      <w:numFmt w:val="decimal"/>
      <w:start w:val="1"/>
    </w:lvl>
    <w:lvl w:ilvl="1">
      <w:lvlJc w:val="left"/>
      <w:lvlText w:val="•"/>
      <w:numFmt w:val="bullet"/>
      <w:start w:val="1"/>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decimal"/>
      <w:start w:val="1"/>
    </w:lvl>
    <w:lvl w:ilvl="1">
      <w:lvlJc w:val="left"/>
      <w:lvlText w:val="(%2)"/>
      <w:numFmt w:val="lowerLetter"/>
      <w:start w:val="2"/>
    </w:lvl>
  </w:abstractNum>
  <w:abstractNum w:abstractNumId="44">
    <w:nsid w:val="5FB8370B"/>
    <w:multiLevelType w:val="hybridMultilevel"/>
    <w:lvl w:ilvl="0">
      <w:lvlJc w:val="left"/>
      <w:lvlText w:val="(%1)"/>
      <w:numFmt w:val="decimal"/>
      <w:start w:val="3"/>
    </w:lvl>
    <w:lvl w:ilvl="1">
      <w:lvlJc w:val="left"/>
      <w:lvlText w:val="%2"/>
      <w:numFmt w:val="lowerLetter"/>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1)"/>
      <w:numFmt w:val="lowerLetter"/>
      <w:start w:val="1"/>
    </w:lvl>
  </w:abstractNum>
  <w:abstractNum w:abstractNumId="48">
    <w:nsid w:val="6AA78F7F"/>
    <w:multiLevelType w:val="hybridMultilevel"/>
    <w:lvl w:ilvl="0">
      <w:lvlJc w:val="left"/>
      <w:lvlText w:val="%1."/>
      <w:numFmt w:val="decimal"/>
      <w:start w:val="1"/>
    </w:lvl>
    <w:lvl w:ilvl="1">
      <w:lvlJc w:val="left"/>
      <w:lvlText w:val="%2."/>
      <w:numFmt w:val="lowerLetter"/>
      <w:start w:val="1"/>
    </w:lvl>
  </w:abstractNum>
  <w:abstractNum w:abstractNumId="49">
    <w:nsid w:val="7672BD23"/>
    <w:multiLevelType w:val="hybridMultilevel"/>
    <w:lvl w:ilvl="0">
      <w:lvlJc w:val="left"/>
      <w:lvlText w:val="%1."/>
      <w:numFmt w:val="lowerLetter"/>
      <w:start w:val="13"/>
    </w:lvl>
  </w:abstractNum>
  <w:abstractNum w:abstractNumId="50">
    <w:nsid w:val="6FC75AF8"/>
    <w:multiLevelType w:val="hybridMultilevel"/>
    <w:lvl w:ilvl="0">
      <w:lvlJc w:val="left"/>
      <w:lvlText w:val="%1."/>
      <w:numFmt w:val="decimal"/>
      <w:start w:val="2"/>
    </w:lvl>
  </w:abstractNum>
  <w:abstractNum w:abstractNumId="51">
    <w:nsid w:val="6A5F7029"/>
    <w:multiLevelType w:val="hybridMultilevel"/>
    <w:lvl w:ilvl="0">
      <w:lvlJc w:val="left"/>
      <w:lvlText w:val="%1."/>
      <w:numFmt w:val="decimal"/>
      <w:start w:val="3"/>
    </w:lvl>
  </w:abstractNum>
  <w:abstractNum w:abstractNumId="52">
    <w:nsid w:val="7D5E18F8"/>
    <w:multiLevelType w:val="hybridMultilevel"/>
    <w:lvl w:ilvl="0">
      <w:lvlJc w:val="left"/>
      <w:lvlText w:val="%1."/>
      <w:numFmt w:val="decimal"/>
      <w:start w:val="4"/>
    </w:lvl>
    <w:lvl w:ilvl="1">
      <w:lvlJc w:val="left"/>
      <w:lvlText w:val="%2."/>
      <w:numFmt w:val="lowerLetter"/>
      <w:start w:val="1"/>
    </w:lvl>
  </w:abstractNum>
  <w:abstractNum w:abstractNumId="53">
    <w:nsid w:val="5F3534A4"/>
    <w:multiLevelType w:val="hybridMultilevel"/>
    <w:lvl w:ilvl="0">
      <w:lvlJc w:val="left"/>
      <w:lvlText w:val="%1."/>
      <w:numFmt w:val="decimal"/>
      <w:start w:val="6"/>
    </w:lvl>
    <w:lvl w:ilvl="1">
      <w:lvlJc w:val="left"/>
      <w:lvlText w:val="%2."/>
      <w:numFmt w:val="lowerLetter"/>
      <w:start w:val="1"/>
    </w:lvl>
  </w:abstractNum>
  <w:abstractNum w:abstractNumId="54">
    <w:nsid w:val="73A1821B"/>
    <w:multiLevelType w:val="hybridMultilevel"/>
    <w:lvl w:ilvl="0">
      <w:lvlJc w:val="left"/>
      <w:lvlText w:val="%1."/>
      <w:numFmt w:val="decimal"/>
      <w:start w:val="10"/>
    </w:lvl>
    <w:lvl w:ilvl="1">
      <w:lvlJc w:val="left"/>
      <w:lvlText w:val="%2."/>
      <w:numFmt w:val="lowerLetter"/>
      <w:start w:val="1"/>
    </w:lvl>
  </w:abstractNum>
  <w:abstractNum w:abstractNumId="55">
    <w:nsid w:val="7DE67713"/>
    <w:multiLevelType w:val="hybridMultilevel"/>
    <w:lvl w:ilvl="0">
      <w:lvlJc w:val="left"/>
      <w:lvlText w:val="%1."/>
      <w:numFmt w:val="decimal"/>
      <w:start w:val="12"/>
    </w:lvl>
  </w:abstractNum>
  <w:abstractNum w:abstractNumId="56">
    <w:nsid w:val="555C55B5"/>
    <w:multiLevelType w:val="hybridMultilevel"/>
    <w:lvl w:ilvl="0">
      <w:lvlJc w:val="left"/>
      <w:lvlText w:val="%1."/>
      <w:numFmt w:val="decimal"/>
      <w:start w:val="13"/>
    </w:lvl>
    <w:lvl w:ilvl="1">
      <w:lvlJc w:val="left"/>
      <w:lvlText w:val="%2."/>
      <w:numFmt w:val="lowerLetter"/>
      <w:start w:val="1"/>
    </w:lvl>
  </w:abstractNum>
  <w:abstractNum w:abstractNumId="57">
    <w:nsid w:val="3FA62ACA"/>
    <w:multiLevelType w:val="hybridMultilevel"/>
    <w:lvl w:ilvl="0">
      <w:lvlJc w:val="left"/>
      <w:lvlText w:val="%1"/>
      <w:numFmt w:val="decimal"/>
      <w:start w:val="1"/>
    </w:lvl>
    <w:lvl w:ilvl="1">
      <w:lvlJc w:val="left"/>
      <w:lvlText w:val="%2."/>
      <w:numFmt w:val="lowerLetter"/>
      <w:start w:val="3"/>
    </w:lvl>
  </w:abstractNum>
  <w:abstractNum w:abstractNumId="58">
    <w:nsid w:val="14FCE74E"/>
    <w:multiLevelType w:val="hybridMultilevel"/>
    <w:lvl w:ilvl="0">
      <w:lvlJc w:val="left"/>
      <w:lvlText w:val="%1."/>
      <w:numFmt w:val="decimal"/>
      <w:start w:val="14"/>
    </w:lvl>
    <w:lvl w:ilvl="1">
      <w:lvlJc w:val="left"/>
      <w:lvlText w:val="%2"/>
      <w:numFmt w:val="lowerLetter"/>
      <w:start w:val="1"/>
    </w:lvl>
  </w:abstractNum>
  <w:abstractNum w:abstractNumId="59">
    <w:nsid w:val="6A3DD3E8"/>
    <w:multiLevelType w:val="hybridMultilevel"/>
    <w:lvl w:ilvl="0">
      <w:lvlJc w:val="left"/>
      <w:lvlText w:val="%1."/>
      <w:numFmt w:val="decimal"/>
      <w:start w:val="15"/>
    </w:lvl>
  </w:abstractNum>
  <w:abstractNum w:abstractNumId="60">
    <w:nsid w:val="71C91298"/>
    <w:multiLevelType w:val="hybridMultilevel"/>
    <w:lvl w:ilvl="0">
      <w:lvlJc w:val="left"/>
      <w:lvlText w:val="%1."/>
      <w:numFmt w:val="decimal"/>
      <w:start w:val="16"/>
    </w:lvl>
  </w:abstractNum>
  <w:abstractNum w:abstractNumId="61">
    <w:nsid w:val="9DAF632"/>
    <w:multiLevelType w:val="hybridMultilevel"/>
    <w:lvl w:ilvl="0">
      <w:lvlJc w:val="left"/>
      <w:lvlText w:val="%1."/>
      <w:numFmt w:val="decimal"/>
      <w:start w:val="17"/>
    </w:lvl>
  </w:abstractNum>
  <w:abstractNum w:abstractNumId="62">
    <w:nsid w:val="53299938"/>
    <w:multiLevelType w:val="hybridMultilevel"/>
    <w:lvl w:ilvl="0">
      <w:lvlJc w:val="left"/>
      <w:lvlText w:val="%1."/>
      <w:numFmt w:val="decimal"/>
      <w:start w:val="18"/>
    </w:lvl>
    <w:lvl w:ilvl="1">
      <w:lvlJc w:val="left"/>
      <w:lvlText w:val="%2."/>
      <w:numFmt w:val="lowerLetter"/>
      <w:start w:val="1"/>
    </w:lvl>
  </w:abstractNum>
  <w:abstractNum w:abstractNumId="63">
    <w:nsid w:val="1FBFE8E0"/>
    <w:multiLevelType w:val="hybridMultilevel"/>
    <w:lvl w:ilvl="0">
      <w:lvlJc w:val="left"/>
      <w:lvlText w:val="%1."/>
      <w:numFmt w:val="lowerLetter"/>
      <w:start w:val="5"/>
    </w:lvl>
  </w:abstractNum>
  <w:abstractNum w:abstractNumId="64">
    <w:nsid w:val="5092CA79"/>
    <w:multiLevelType w:val="hybridMultilevel"/>
    <w:lvl w:ilvl="0">
      <w:lvlJc w:val="left"/>
      <w:lvlText w:val="(%1)"/>
      <w:numFmt w:val="lowerLetter"/>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1)"/>
      <w:numFmt w:val="lowerRoman"/>
      <w:start w:val="2"/>
    </w:lvl>
  </w:abstractNum>
  <w:abstractNum w:abstractNumId="69">
    <w:nsid w:val="1D9F6E5F"/>
    <w:multiLevelType w:val="hybridMultilevel"/>
    <w:lvl w:ilvl="0">
      <w:lvlJc w:val="left"/>
      <w:lvlText w:val="(%1)"/>
      <w:numFmt w:val="lowerRoman"/>
      <w:start w:val="4"/>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1)"/>
      <w:numFmt w:val="lowerRoman"/>
      <w:start w:val="1"/>
    </w:lvl>
  </w:abstractNum>
  <w:abstractNum w:abstractNumId="72">
    <w:nsid w:val="1CA0C5FA"/>
    <w:multiLevelType w:val="hybridMultilevel"/>
    <w:lvl w:ilvl="0">
      <w:lvlJc w:val="left"/>
      <w:lvlText w:val="(%1)"/>
      <w:numFmt w:val="lowerRoman"/>
      <w:start w:val="3"/>
    </w:lvl>
  </w:abstractNum>
  <w:abstractNum w:abstractNumId="73">
    <w:nsid w:val="53584BCB"/>
    <w:multiLevelType w:val="hybridMultilevel"/>
    <w:lvl w:ilvl="0">
      <w:lvlJc w:val="left"/>
      <w:lvlText w:val="(%1)"/>
      <w:numFmt w:val="lowerRoman"/>
      <w:start w:val="3"/>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1)"/>
      <w:numFmt w:val="lowerLetter"/>
      <w:start w:val="1"/>
    </w:lvl>
  </w:abstractNum>
  <w:abstractNum w:abstractNumId="80">
    <w:nsid w:val="3C5991AA"/>
    <w:multiLevelType w:val="hybridMultilevel"/>
    <w:lvl w:ilvl="0">
      <w:lvlJc w:val="left"/>
      <w:lvlText w:val="(%1)"/>
      <w:numFmt w:val="lowerRoman"/>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1)"/>
      <w:numFmt w:val="lowerLetter"/>
      <w:start w:val="1"/>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Roman"/>
      <w:start w:val="1"/>
    </w:lvl>
  </w:abstractNum>
  <w:abstractNum w:abstractNumId="86">
    <w:nsid w:val="379E21B5"/>
    <w:multiLevelType w:val="hybridMultilevel"/>
    <w:lvl w:ilvl="0">
      <w:lvlJc w:val="left"/>
      <w:lvlText w:val="(%1)"/>
      <w:numFmt w:val="lowerRoman"/>
      <w:start w:val="8"/>
    </w:lvl>
  </w:abstractNum>
  <w:abstractNum w:abstractNumId="87">
    <w:nsid w:val="69E373"/>
    <w:multiLevelType w:val="hybridMultilevel"/>
    <w:lvl w:ilvl="0">
      <w:lvlJc w:val="left"/>
      <w:lvlText w:val="(%1)"/>
      <w:numFmt w:val="lowerRoman"/>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
      <w:numFmt w:val="bullet"/>
      <w:start w:val="1"/>
    </w:lvl>
    <w:lvl w:ilvl="1">
      <w:lvlJc w:val="left"/>
      <w:lvlText w:val="(%2)"/>
      <w:numFmt w:val="lowerRoman"/>
      <w:start w:val="1"/>
    </w:lvl>
  </w:abstractNum>
  <w:abstractNum w:abstractNumId="91">
    <w:nsid w:val="1DF029D3"/>
    <w:multiLevelType w:val="hybridMultilevel"/>
    <w:lvl w:ilvl="0">
      <w:lvlJc w:val="left"/>
      <w:lvlText w:val="•"/>
      <w:numFmt w:val="bullet"/>
      <w:start w:val="1"/>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1)"/>
      <w:numFmt w:val="lowerRoman"/>
      <w:start w:val="2"/>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1"/>
    </w:lvl>
  </w:abstractNum>
  <w:abstractNum w:abstractNumId="98">
    <w:nsid w:val="4F97E3E4"/>
    <w:multiLevelType w:val="hybridMultilevel"/>
    <w:lvl w:ilvl="0">
      <w:lvlJc w:val="left"/>
      <w:lvlText w:val="(%1)"/>
      <w:numFmt w:val="lowerRoman"/>
      <w:start w:val="1"/>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1)"/>
      <w:numFmt w:val="lowerRoman"/>
      <w:start w:val="1"/>
    </w:lvl>
  </w:abstractNum>
  <w:abstractNum w:abstractNumId="111">
    <w:nsid w:val="19E21BB2"/>
    <w:multiLevelType w:val="hybridMultilevel"/>
    <w:lvl w:ilvl="0">
      <w:lvlJc w:val="left"/>
      <w:lvlText w:val="%1."/>
      <w:numFmt w:val="decimal"/>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lvl w:ilvl="1">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1."/>
      <w:numFmt w:val="decimal"/>
      <w:start w:val="3"/>
    </w:lvl>
  </w:abstractNum>
  <w:abstractNum w:abstractNumId="117">
    <w:nsid w:val="B37E80A"/>
    <w:multiLevelType w:val="hybridMultilevel"/>
    <w:lvl w:ilvl="0">
      <w:lvlJc w:val="left"/>
      <w:lvlText w:val="%1."/>
      <w:numFmt w:val="decimal"/>
      <w:start w:val="4"/>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2"/>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decimal"/>
      <w:start w:val="7"/>
    </w:lvl>
  </w:abstractNum>
  <w:abstractNum w:abstractNumId="122">
    <w:nsid w:val="E3E47A8"/>
    <w:multiLevelType w:val="hybridMultilevel"/>
    <w:lvl w:ilvl="0">
      <w:lvlJc w:val="left"/>
      <w:lvlText w:val="%1."/>
      <w:numFmt w:val="decimal"/>
      <w:start w:val="8"/>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1."/>
      <w:numFmt w:val="decimal"/>
      <w:start w:val="9"/>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lowerLetter"/>
      <w:start w:val="2"/>
    </w:lvl>
  </w:abstractNum>
  <w:abstractNum w:abstractNumId="127">
    <w:nsid w:val="24F6AB8E"/>
    <w:multiLevelType w:val="hybridMultilevel"/>
    <w:lvl w:ilvl="0">
      <w:lvlJc w:val="left"/>
      <w:lvlText w:val="(%1)"/>
      <w:numFmt w:val="lowerLetter"/>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
      <w:numFmt w:val="bullet"/>
      <w:start w:val="1"/>
    </w:lvl>
  </w:abstractNum>
  <w:abstractNum w:abstractNumId="130">
    <w:nsid w:val="2A31B62D"/>
    <w:multiLevelType w:val="hybridMultilevel"/>
    <w:lvl w:ilvl="0">
      <w:lvlJc w:val="left"/>
      <w:lvlText w:val="•"/>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3"/>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
      <w:numFmt w:val="bullet"/>
      <w:start w:val="1"/>
    </w:lvl>
  </w:abstractNum>
  <w:abstractNum w:abstractNumId="138">
    <w:nsid w:val="7AB49DAF"/>
    <w:multiLevelType w:val="hybridMultilevel"/>
    <w:lvl w:ilvl="0">
      <w:lvlJc w:val="left"/>
      <w:lvlText w:val="(%1)"/>
      <w:numFmt w:val="lowerLetter"/>
      <w:start w:val="1"/>
    </w:lvl>
  </w:abstractNum>
  <w:abstractNum w:abstractNumId="139">
    <w:nsid w:val="759F82CD"/>
    <w:multiLevelType w:val="hybridMultilevel"/>
    <w:lvl w:ilvl="0">
      <w:lvlJc w:val="left"/>
      <w:lvlText w:val="(%1)"/>
      <w:numFmt w:val="lowerLetter"/>
      <w:start w:val="3"/>
    </w:lvl>
  </w:abstractNum>
  <w:abstractNum w:abstractNumId="140">
    <w:nsid w:val="61E74EA3"/>
    <w:multiLevelType w:val="hybridMultilevel"/>
    <w:lvl w:ilvl="0">
      <w:lvlJc w:val="left"/>
      <w:lvlText w:val="(%1)"/>
      <w:numFmt w:val="lowerLetter"/>
      <w:start w:val="1"/>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lowerRoman"/>
      <w:start w:val="1"/>
    </w:lvl>
  </w:abstractNum>
  <w:abstractNum w:abstractNumId="144">
    <w:nsid w:val="312167AD"/>
    <w:multiLevelType w:val="hybridMultilevel"/>
    <w:lvl w:ilvl="0">
      <w:lvlJc w:val="left"/>
      <w:lvlText w:val="*"/>
      <w:numFmt w:val="bullet"/>
      <w:start w:val="1"/>
    </w:lvl>
  </w:abstractNum>
  <w:abstractNum w:abstractNumId="145">
    <w:nsid w:val="631B64D4"/>
    <w:multiLevelType w:val="hybridMultilevel"/>
    <w:lvl w:ilvl="0">
      <w:lvlJc w:val="left"/>
      <w:lvlText w:val="**"/>
      <w:numFmt w:val="bullet"/>
      <w:start w:val="1"/>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upp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2026-03-31T07:18:38Z</dcterms:created>
  <dcterms:modified xsi:type="dcterms:W3CDTF">2026-03-31T07:18:38Z</dcterms:modified>
</cp:coreProperties>
</file>