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04" w:lineRule="exact"/>
        <w:rPr>
          <w:sz w:val="24"/>
          <w:szCs w:val="24"/>
          <w:color w:val="auto"/>
        </w:rPr>
      </w:pPr>
    </w:p>
    <w:p>
      <w:pPr>
        <w:ind w:left="480" w:right="120" w:hanging="337"/>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8" w:lineRule="exact"/>
        <w:rPr>
          <w:sz w:val="24"/>
          <w:szCs w:val="24"/>
          <w:color w:val="auto"/>
        </w:rPr>
      </w:pPr>
    </w:p>
    <w:p>
      <w:pPr>
        <w:ind w:left="480" w:right="100" w:hanging="337"/>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480"/>
        <w:spacing w:after="0"/>
        <w:tabs>
          <w:tab w:leader="none" w:pos="3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b w:val="1"/>
                <w:bCs w:val="1"/>
                <w:color w:val="auto"/>
                <w:w w:val="98"/>
              </w:rPr>
              <w:t>73-1309529</w:t>
            </w:r>
          </w:p>
        </w:tc>
      </w:tr>
      <w:tr>
        <w:trPr>
          <w:trHeight w:val="203"/>
        </w:trPr>
        <w:tc>
          <w:tcPr>
            <w:tcW w:w="20" w:type="dxa"/>
            <w:vAlign w:val="bottom"/>
          </w:tcPr>
          <w:p>
            <w:pPr>
              <w:spacing w:after="0"/>
              <w:rPr>
                <w:sz w:val="17"/>
                <w:szCs w:val="17"/>
                <w:color w:val="auto"/>
              </w:rPr>
            </w:pPr>
          </w:p>
        </w:tc>
        <w:tc>
          <w:tcPr>
            <w:tcW w:w="3680" w:type="dxa"/>
            <w:vAlign w:val="bottom"/>
            <w:gridSpan w:val="3"/>
          </w:tcPr>
          <w:p>
            <w:pPr>
              <w:jc w:val="center"/>
              <w:ind w:left="1356"/>
              <w:spacing w:after="0" w:line="202"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97"/>
              <w:spacing w:after="0" w:line="20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1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800 Capitol Street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Suite 3000</w:t>
            </w:r>
          </w:p>
        </w:tc>
        <w:tc>
          <w:tcPr>
            <w:tcW w:w="32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32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200" w:type="dxa"/>
            <w:vAlign w:val="bottom"/>
          </w:tcPr>
          <w:p>
            <w:pPr>
              <w:spacing w:after="0"/>
              <w:rPr>
                <w:sz w:val="20"/>
                <w:szCs w:val="20"/>
                <w:color w:val="auto"/>
              </w:rPr>
            </w:pPr>
          </w:p>
        </w:tc>
      </w:tr>
      <w:tr>
        <w:trPr>
          <w:trHeight w:val="31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6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894" w:right="839" w:bottom="1440" w:gutter="0" w:footer="0" w:header="0"/>
        </w:sectPr>
      </w:pPr>
    </w:p>
    <w:p>
      <w:pPr>
        <w:spacing w:after="0" w:line="6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2">
            <w:col w:w="7320" w:space="720"/>
            <w:col w:w="2180"/>
          </w:cols>
          <w:pgMar w:left="840" w:top="894" w:right="839" w:bottom="1440" w:gutter="0" w:footer="0" w:header="0"/>
          <w:type w:val="continuous"/>
        </w:sect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tabs>
          <w:tab w:leader="none" w:pos="7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at October 21, 2022 was 410,477,096 (excluding treasury shares of 219,805,365).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465455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53975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88265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94" w:right="8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10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$26 and $25, respectively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receivables, net of allowance for doubtful accounts of $7 and $8, respectively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Parts and supplies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3,069</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Property and equipment, net of accumulated depreciation and amortization of $21,438 and</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$20,537, 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14,419</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Restricted funds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29,841</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6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4,082</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12,697</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22,829</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21,971</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12,004</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219,742,939 and 214,158,636 shares, respectively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(11,136)</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(10,072)</w:t>
            </w:r>
          </w:p>
        </w:tc>
        <w:tc>
          <w:tcPr>
            <w:tcW w:w="0" w:type="dxa"/>
            <w:vAlign w:val="bottom"/>
          </w:tcPr>
          <w:p>
            <w:pPr>
              <w:spacing w:after="0"/>
              <w:rPr>
                <w:sz w:val="1"/>
                <w:szCs w:val="1"/>
                <w:color w:val="auto"/>
              </w:rPr>
            </w:pPr>
          </w:p>
        </w:tc>
      </w:tr>
      <w:tr>
        <w:trPr>
          <w:trHeight w:val="196"/>
        </w:trPr>
        <w:tc>
          <w:tcPr>
            <w:tcW w:w="6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7,012</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7,126</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29,841</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Millions, Except per Share Amounts) (Unaudited)</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6"/>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40" w:type="dxa"/>
            <w:vAlign w:val="bottom"/>
            <w:tcBorders>
              <w:bottom w:val="single" w:sz="8" w:color="auto"/>
            </w:tcBorders>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tcPr>
          <w:p>
            <w:pPr>
              <w:spacing w:after="0"/>
              <w:rPr>
                <w:sz w:val="17"/>
                <w:szCs w:val="17"/>
                <w:color w:val="auto"/>
              </w:rPr>
            </w:pP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20" w:type="dxa"/>
            <w:vAlign w:val="bottom"/>
            <w:tcBorders>
              <w:bottom w:val="single" w:sz="8" w:color="auto"/>
            </w:tcBorders>
          </w:tcPr>
          <w:p>
            <w:pPr>
              <w:spacing w:after="0"/>
              <w:rPr>
                <w:sz w:val="17"/>
                <w:szCs w:val="17"/>
                <w:color w:val="auto"/>
              </w:rPr>
            </w:pP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8040" w:type="dxa"/>
            <w:vAlign w:val="bottom"/>
            <w:gridSpan w:val="1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6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6"/>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6"/>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16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5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4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bad debts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loss from divestitures, asset impairments and other,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 in net losses of unconsolidated entities, net of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Receivables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New borrowings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repayments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Premiums and other paid on early extinguishment of debt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 equivalents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 and cash equivalents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 period: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4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funds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8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0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2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7,192</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5,257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$ 12,563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6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(217,006)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(10,619)</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w:t>
            </w: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$0.65 per</w:t>
            </w:r>
          </w:p>
        </w:tc>
        <w:tc>
          <w:tcPr>
            <w:tcW w:w="10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(267)</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(267)</w:t>
            </w:r>
          </w:p>
        </w:tc>
        <w:tc>
          <w:tcPr>
            <w:tcW w:w="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(3,232)</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500" w:type="dxa"/>
            <w:vAlign w:val="bottom"/>
            <w:tcBorders>
              <w:bottom w:val="single" w:sz="8" w:color="CCEEFF"/>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7,012</w:t>
            </w:r>
          </w:p>
        </w:tc>
        <w:tc>
          <w:tcPr>
            <w:tcW w:w="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5,299</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$ 12,933</w:t>
            </w:r>
          </w:p>
        </w:tc>
        <w:tc>
          <w:tcPr>
            <w:tcW w:w="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(219,743)</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(11,136)</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7,354</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5,104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$ 11,444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(209,467)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(9,272)</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5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w:t>
            </w: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$0.575 per</w:t>
            </w:r>
          </w:p>
        </w:tc>
        <w:tc>
          <w:tcPr>
            <w:tcW w:w="10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(241)</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(241)</w:t>
            </w:r>
          </w:p>
        </w:tc>
        <w:tc>
          <w:tcPr>
            <w:tcW w:w="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(3,087)</w:t>
            </w: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5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7,174</w:t>
            </w: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5,111</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$ 11,740</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(211,996)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(9,697)</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EQUITY ─ (Continued)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8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2021</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7,126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5,169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$ 12,004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(214,159)</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(10,072)</w:t>
            </w:r>
          </w:p>
        </w:tc>
        <w:tc>
          <w:tcPr>
            <w:tcW w:w="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$1.95 per</w:t>
            </w:r>
          </w:p>
        </w:tc>
        <w:tc>
          <w:tcPr>
            <w:tcW w:w="100" w:type="dxa"/>
            <w:vAlign w:val="bottom"/>
          </w:tcPr>
          <w:p>
            <w:pPr>
              <w:spacing w:after="0"/>
              <w:rPr>
                <w:sz w:val="10"/>
                <w:szCs w:val="10"/>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(811)</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Equity-based compensation transactions, net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(7,084)</w:t>
            </w:r>
          </w:p>
        </w:tc>
        <w:tc>
          <w:tcPr>
            <w:tcW w:w="12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(1,133)</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2"/>
        </w:trPr>
        <w:tc>
          <w:tcPr>
            <w:tcW w:w="2580" w:type="dxa"/>
            <w:vAlign w:val="bottom"/>
            <w:tcBorders>
              <w:bottom w:val="single" w:sz="8" w:color="CCEEFF"/>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2022</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7,012</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5,299</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$ 12,933</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(219,743)</w:t>
            </w: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(11,136)</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2020</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7,454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5,129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$ 11,159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(207,481)</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(8,881)</w:t>
            </w:r>
          </w:p>
        </w:tc>
        <w:tc>
          <w:tcPr>
            <w:tcW w:w="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1,311</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w:t>
            </w: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$1.725 per</w:t>
            </w:r>
          </w:p>
        </w:tc>
        <w:tc>
          <w:tcPr>
            <w:tcW w:w="100" w:type="dxa"/>
            <w:vAlign w:val="bottom"/>
          </w:tcPr>
          <w:p>
            <w:pPr>
              <w:spacing w:after="0"/>
              <w:rPr>
                <w:sz w:val="10"/>
                <w:szCs w:val="10"/>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(730)</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Equity-based compensation transactions, net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(6,472)</w:t>
            </w:r>
          </w:p>
        </w:tc>
        <w:tc>
          <w:tcPr>
            <w:tcW w:w="12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5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September 30, 2021</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7,174</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5,111</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$ 11,740</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(211,996)</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(9,697)</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117" w:right="14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and Canada that produce renewable electricity and renewable natural gas, which is a significant source of fuel for our natural gas fleet.</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We finalized the assessment of our segments during the fourth quarter of 2021. The East and West Tiers are presented in this report and constitute our existing Solid Waste business. We also provide additional services that are not managed through our Solid Waste business, which are presented in this report as “Other.” Additional information related to our segments is included in Note 7.</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as of September 30, 2022 and for the three and nine months ended September 30, 2022 and 2021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2021.</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of when the related services are performed.</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we had $187 million and $175 million, respectively, of deferred contract costs, of which $134 million and $126 million, respectively, was related to deferred sales incentives. During the three and nine months ended September 30, 2022, we amortized $6 million and $18 million of sales incentives to selling, general and administrative expense, respectively. During the three and nine months ended September 30, 2021, we amortized $6 million and $17 million of sales incentives to selling, general and administrative expense, respectively.</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Amounts for our operating lease right-of-use assets are recorded in long-term other assets and the current and long-term portion of our operating lease liabilities are reflected in accrued liabilities and other long-term liabilities, respectively, in our Condensed Consolidated Balance Sheets. Right-of-use assets obtained in exchange for lease obligations for our operating leases for the nine months ended September 30, 2022 and 2021 were $44 million and $57 million, respectively. Amounts for our financing leases are recorded in property and equipment, net of accumulated depreciation, and current or long-term debt in our Condensed Consolidated Balance Sheets, as appropriate.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our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220" w:type="dxa"/>
            <w:vAlign w:val="bottom"/>
            <w:gridSpan w:val="4"/>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nine months ended September 30, 2022 are reflected in the table below (in millions):</w:t>
      </w: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00" w:type="dxa"/>
            <w:vAlign w:val="bottom"/>
          </w:tcPr>
          <w:p>
            <w:pPr>
              <w:spacing w:after="0"/>
              <w:rPr>
                <w:sz w:val="11"/>
                <w:szCs w:val="11"/>
                <w:color w:val="auto"/>
              </w:rPr>
            </w:pPr>
          </w:p>
        </w:tc>
        <w:tc>
          <w:tcPr>
            <w:tcW w:w="9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Obligations settled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Revisions in estimates and interest rate assumptions (a) (b)</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our landfill liabilities includes decreases related to revisions in estimated costs and timing of capping, closure and post-closure liabilities.</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our environmental remediation liabilities includes a $17 million charge in our Corporate and Other segment to adjust an indirect wholly-owned subsidiary’s estimated potential share of the liability for a proposed environmental remediation plan at a closed site, as discussed in Note 6. Partially offsetting this charge was a decrease of $16 million due to an increase from 1.50% at December 31, 2021 to 3.75% at September 30, 2022 in the risk-free discount rate used to measure these liabilities.</w:t>
      </w:r>
    </w:p>
    <w:p>
      <w:pPr>
        <w:spacing w:after="0" w:line="7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 accounts for purposes of settling final capping, closure, post-closure and environmental remediation obligations. Generally, these trust fund accounts are established to comply with statutory requirements and operating agreements. See Note 13 for additional information related to these trust fund accounts.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as of each balance sheet date (in millions) and provides the maturities and interest rate ranges of each major category as of September 30, 2022:</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8"/>
        </w:trPr>
        <w:tc>
          <w:tcPr>
            <w:tcW w:w="20" w:type="dxa"/>
            <w:vAlign w:val="bottom"/>
          </w:tcPr>
          <w:p>
            <w:pPr>
              <w:spacing w:after="0"/>
              <w:rPr>
                <w:sz w:val="15"/>
                <w:szCs w:val="15"/>
                <w:color w:val="auto"/>
              </w:rPr>
            </w:pPr>
          </w:p>
        </w:tc>
        <w:tc>
          <w:tcPr>
            <w:tcW w:w="68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2.1% as of</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2022 and 0.4% as of December 31, 2021)</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maturing May 2024, interest rate of 3.8% as of September 30, 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2050, interest rates ranging from 0.75% to 7.75% (weighted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interest rate of 3.2% as of September 30, 2022 and 3.1% as of December 31, 2021)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198"/>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2048, fixed and variable interest rates ranging from</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 to 4.3% (weighted average interest rate of 2.2% as of September 30, 2022 and 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of December 31, 2021)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198"/>
        </w:trPr>
        <w:tc>
          <w:tcPr>
            <w:tcW w:w="20" w:type="dxa"/>
            <w:vAlign w:val="bottom"/>
          </w:tcPr>
          <w:p>
            <w:pPr>
              <w:spacing w:after="0"/>
              <w:rPr>
                <w:sz w:val="17"/>
                <w:szCs w:val="17"/>
                <w:color w:val="auto"/>
              </w:rPr>
            </w:pPr>
          </w:p>
        </w:tc>
        <w:tc>
          <w:tcPr>
            <w:tcW w:w="6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2085, weighted average interest rate of 4.7% as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September 30, 2022 and 4.5% as of December 31, 2021 (a)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our landfill financing leases, the maturities of our financing leases and other debt obligations extend through 2059.</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2022, we had approximately $2.2 billion of debt maturing within the next 12 months, including</w:t>
      </w:r>
    </w:p>
    <w:p>
      <w:pPr>
        <w:spacing w:after="0" w:line="27" w:lineRule="exact"/>
        <w:rPr>
          <w:sz w:val="20"/>
          <w:szCs w:val="20"/>
          <w:color w:val="auto"/>
        </w:rPr>
      </w:pPr>
    </w:p>
    <w:p>
      <w:pPr>
        <w:ind w:left="300" w:hanging="250"/>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$839 million of short-term borrowings under our commercial paper program (net of related discount on issuance);</w:t>
      </w:r>
    </w:p>
    <w:p>
      <w:pPr>
        <w:spacing w:after="0" w:line="9" w:lineRule="exact"/>
        <w:rPr>
          <w:rFonts w:ascii="Times New Roman" w:cs="Times New Roman" w:eastAsia="Times New Roman" w:hAnsi="Times New Roman"/>
          <w:sz w:val="18"/>
          <w:szCs w:val="18"/>
          <w:color w:val="auto"/>
        </w:rPr>
      </w:pPr>
    </w:p>
    <w:p>
      <w:pPr>
        <w:jc w:val="both"/>
        <w:ind w:left="60" w:right="59" w:hanging="10"/>
        <w:spacing w:after="0" w:line="252" w:lineRule="auto"/>
        <w:tabs>
          <w:tab w:leader="none" w:pos="3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million of tax-exempt bonds with term interest rate periods that expire within the next 12 months, which is prior to their scheduled maturities; (iii) $500 million of 2.4% senior notes that mature in May 2023 and (iv) $258 million of other debt with scheduled maturities within the next 12 months, including $136 million of tax-exempt bonds. As of September 30, 2022, we have classified $2.0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$258 million of debt maturing in the next 12 months is classified as current obligations.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Additionally, as of September 30, 2022, we also had $54 million of variable-rate tax-exempt bonds with long-term scheduled maturities that are supported by letters of credit under our $3.5 billion revolving credit facility. The interest rates on our variable-rate tax-exempt bonds reset on a weekly basis through a remarketing process. All recent variable-rate tax-exempt bond remarketings have been successful at market-driven rates.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Condensed Consolidated Balance Sheet.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$3.5 Billion Revolving Credit Facility — </w:t>
      </w:r>
      <w:r>
        <w:rPr>
          <w:rFonts w:ascii="Times New Roman" w:cs="Times New Roman" w:eastAsia="Times New Roman" w:hAnsi="Times New Roman"/>
          <w:sz w:val="17"/>
          <w:szCs w:val="17"/>
          <w:color w:val="auto"/>
        </w:rPr>
        <w:t>In May 2022, we amended and restated our $3.5 billion U.S. and Canadian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revolving credit facility extending the term through May 2027.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w:t>
      </w:r>
    </w:p>
    <w:p>
      <w:pPr>
        <w:spacing w:after="0" w:line="17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$3.5 billion revolving credit facility provides us with credit capacity to be used for cash borrowings, to support letters of credit or to support our commercial paper program. The interest rates we pay on outstanding U.S. or Canadian loans are generally based on a secured overnight financing rate administered by the Federal Reserve Bank of New York (“SOFR”) or the Canadian Dollar Offered Rate (“CDOR”), respectively, plus a spread depending on WMI’s senior public debt rating assigned by Moody’s Investors Service, Inc. and Standard and Poor’s Global Ratings. The spread above SOFR or CDOR can range from 0.585% to 1.025% per annum, plus a credit adjustment spread of 0.10% per annum on SOFR-based rates (the “SOFR Credit Adjustment Spread”) to account for the transition from the use of LIBOR to SOFR in such rate calculations. We also pay certain other fees set forth in the $3.5 billion revolving credit facility agreement, including a facility fee based on the aggregate commitment, regardless of usage. As of September 30, 2022, we had no outstanding borrowings under this facility. We had $164 million of letters of credit issued and $839 million of outstanding borrowings (net of related discount on issuance) under our commercial paper program, both supported by the facility, leaving unused and available credit capacity of $2.5 billion as of September 30, 2022.</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the $3.5 billion revolving credit facility, and as a mechanism to align our environmental, social and governance (“ESG”) focus and strategy across external and internal stakeholders, the Company, in consultation with one or more banks selected by the Company to be the sustainability coordinator under the applicable credit agreement (the “Sustainability Coordinator”), has the ability to establish specified key performance indicators (“KPIs”) with respect to certain ESG targets of the Company and its subsidiaries. The Sustainability Coordinator, the Company and the administrative agent may amend the credit agreement, unless such amendment is objected to by banks holding more than 50% of the commitments under such credit agreement, solely for the purpose of incorporating the KPIs so that certain adjustments to the otherwise applicable fees or interest rates may be made based on our performance against the KPIs.</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$1.0 Billion, Two-Year, Term Credit Agreement — </w:t>
      </w:r>
      <w:r>
        <w:rPr>
          <w:rFonts w:ascii="Times New Roman" w:cs="Times New Roman" w:eastAsia="Times New Roman" w:hAnsi="Times New Roman"/>
          <w:sz w:val="18"/>
          <w:szCs w:val="18"/>
          <w:color w:val="auto"/>
        </w:rPr>
        <w:t>In May 2022, we entered into a $1.0 billion, two-year, U.S.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(“Term Loan”) to be used for general corporate purposes. The interest rate we pay on our outstanding balance is generally based on SOFR, plus a spread depending on WMI’s senior public debt rating assigned by Moody’s Investors Service, Inc. and Standard and Poor’s Global Ratings. The spread above SOFR can range from 0.50% to 0.90% per annum, plus the SOFR Credit Adjustment Spread. As discussed above with respect to our $3.5 billion revolving credit facility, the Term Loan also permits the Company to pursue an amendment of the credit agreement to incorporate certain ESG KPIs and related adjustments to applicable fees or interest rates based on performance against the KPIs. As of September 30, 2022, we had $1.0 billion of outstanding borrowings under our Term Loan. WM Holdings also guarantees all of the obligations under the Term Loan.</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As of September 30, 2022, we had $839 million of outstanding borrowings (net of related discount on issuance) under our commercial paper program.</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September 30, 2022, we had utilized $761 million of other uncommitted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lines with terms maturing through April 2024.</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nine months ended September 30, 2022, we made cash repayments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 billion, which were partially offset by $3.9 billion of cash borrowings (net of related discount on issuance).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Term Loan </w:t>
      </w:r>
      <w:r>
        <w:rPr>
          <w:rFonts w:ascii="Times New Roman" w:cs="Times New Roman" w:eastAsia="Times New Roman" w:hAnsi="Times New Roman"/>
          <w:sz w:val="18"/>
          <w:szCs w:val="18"/>
          <w:color w:val="auto"/>
        </w:rPr>
        <w:t>— In May 2022, we borrowed $1.0 billion under our Term Loan to be used for general corporate purposes.</w:t>
      </w:r>
    </w:p>
    <w:p>
      <w:pPr>
        <w:spacing w:after="0" w:line="225" w:lineRule="exact"/>
        <w:rPr>
          <w:sz w:val="20"/>
          <w:szCs w:val="20"/>
          <w:color w:val="auto"/>
        </w:rPr>
      </w:pPr>
    </w:p>
    <w:p>
      <w:pPr>
        <w:jc w:val="both"/>
        <w:ind w:left="60" w:right="59" w:firstLine="324"/>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In May 2022, WMI issued $1.0 billion of 4.15% senior notes due April 15, 2032, the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$992 million. We used the net proceeds to redeem our $500 million of 2.9% senior notes due September 2022 in advance of their scheduled maturity, to repay a portion of outstanding borrowings under our commercial paper program and for general corporate purposes.</w:t>
      </w:r>
    </w:p>
    <w:p>
      <w:pPr>
        <w:spacing w:after="0" w:line="17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Leases and Other </w:t>
      </w:r>
      <w:r>
        <w:rPr>
          <w:rFonts w:ascii="Times New Roman" w:cs="Times New Roman" w:eastAsia="Times New Roman" w:hAnsi="Times New Roman"/>
          <w:sz w:val="18"/>
          <w:szCs w:val="18"/>
          <w:color w:val="auto"/>
        </w:rPr>
        <w:t>— The increase in our financing leases and other debt obligations during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2022 is primarily related to our new federal low-income housing investment discussed in Note 4, which increased our debt obligations by $183 million. The increase in our debt obligations was partially offset by $65 million of cash repayments of debt at maturity.</w:t>
      </w:r>
    </w:p>
    <w:p>
      <w:pPr>
        <w:spacing w:after="0" w:line="178"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22.8% and 23.5% for the three and nine months ended September 30, 2022, respectively, compared with 23.7% and 23.2% for the three and nine months ended September 30, 2021, respectively.</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decrease in our effective income tax rate when comparing the three months ended September 30, 2022 and 2021 was primarily driven by an unfavorable adjustment to accruals and related deferred taxes in 2021 due to a change from our initial expectations of the tax effects of our acquisition of Advanced Disposal Services, Inc. (“Advanced Disposal”) and related divestitures. The decrease was offset in part by the divestiture of certain non-strategic Canadian operations in 2021, which was not taxable and did not reoccur in the current period, and an increase in pre-tax income in 2022 resulting in a reduced rate benefit from federal tax credits.</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increase in our effective income tax rate when comparing the nine months ended September 30, 2022 and 2021 was primarily driven by an increase in pre-tax income in 2022 resulting in a reduced rate benefit from federal tax credits.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evaluate our effective income tax rate at each interim period and adjust it as facts and circumstances warrant.</w:t>
      </w:r>
    </w:p>
    <w:p>
      <w:pPr>
        <w:spacing w:after="0" w:line="22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Investments Qualifying for Federal Tax Credits </w:t>
      </w:r>
      <w:r>
        <w:rPr>
          <w:rFonts w:ascii="Times New Roman" w:cs="Times New Roman" w:eastAsia="Times New Roman" w:hAnsi="Times New Roman"/>
          <w:sz w:val="18"/>
          <w:szCs w:val="18"/>
          <w:color w:val="auto"/>
        </w:rPr>
        <w:t>— We have significant financial interests in entities established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and manage low-income housing properties. In February 2022, we acquired an additional noncontrolling interest in a limited liability company established to invest in and manage low-income housing properties. Total consideration for this investment is expected to be $253 million, comprised of a $183 million note payable discussed in Note 3, an initial cash payment of $28 million and $42 million of interest payments expected to be paid over the life of the investment. At the time of the investment, we increased our investments in unconsolidated entities in our Condensed Consolidated Balance Sheet by $211 million, representing the principal balance of the note and the initial cash investment. We support the operations of these entities in exchange for a pro-rata share of the tax credits they generate. The low-income housing investments qualify for federal tax credits that we expect to realize through 2033 under Section 42 or Section 45D of the Internal Revenue Code.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and nine months ended September 30, 2022, we recognized $16 million and $47 million, respectively, of net losses for these investments. We also recognized a reduction in our income tax expense for the three and nine months ended September 30, 2022 of $26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$74 million, respectively, due to federal tax credits realized from these investments as well as the tax benefits from the pre-tax losses realized. In addition, during the three and nine months ended September 30, 2022, we recognized interest expense of $5 million and $10 million, respectively, associated with our investments in low-income housing properties.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2021, we recognized $15 million and $36 million, respectively, of net losses for these investments. We also recognized a reduction in our income tax expense for the three and nine months ended September 30, 2021 of $21 million and $53 million, respectively, due to federal tax credits realized from these investments as well as the tax benefits from the pre-tax losses realized. In addition, during the three and nine months ended September 30, 2021, we recognized interest expense of $2 million and $7 million, respectively, associated with our investments in low-income housing properties. See Note 13 for additional information related to these unconsolidated variable interest entities.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Adjustments to Accruals and Related Deferred Taxes </w:t>
      </w:r>
      <w:r>
        <w:rPr>
          <w:rFonts w:ascii="Times New Roman" w:cs="Times New Roman" w:eastAsia="Times New Roman" w:hAnsi="Times New Roman"/>
          <w:sz w:val="18"/>
          <w:szCs w:val="18"/>
          <w:color w:val="auto"/>
        </w:rPr>
        <w:t>— During the three and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were immaterial adjustments to accruals and related deferred taxes. During the three and nine months ended September 30, 2021, adjustments to accruals and related deferred taxes increased our income tax expense by $10 million primarily due to a change from our initial expectations of the tax effects of our acquisition of Advanced Disposal and related divestitures.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Implications of Divestitures </w:t>
      </w:r>
      <w:r>
        <w:rPr>
          <w:rFonts w:ascii="Times New Roman" w:cs="Times New Roman" w:eastAsia="Times New Roman" w:hAnsi="Times New Roman"/>
          <w:sz w:val="18"/>
          <w:szCs w:val="18"/>
          <w:color w:val="auto"/>
        </w:rPr>
        <w:t>– During the third quarter of 2021, we recognized a pre-tax gain from the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cumulative translation adjustments on the divestiture of certain non-strategic Canadian operations. This gain was not taxable, which benefited our effective income tax rate for the three and nine months ended September 30, 2021. See Note 9 for further discussion.</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 During the three and nine months ended September 30, 2022, we recognized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in income tax expense of $5 million and $17 million, respectively, for excess tax benefits related to the vesting or exercise of equity-based compensation awards compared with $5 million and $16 million, respectively, for the comparable prior year periods.</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The Inflation Reduction Act of 2022 (“IRA”) was signed into law by President Biden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16, 2022 and contains a number of tax-related provisions. We are in the process of evaluating the IRA and identifying all potential impacts that may be applicable.</w:t>
      </w:r>
    </w:p>
    <w:p>
      <w:pPr>
        <w:spacing w:after="0" w:line="171"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per share were computed using the following common share data (shares in millions):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5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0" w:type="dxa"/>
            <w:vAlign w:val="bottom"/>
          </w:tcPr>
          <w:p>
            <w:pPr>
              <w:spacing w:after="0"/>
              <w:rPr>
                <w:sz w:val="1"/>
                <w:szCs w:val="1"/>
                <w:color w:val="auto"/>
              </w:rPr>
            </w:pPr>
          </w:p>
        </w:tc>
      </w:tr>
      <w:tr>
        <w:trPr>
          <w:trHeight w:val="198"/>
        </w:trPr>
        <w:tc>
          <w:tcPr>
            <w:tcW w:w="59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issuable shares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6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1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Condensed Consolidated Statements of Operations for net income attributable to Waste Management,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 incident deductible under the related insurance policy and any amounts that exceed our insured limits. Our exposure could increase if our insurers are unable to meet their commitments on a timely basis.</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WMI and WM Holdings enter into guarantee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8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2022,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17 of our landfills. We have also agreed to indemnify certain third-party purchasers against liabilities associated with divested operations prior to such sale. We do not believe that these contingent obligations will have a material adverse effect on the Company’s financial condition, results of operations or cash flows.</w:t>
      </w:r>
    </w:p>
    <w:p>
      <w:pPr>
        <w:spacing w:after="0" w:line="185"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$140 million higher than the $202 million recorded in the Condensed Consolidated Balance Sheet as of September 30, 2022.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2022,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October 11, 2017, the EPA issued its Record of Decision (“ROD”) with respect to the previously proposed remediation plan for the San Jacinto River Waste Pits Site in Harris County, Texas. McGinnes Industrial Maintenance Corporation (“MIMC”), a subsidiary of Waste Management of Texas, Inc., operated some of the waste pits from 1965 to 1966 and has been named as a site PRP. In 1998, WMI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and we recorded a liability for MIMC’s estimated potential share of the EPA’s proposed remedy and related costs, although allocation of responsibility among the PRPs for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proposed remedy has not been established. MIMC and International Paper Company have continued to work on a remedial design to support the EPA’s proposed remedy; however, design investigations indicate that fundamental changes are required to the proposed remedy and MIMC maintains its prior position that the remedy set forth in the ROD is not the best solution to protect the environment and public health. Due to further increases in the estimated cost of the remedy set forth in the ROD, we recorded an additional liability of $17 million as of March 31, 2022 for MIMC’s estimated potential share of such costs. As of September 30, 2022 and December 31, 2021, the recorded liability for MIMC’s estimated potential share of the EPA’s proposed remedy was $68 million and $53 million, respectively. MIMC’s ultimate liability could be materially different from current estimates and MIMC will continue to engage the EPA regarding its proposed remedy.</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participate in the IRS’s Compliance Assurance Process, which means we work with the 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year towards resolving any material issues prior to the filing of our annual tax return. Any unresolved issues as of the tax return filing date are subject to routine examination procedures. We are currently in the post-examination and post-appeals phase of the IRS audit for the 2017 tax year and considering the options available to resolve remaining disagreements with the IRS. In addition, we are in the examination phase of IRS audits for the 2021 and 2022 tax years and expect these audits to be completed within the next 18 months. We are also currently undergoing audits by various state and local jurisdictions for tax years that date back to 2014.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86"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2021, our senior management began evaluating, overseeing and managing the financial performance of our Solid Waste operations through two operating segments. Our East Tier primarily consists of geographic areas located in the 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 The Company finalized the assessment of our segments during the fourth quarter of 2021. The East and West Tiers are presented in this report and constitute our existing Solid Waste business. This did not result in a change in our reporting units for purposes of evaluating our goodwill. Reclassifications have been made to our prior period consolidated financial information to conform to the current year presentation.</w:t>
      </w:r>
    </w:p>
    <w:p>
      <w:pPr>
        <w:spacing w:after="0" w:line="18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operating segments not evaluated and overseen through our East and West Tiers are presented herein as “Other” as these operating segments do not meet the criteria to be aggregated with other operating segments and do not meet the quantitative criteria to be separately reported.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Revenues(d)</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Operations(e)</w:t>
            </w:r>
          </w:p>
        </w:tc>
        <w:tc>
          <w:tcPr>
            <w:tcW w:w="0" w:type="dxa"/>
            <w:vAlign w:val="bottom"/>
          </w:tcPr>
          <w:p>
            <w:pPr>
              <w:spacing w:after="0"/>
              <w:rPr>
                <w:sz w:val="1"/>
                <w:szCs w:val="1"/>
                <w:color w:val="auto"/>
              </w:rPr>
            </w:pPr>
          </w:p>
        </w:tc>
      </w:tr>
      <w:tr>
        <w:trPr>
          <w:trHeight w:val="169"/>
        </w:trPr>
        <w:tc>
          <w:tcPr>
            <w:tcW w:w="358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East Tier</w:t>
            </w:r>
          </w:p>
        </w:tc>
        <w:tc>
          <w:tcPr>
            <w:tcW w:w="19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 Tier</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Solid Waste (a)</w:t>
            </w:r>
          </w:p>
        </w:tc>
        <w:tc>
          <w:tcPr>
            <w:tcW w:w="1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(c)</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3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East Tier</w:t>
            </w:r>
          </w:p>
        </w:tc>
        <w:tc>
          <w:tcPr>
            <w:tcW w:w="19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 Tier</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Solid Waste (a)</w:t>
            </w:r>
          </w:p>
        </w:tc>
        <w:tc>
          <w:tcPr>
            <w:tcW w:w="1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(c)</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7"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2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3"/>
                <w:szCs w:val="13"/>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72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Revenues(d)</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Operations(e)</w:t>
            </w:r>
          </w:p>
        </w:tc>
      </w:tr>
      <w:tr>
        <w:trPr>
          <w:trHeight w:val="156"/>
        </w:trPr>
        <w:tc>
          <w:tcPr>
            <w:tcW w:w="530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East Tier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16"/>
        </w:trPr>
        <w:tc>
          <w:tcPr>
            <w:tcW w:w="20" w:type="dxa"/>
            <w:vAlign w:val="bottom"/>
            <w:shd w:val="clear" w:color="auto" w:fill="CCEEFF"/>
          </w:tcPr>
          <w:p>
            <w:pPr>
              <w:spacing w:after="0"/>
              <w:rPr>
                <w:sz w:val="18"/>
                <w:szCs w:val="18"/>
                <w:color w:val="auto"/>
              </w:rPr>
            </w:pPr>
          </w:p>
        </w:tc>
        <w:tc>
          <w:tcPr>
            <w:tcW w:w="5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 Tier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09"/>
        </w:trPr>
        <w:tc>
          <w:tcPr>
            <w:tcW w:w="20" w:type="dxa"/>
            <w:vAlign w:val="bottom"/>
          </w:tcPr>
          <w:p>
            <w:pPr>
              <w:spacing w:after="0"/>
              <w:rPr>
                <w:sz w:val="18"/>
                <w:szCs w:val="18"/>
                <w:color w:val="auto"/>
              </w:rPr>
            </w:pPr>
          </w:p>
        </w:tc>
        <w:tc>
          <w:tcPr>
            <w:tcW w:w="5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Solid Waste (a)</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w:t>
            </w:r>
          </w:p>
        </w:tc>
      </w:tr>
      <w:tr>
        <w:trPr>
          <w:trHeight w:val="216"/>
        </w:trPr>
        <w:tc>
          <w:tcPr>
            <w:tcW w:w="5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w:t>
            </w:r>
          </w:p>
        </w:tc>
      </w:tr>
      <w:tr>
        <w:trPr>
          <w:trHeight w:val="216"/>
        </w:trPr>
        <w:tc>
          <w:tcPr>
            <w:tcW w:w="5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49"/>
        </w:trPr>
        <w:tc>
          <w:tcPr>
            <w:tcW w:w="20" w:type="dxa"/>
            <w:vAlign w:val="bottom"/>
            <w:tcBorders>
              <w:bottom w:val="single" w:sz="8" w:color="CCEEFF"/>
            </w:tcBorders>
          </w:tcPr>
          <w:p>
            <w:pPr>
              <w:spacing w:after="0"/>
              <w:rPr>
                <w:sz w:val="21"/>
                <w:szCs w:val="21"/>
                <w:color w:val="auto"/>
              </w:rPr>
            </w:pPr>
          </w:p>
        </w:tc>
        <w:tc>
          <w:tcPr>
            <w:tcW w:w="52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197"/>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Waste: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East Tier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16"/>
        </w:trPr>
        <w:tc>
          <w:tcPr>
            <w:tcW w:w="20" w:type="dxa"/>
            <w:vAlign w:val="bottom"/>
            <w:shd w:val="clear" w:color="auto" w:fill="CCEEFF"/>
          </w:tcPr>
          <w:p>
            <w:pPr>
              <w:spacing w:after="0"/>
              <w:rPr>
                <w:sz w:val="18"/>
                <w:szCs w:val="18"/>
                <w:color w:val="auto"/>
              </w:rPr>
            </w:pPr>
          </w:p>
        </w:tc>
        <w:tc>
          <w:tcPr>
            <w:tcW w:w="5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 Tier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09"/>
        </w:trPr>
        <w:tc>
          <w:tcPr>
            <w:tcW w:w="20" w:type="dxa"/>
            <w:vAlign w:val="bottom"/>
          </w:tcPr>
          <w:p>
            <w:pPr>
              <w:spacing w:after="0"/>
              <w:rPr>
                <w:sz w:val="18"/>
                <w:szCs w:val="18"/>
                <w:color w:val="auto"/>
              </w:rPr>
            </w:pPr>
          </w:p>
        </w:tc>
        <w:tc>
          <w:tcPr>
            <w:tcW w:w="52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Solid Waste (a)</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r>
      <w:tr>
        <w:trPr>
          <w:trHeight w:val="216"/>
        </w:trPr>
        <w:tc>
          <w:tcPr>
            <w:tcW w:w="5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16"/>
        </w:trPr>
        <w:tc>
          <w:tcPr>
            <w:tcW w:w="5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(c)</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09"/>
        </w:trPr>
        <w:tc>
          <w:tcPr>
            <w:tcW w:w="20" w:type="dxa"/>
            <w:vAlign w:val="bottom"/>
          </w:tcPr>
          <w:p>
            <w:pPr>
              <w:spacing w:after="0"/>
              <w:rPr>
                <w:sz w:val="18"/>
                <w:szCs w:val="18"/>
                <w:color w:val="auto"/>
              </w:rPr>
            </w:pPr>
          </w:p>
        </w:tc>
        <w:tc>
          <w:tcPr>
            <w:tcW w:w="5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w:t>
      </w:r>
    </w:p>
    <w:p>
      <w:pPr>
        <w:spacing w:after="0" w:line="71" w:lineRule="exact"/>
        <w:rPr>
          <w:rFonts w:ascii="Times New Roman" w:cs="Times New Roman" w:eastAsia="Times New Roman" w:hAnsi="Times New Roman"/>
          <w:sz w:val="18"/>
          <w:szCs w:val="18"/>
          <w:color w:val="auto"/>
        </w:rPr>
      </w:pPr>
    </w:p>
    <w:p>
      <w:pPr>
        <w:jc w:val="both"/>
        <w:ind w:left="380" w:right="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 our Solid Waste business increased primarily due to (i) revenue growth in our collection and disposal businesses driven by both yield and volume and (ii) a $26 million catch-up benefit from the extension of alternative fuel tax credits that was retroactive to January 1, 2022. Our income from operations for the nine months ended September 30, 2022 was favorably impacted by an increase in our recycling line of business as a result of an overall increase in average market prices for recycling commodities during the first half of 2022. These increases were partially offset by (i) inflationary cost pressures; (ii) labor cost increases from frontline employee wage adjustments and (iii) commodity-driven business impacts from higher fuel prices. Additionally, the prior year included a pre-tax net gain from the recognition of cumulative translation adjustments on the divestiture of certain non-strategic Canadian operations in our East Tier segment and a charge due to management’s decision to close a landfill in our West Tier segment earlier than expected, resulting in acceleration of the timing of capping, closure and post-closure activities in the third quarter of 2021.</w:t>
      </w:r>
    </w:p>
    <w:p>
      <w:pPr>
        <w:spacing w:after="0" w:line="83" w:lineRule="exact"/>
        <w:rPr>
          <w:rFonts w:ascii="Times New Roman" w:cs="Times New Roman" w:eastAsia="Times New Roman" w:hAnsi="Times New Roman"/>
          <w:sz w:val="18"/>
          <w:szCs w:val="18"/>
          <w:color w:val="auto"/>
        </w:rPr>
      </w:pPr>
    </w:p>
    <w:p>
      <w:pPr>
        <w:jc w:val="both"/>
        <w:ind w:left="380" w:right="79" w:hanging="330"/>
        <w:spacing w:after="0" w:line="25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 elements of our Strategic Business Solutions (“WMSBS”) business that are not included in the operations of our reportable segments; (ii) elements of our sustainability business that includes landfill gas-to-energy operations managed by our WM Renewable Energy business, our environmental solutions services and recycling brokerage services and not included in the 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79"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380" w:right="79"/>
        <w:spacing w:after="0" w:line="282" w:lineRule="auto"/>
        <w:rPr>
          <w:sz w:val="20"/>
          <w:szCs w:val="20"/>
          <w:color w:val="auto"/>
        </w:rPr>
      </w:pPr>
      <w:r>
        <w:rPr>
          <w:rFonts w:ascii="Times New Roman" w:cs="Times New Roman" w:eastAsia="Times New Roman" w:hAnsi="Times New Roman"/>
          <w:sz w:val="18"/>
          <w:szCs w:val="18"/>
          <w:color w:val="auto"/>
        </w:rPr>
        <w:t>Income from operations for “Corporate and Other” also includes costs associated with our long-term incentive program.</w:t>
      </w:r>
    </w:p>
    <w:p>
      <w:pPr>
        <w:spacing w:after="0" w:line="54" w:lineRule="exact"/>
        <w:rPr>
          <w:sz w:val="20"/>
          <w:szCs w:val="20"/>
          <w:color w:val="auto"/>
        </w:rPr>
      </w:pPr>
    </w:p>
    <w:p>
      <w:pPr>
        <w:jc w:val="both"/>
        <w:ind w:left="380" w:right="59"/>
        <w:spacing w:after="0" w:line="256" w:lineRule="auto"/>
        <w:rPr>
          <w:sz w:val="20"/>
          <w:szCs w:val="20"/>
          <w:color w:val="auto"/>
        </w:rPr>
      </w:pPr>
      <w:r>
        <w:rPr>
          <w:rFonts w:ascii="Times New Roman" w:cs="Times New Roman" w:eastAsia="Times New Roman" w:hAnsi="Times New Roman"/>
          <w:sz w:val="18"/>
          <w:szCs w:val="18"/>
          <w:color w:val="auto"/>
        </w:rPr>
        <w:t>The increase in income from operations from our Corporate and Other segment for the three months ended September 30, 2022, as compared with the prior year period, was primarily driven by (i) lower long-term incentive compensation costs and (ii) lower integration costs from our acquisition of Advanced Disposal. Increased costs to support strategic investments in our digital platform, including those that support our ongoing sustainability initiatives, and increased labor costs from higher annual incentive costs and merit increases, partially offset the three months ended September 30, 2022, and more than offset the nine months ended September 30, 2022, as compared with the prior year periods.</w:t>
      </w:r>
    </w:p>
    <w:p>
      <w:pPr>
        <w:spacing w:after="0" w:line="295" w:lineRule="exact"/>
        <w:rPr>
          <w:sz w:val="20"/>
          <w:szCs w:val="20"/>
          <w:color w:val="auto"/>
        </w:rPr>
      </w:pPr>
    </w:p>
    <w:p>
      <w:pPr>
        <w:jc w:val="both"/>
        <w:ind w:left="380" w:right="7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2021, we discontinued certain allocations from our Corporate and Other segment to our Solid Waste operating segments and Other segment. Reclassifications have been made to our prior period information for comparability purposes.</w:t>
      </w:r>
    </w:p>
    <w:p>
      <w:pPr>
        <w:spacing w:after="0" w:line="6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operating revenues from our major lines of business are as follows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2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2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42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240" w:type="dxa"/>
            <w:vAlign w:val="bottom"/>
            <w:tcBorders>
              <w:bottom w:val="single" w:sz="8" w:color="CCEEFF"/>
            </w:tcBorders>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16"/>
        </w:trPr>
        <w:tc>
          <w:tcPr>
            <w:tcW w:w="5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0"/>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Recycling</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(b)</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(1,109)</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09"/>
        </w:trPr>
        <w:tc>
          <w:tcPr>
            <w:tcW w:w="57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54"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line of business includes (i) certain services provided by our WMSBS business; (ii) certain services within our sustainability business, including our landfill gas to energy operations managed by our WM Renewable Energy business, our construction and remediation services and our services associated with the disposal of fly ash and (iii)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within this report.</w:t>
      </w:r>
    </w:p>
    <w:p>
      <w:pPr>
        <w:spacing w:after="0" w:line="5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Service disruptions caused by severe storms, extended periods of inclement weather or climate events can significantly affect the operating results of the geographic areas affected. 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85" w:lineRule="exact"/>
        <w:rPr>
          <w:sz w:val="20"/>
          <w:szCs w:val="20"/>
          <w:color w:val="auto"/>
        </w:rPr>
      </w:pPr>
    </w:p>
    <w:p>
      <w:pPr>
        <w:ind w:left="420" w:hanging="370"/>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we acquired seven businesses primarily related to our Solid Waste business. Total consideration for all acquisitions was $216 million, which included $202 million in cash paid and $14 million of other consideration, primarily purchase price holdbacks. In addition, we paid $5 million of holdbacks, primarily related to prior year acquisitions.</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Total consideration for our 2022 acquisitions was primarily allocated to $60 million of property and equipment, $51 million of other intangible assets and $102 million of goodwill. Other intangible assets included $34 million of customer relationships and $17 million of covenants not-to-compete. We remain in the measurement period for most of our acquisitions, therefore further adjustment to our preliminary purchase price allocation may occur. The goodwill was primarily a result of expected synergies from combining the acquired businesses with our existing operations and was tax deductible.</w:t>
      </w:r>
    </w:p>
    <w:p>
      <w:pPr>
        <w:spacing w:after="0" w:line="183" w:lineRule="exact"/>
        <w:rPr>
          <w:sz w:val="20"/>
          <w:szCs w:val="20"/>
          <w:color w:val="auto"/>
        </w:rPr>
      </w:pPr>
    </w:p>
    <w:p>
      <w:pPr>
        <w:ind w:left="420" w:hanging="370"/>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Divestitures, Asset Impairments and Unusual Items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we recognized a $17 million charge in the first quarter in our Corporate and Other segment to adjust an indirect wholly-owned subsidiary’s estimated potential share of the liability for a proposed environmental remediation plan at a closed site, as discussed in Note 6.</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2021, we recognized net gains of $17 million consisting of (i) an $8 million gain in the first quarter from divestitures of certain ancillary operations in our Other segment and (ii) a $35 million pre-tax gain in the third quarter from the recognition of cumulative translation adjustments on the divestiture of certain non-strategic Canadian operations in our East Tier segment. These gains were partially offset by (i) a $20 million charge pertaining to reserves for loss contingencies in our Corporate and Other segment and (ii) $6 million of asset impairment charges primarily related to our WM Renewable Energy business within our Other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Accumulated Other Comprehensive Income (Loss)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2"/>
                <w:szCs w:val="12"/>
                <w:color w:val="auto"/>
              </w:rPr>
            </w:pPr>
          </w:p>
        </w:tc>
        <w:tc>
          <w:tcPr>
            <w:tcW w:w="4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48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tax expense (benefit) of $0, $(10), $0 and $0, respectively</w:t>
            </w:r>
          </w:p>
        </w:tc>
        <w:tc>
          <w:tcPr>
            <w:tcW w:w="3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 net of tax (expense) benefit of $(1), $0, $0 and</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 respectively</w:t>
            </w: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3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Common Stock Repurchase Program</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the fourth quarter of 2021, we executed an accelerated share repurchase (“ASR”) agreement to repurchase $350 million of our common stock. At the beginning of the repurchase period, we delivered $350 million in cash and received 1.7 million shares based on a stock price of $160.67. The ASR agreement completed in January 2022, at which time we received 0.4 million additional shares based on a final weighted average price of $160.33.</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entered into and completed three ASR agreements to repurchase $1.0 billion of our common stock, and we received 6.3 million shares based on a final weighted average price of $160.56.</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addition, we also repurchased an additional 0.4 million shares in open market transactions in compliance with Rule 10b5-1 and Rule 10b-18 of the Exchange Act for $63 million, inclusive of per-share commissions, at a weighted average price of $151.30, of which $2 million was paid in October 2022.</w:t>
      </w:r>
    </w:p>
    <w:p>
      <w:pPr>
        <w:spacing w:after="0" w:line="176"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has authorization for $437 million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assets and liabilities that are measured at fair value on a recurring basis include the following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8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(a)</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unobservable inputs (Level 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Redeemable preferred stock (b)</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available-for-sale securities primarily relate to debt securities with maturities over the next ten years.</w:t>
      </w:r>
    </w:p>
    <w:p>
      <w:pPr>
        <w:spacing w:after="0" w:line="117"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which is classified as an available-for-sale debt security, has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8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for information related to our nonrecurring fair value measurements and the impact of impairments.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2022 and December 31, 2021, the carrying value of our debt was $14.1 billion and $13.4 billion, respectively. The estimated fair value of our debt was approximately $12.6 billion and $14.1 billion as of September 30, 2022 and December 31, 2021, respectively. The decrease in the fair value of debt is primarily related to increases in current market rates of our senior notes.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September 30, 2022 and December 31, 2021. These amounts have not been revalued since those dates, and current estimates of fair value could differ significantly from the amounts presented.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Following is a description of our financial interests in unconsolidated and consolidated variable interest entities that we consider significant: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entities. Accordingly, we account for these investments under the equity method of accounting. Our aggregate investment balance in these entities was $339 million and $178 million as of September 30, 2022 and December 31, 2021, respectively. The debt balance related to our investments in low-income housing properties was $310 million and $156 million as of September 30, 2022 and December 31, 2021, respectively. Additional information related to these investments is discussed in Note 4.</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$90 million and $110 million as of September 30, 2022 and December 31, 2021, respectively.</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funds accounts in our Condensed Consolidated Balance Sheets. Unrealized gains and losses on available-for-sale securities held by these trusts are recorded as a component of accumulated other comprehensive income (loss). These trusts had a fair value of $112 million and $117 million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4" w:name="page25"/>
    <w:bookmarkEnd w:id="24"/>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2021.</w:t>
      </w:r>
    </w:p>
    <w:p>
      <w:pPr>
        <w:spacing w:after="0" w:line="180" w:lineRule="exact"/>
        <w:rPr>
          <w:sz w:val="20"/>
          <w:szCs w:val="20"/>
          <w:color w:val="auto"/>
        </w:rPr>
      </w:pPr>
    </w:p>
    <w:p>
      <w:pPr>
        <w:jc w:val="both"/>
        <w:ind w:left="60" w:right="59" w:firstLine="38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 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consummate and integrate acquisitions; failure to obtain the results anticipated from acquisitions;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changes in wage and labor related regulations; significant storms and destructive climate events; public health risk and other impacts of COVID-19 or similar pandemic conditions, including related regulations, resulting in increased costs and social, labor and commercial disruption; macroeconomic pressures and market disruption resulting in labor, supply chain and transportation constraints and inflationary cost pressure; increased competition; pricing actions; commodity price fluctuations; impacts from Russia’s invasion of Ukraine and the resulting geopolitical conflict and international response, including increased risk of cyber incidents and exacerbation of market disruption, inflationary cost pressure and changes in commodity prices, fuel and other energy costs;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and human capital management system; failure to prevent, detect and address cybersecurity incidents or comply with privacy regulations; negative outcomes of litigation or governmental proceedings; decisions or developments that result in impairment charges and other risks discussed in our filings with the SEC, including Part I, Item 1A of our Annual Report on Form 10-K for the year ended December 31, 2021. We assume no obligation to update any forward-looking statement, including financial estimates and forecasts, whether as a result of future events, circumstances or developments or otherwise.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We are also a leading developer, operator and owner of landfill gas-to-energy facilities in the U.S. and Canada that produce renewable electricity and renewable natural gas, which is a significant source of fuel for our natural gas fleet. Additionally, we are a leading recycler in the U.S. and Canada, handling materials that include paper, cardboard, glass, plastic and metal. Our “Solid Waste” business is operated and managed locally by our subsidiaries that focus on distinct geographic areas and provide collection, transfer, disposal, and recycling and resource recovery services.</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2021, our senior management began evaluating, overseeing, and managing the financial performance of our Solid Waste operations through two operating segments. Our East Tier primarily consists of geographic areas located in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5" w:name="page26"/>
    <w:bookmarkEnd w:id="25"/>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Eastern U.S., the Great Lakes region and substantially all of Canada. Our West Tier primarily includes geographic areas located in the Western U.S., including the upper Midwest region, and British Columbia, Canada. Each of our Solid Waste operating segments provides integrated environmental services, including collection, transfer, recycling, and disposal.</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considering our cost of loading, transporting, and disposing of the solid waste at a disposal site. Recycling revenues generally consist of tipping fees and the sale of recycling commodities to third parties. The fees we charge for our services generally include our environmental, fuel surcharge and regulatory recovery fees which are intended to pass through to customers direct and indirect costs incurred. We also provide additional services that are not managed through our Solid Waste business, described under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below.</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As North America’s leading provider of comprehensive environmental solutions, sustainability and environmental stewardship is embedded in all that we do. We have enabled a people-first, technology-led focus to drive our mission to maximize resource value, while minimizing environmental impact, so that both our economy and our environment can thrive.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and investing in automation to improve processes and drive operational efficiency will yield an attractive total cost structure and enhanced service quality. While we continue to improve existing diversion technologies, such as through investments in our recycling operations, we are also evaluating and pursuing emerging diversion technologies that may generate additional value.</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the leading waste management environmental services provider in North America, we are taking big, bold steps to catalyze positive change – change that will impact our Company as well as the communities we serve. Consistent with our Company’s long-standing commitment to sustainability and environmental stewardship, we published our 2022 Sustainability Report providing details on our Environmental, Social and Governance (“ESG”) performance and outlining new 2030 priorities. The Sustainability Report conveys the strong linkage between the Company’s ESG goals and our growth strategy, inclusive of the planned expansion of the Company’s recycling and renewable energy businesses. The information in this report can be found at https://sustainability.wm.com but it does not constitute a part of, and is not incorporated by reference into, this Quarterly Report on Form 10-Q.</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6" w:name="page27"/>
    <w:bookmarkEnd w:id="26"/>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a heightened pace of inflation. Volume changes can fluctuate dramatically by line of business and volume changes in higher margin businesses, such as what we saw with COVID-19, can impact key financial metrics. We must dynamically manage our cost structure in response to volume changes and cost inflation.</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Enhancements made through this initiative are intended to seamlessly and digitally connect all the Company’s functions required to service our customers in order to provide the best experience and service. In late 2021, we began to execute on the next phase of this technology enablement strategy to automate and optimize certain elements of our service delivery model. This next phase will prioritize reduced labor dependency on certain high-turnover jobs, particularly in customer experience, recycling and residential collection. We continue to make these investments to further digitalize our customer self-service and implement technologies to further enhance the safety, reliability and efficiency of our collection operations. Additionally, in 2022, we implemented our new enterprise resource planning systems that will contribute to operational and service excellence by empowering our people through modern, simplified and connected finance, accounting and human capital management platforms.</w:t>
      </w:r>
    </w:p>
    <w:p>
      <w:pPr>
        <w:spacing w:after="0" w:line="187"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Certain macroeconomic pressures and market disruption, driven in part by the COVID-19 pandemic and other external events and conditions, including rising inflation and a constrained labor market, intensified during the second half of 2021 and have continued throughout 2022. The constrained labor market has resulted in increased costs for wage adjustments, overtime hours and training new hires to address frontline employee turnover, increased volume, and operational challenges. The COVID-19 pandemic and other external events and conditions have also contributed to significant global supply chain disruption and inflationary pressure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 Additionally, demand for recycled material strengthened through 2021 and into early 2022, moderating during the second quarter and began to decline in the third quarter of 2022. Continued significant headwinds are expected for the remainder of the year and into 2023 amid significant price declines resulting from the slowdown in the global economy, which is reducing retail demand and the need for package shipping. We are also currently experiencing margin pressures from commodity-driven business impacts, particularly from higher fuel prices. The extent and duration of the impact of these labor market, supply chain, transportation and recycling challenges are subject to numerous external factors beyond our control, including broader macroeconomic conditions; size, location, and qualifications of the labor pool; wage and price structures; adoption of new or revised regulations; future resurgence in pandemic conditions and restrictions; geopolitical conflicts and responses and supply and demand for recycled materials. As we experience inflationary cost pressures, we focus on our strategic pricing efforts, as well as operating efficiencies and cost controls, to maintain and grow our earnings and cash flow. With these macroeconomic pressures, we remain focused on putting our people first to ensure that they are well positioned to execute our daily operations diligently and safely. We are encouraged by our results in 2022 and remain focused on delivering outstanding customer service, managing our variable costs with changing volumes and investing in technology that will enhance our customers’ experience and reduce our cost to serve.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Quarter Financial Results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third quarter of 2022, we delivered strong revenue and income from operations as we continued to experience yield and volume improvement in our collection and disposal business. We remain diligent in offering a competitively profitable service that meets the needs of our customers and are focused on driving operating efficiencies and reducing discretionary spend. We continue to invest in our people through market wage adjustments, investments in our digital platform and training for new team members. Despite the significant downturn in commodity prices for recyclable material, which were caused by overall lower demand and growing supply led by global economic conditions, we remain committed to our investment in recycling automation, which reduces costs and increases throughput, positioning us to overcome commodity price headwinds and deliver a differentiated service. We also continue to make investments in automation and optimization to enhance our operational efficiency and improve labor productivity for all lines of business. During the third quarter of 2022, we allocated $757 million of available cash to capital expenditures, both as a continuing investment in our traditional solid waste business and to support growth in our sustainability asset network. We also allocated $808 million to our shareholders through dividends and common stock repurchases.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financial results for the third quarter include:</w:t>
      </w:r>
    </w:p>
    <w:p>
      <w:pPr>
        <w:spacing w:after="0" w:line="117" w:lineRule="exact"/>
        <w:rPr>
          <w:sz w:val="20"/>
          <w:szCs w:val="20"/>
          <w:color w:val="auto"/>
        </w:rPr>
      </w:pPr>
    </w:p>
    <w:p>
      <w:pPr>
        <w:jc w:val="both"/>
        <w:ind w:left="720" w:right="7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$5,075 million, compared with $4,665 million in the prior year period, an increase of $410 million, or 8.8%. The increase is primarily attributable to (i) higher yield in our collection and disposal lines of business;</w:t>
      </w:r>
    </w:p>
    <w:p>
      <w:pPr>
        <w:ind w:left="720" w:right="79" w:firstLine="5"/>
        <w:spacing w:after="0" w:line="260" w:lineRule="auto"/>
        <w:tabs>
          <w:tab w:leader="none" w:pos="9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from our fuel surcharge program and (iii) volume growth. These increases were partially offset by lower average market prices for recycling commodities;</w:t>
      </w:r>
    </w:p>
    <w:p>
      <w:pPr>
        <w:spacing w:after="0" w:line="73"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$3,156 million, or 62.2% of revenues, compared with $2,906 million, or 62.3% of revenues, in the prior year period. The $250 million increase is primarily attributable to (i) inflationary cost pressures, particularly for maintenance and repairs and subcontractor costs; (ii) commodity-driven business impacts from higher fuel prices and (iii) labor cost pressure from frontline employee wage adjustments. These increases were partially offset by (i) a $26 million catch-up benefit from the extension of alternative fuel tax credits during the quarter that was retroactive to January 1, 2022 and (ii) the commodity-driven business impacts of lower recycling rebates. Operating expense as a percentage of revenue improved in the collection and disposal business as pricing and operating efficiencies worked to overcome inflationary cost pressures. This improvement was largely offset by the impacts of a sharp decline in market prices for recycled commodities;</w:t>
      </w:r>
    </w:p>
    <w:p>
      <w:pPr>
        <w:spacing w:after="0" w:line="80"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$473 million, or 9.3% of revenues, compared with $469 million, or 10.1% of revenues, in the prior year period. The $4 million increase is primarily attributable to strategic investments in our digital platform, including those that support our ongoing sustainability initiatives;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$942 million, or 18.6% of revenues, compared with $806 million, or 17.3% of revenues, in the prior year period. The increase in the current quarter was primarily driven by deliberate steps to grow revenue and effectively manage costs through operational efficiencies, which allowed us to overcome inflationary pressures;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was $639 million, or $1.54 per diluted share, compared with $538 million, or $1.28 per diluted share, in the prior year period. With the increase in income from operations, as discussed above, there was also an increase in our income tax expense impacting our net income;</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$1,182 million compared with $1,184 million in the prior year period. Our net cash provided by operating activities was relatively flat when compared to the prior year period, primarily due to higher earnings offset by the effect of increased tax payments and an increase in the number of payroll cycles in the current year period; and</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Free cash flow was $432 million compared with $773 million in the prior year period. The decrease in free cash flow is primarily attributable to (i) an increase in capital spending, primarily driven by our intentional investment in sustainability growth projects as well as timing differences in our fixed asset purchases to support our ongoing operations and (ii) lower proceeds from divestitures of businesses. Free cash flow is a non-GAAP measure of liquidity. Refer to </w:t>
      </w: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 xml:space="preserve"> below for our definition of free cash flow, additional information about our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8" w:name="page29"/>
    <w:bookmarkEnd w:id="28"/>
    <w:p>
      <w:pPr>
        <w:ind w:left="720" w:right="79"/>
        <w:spacing w:after="0" w:line="282" w:lineRule="auto"/>
        <w:rPr>
          <w:sz w:val="20"/>
          <w:szCs w:val="20"/>
          <w:color w:val="auto"/>
        </w:rPr>
      </w:pPr>
      <w:r>
        <w:rPr>
          <w:rFonts w:ascii="Times New Roman" w:cs="Times New Roman" w:eastAsia="Times New Roman" w:hAnsi="Times New Roman"/>
          <w:sz w:val="18"/>
          <w:szCs w:val="18"/>
          <w:color w:val="auto"/>
        </w:rPr>
        <w:t>use of this measure, and a reconciliation to net cash provided by operating activities, which is the most comparable GAAP measure.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evaluate, oversee and manage the financial performance of our Solid Waste business subsidiaries through our East and West Tiers. We also provide additional services that are not managed through our Solid Waste business, including both our Strategic Business Solutions (“WMSBS”) and sustainability businesses, which include landfill gas-to-energy services, environmental solutions services and recycling brokerage services. We also offer certain other expanded service offerings and solutions. The mix of operating revenues from our major lines of business is reflected in the table below (in millions):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3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Recycling</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(b)</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54"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line of business includes (i) certain services provided by our WMSBS business; (ii) certain services within our sustainability business, including our landfill gas-to-energy operations managed by our WM Renewable Energy business, our construction and remediation services and our services associated with the disposal of fly ash and (iii)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8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in the Condensed Consolidated Financial Statements included within this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9" w:name="page30"/>
    <w:bookmarkEnd w:id="29"/>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changes in revenues and average yield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780" w:type="dxa"/>
            <w:vAlign w:val="bottom"/>
            <w:gridSpan w:val="9"/>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80" w:type="dxa"/>
            <w:vAlign w:val="bottom"/>
            <w:gridSpan w:val="9"/>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left="6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5"/>
          </w:tcPr>
          <w:p>
            <w:pPr>
              <w:jc w:val="center"/>
              <w:ind w:left="165"/>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80" w:type="dxa"/>
            <w:vAlign w:val="bottom"/>
            <w:gridSpan w:val="9"/>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September 30, 2022 vs. 2021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8"/>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September 30, 2022 vs. 2021</w:t>
            </w: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11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100" w:type="dxa"/>
            <w:vAlign w:val="bottom"/>
            <w:gridSpan w:val="3"/>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6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7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Business(a)   Amount</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Recycling (c)</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Fuel surcharges and</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w:t>
            </w:r>
          </w:p>
        </w:tc>
        <w:tc>
          <w:tcPr>
            <w:tcW w:w="12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average yield (e)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$ 1,255</w:t>
            </w:r>
          </w:p>
        </w:tc>
        <w:tc>
          <w:tcPr>
            <w:tcW w:w="8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Volume (d)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revenue growth</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$ 1,510</w:t>
            </w:r>
          </w:p>
        </w:tc>
        <w:tc>
          <w:tcPr>
            <w:tcW w:w="8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and changes in fees.</w:t>
      </w:r>
    </w:p>
    <w:p>
      <w:pPr>
        <w:spacing w:after="0" w:line="11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2021, includes changes in our revenue attributable to our WM Renewable Energy business from yield and volume. We have revised our prior year results to conform with the current year presentation.</w:t>
      </w:r>
    </w:p>
    <w:p>
      <w:pPr>
        <w:spacing w:after="0" w:line="53" w:lineRule="exact"/>
        <w:rPr>
          <w:rFonts w:ascii="Times New Roman" w:cs="Times New Roman" w:eastAsia="Times New Roman" w:hAnsi="Times New Roman"/>
          <w:sz w:val="18"/>
          <w:szCs w:val="18"/>
          <w:color w:val="auto"/>
        </w:rPr>
      </w:pPr>
    </w:p>
    <w:p>
      <w:pPr>
        <w:ind w:left="380" w:right="179" w:hanging="330"/>
        <w:spacing w:after="0" w:line="499"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 The following provides further details about our period-to-period change in revenues: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 from the pricing activities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0" w:name="page31"/>
    <w:bookmarkEnd w:id="30"/>
    <w:p>
      <w:pPr>
        <w:ind w:left="380"/>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240" w:type="dxa"/>
            <w:vAlign w:val="bottom"/>
          </w:tcPr>
          <w:p>
            <w:pPr>
              <w:spacing w:after="0"/>
              <w:rPr>
                <w:sz w:val="13"/>
                <w:szCs w:val="13"/>
                <w:color w:val="auto"/>
              </w:rPr>
            </w:pPr>
          </w:p>
        </w:tc>
        <w:tc>
          <w:tcPr>
            <w:tcW w:w="2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160" w:type="dxa"/>
            <w:vAlign w:val="bottom"/>
          </w:tcPr>
          <w:p>
            <w:pPr>
              <w:spacing w:after="0"/>
              <w:rPr>
                <w:sz w:val="13"/>
                <w:szCs w:val="13"/>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3"/>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3"/>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2"/>
                <w:szCs w:val="12"/>
                <w:color w:val="auto"/>
              </w:rPr>
            </w:pPr>
          </w:p>
        </w:tc>
      </w:tr>
      <w:tr>
        <w:trPr>
          <w:trHeight w:val="173"/>
        </w:trPr>
        <w:tc>
          <w:tcPr>
            <w:tcW w:w="4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September 30, 2022 vs. 2021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September 30, 2022 vs. 2021</w:t>
            </w:r>
          </w:p>
        </w:tc>
        <w:tc>
          <w:tcPr>
            <w:tcW w:w="160" w:type="dxa"/>
            <w:vAlign w:val="bottom"/>
          </w:tcPr>
          <w:p>
            <w:pPr>
              <w:spacing w:after="0"/>
              <w:rPr>
                <w:sz w:val="15"/>
                <w:szCs w:val="15"/>
                <w:color w:val="auto"/>
              </w:rPr>
            </w:pPr>
          </w:p>
        </w:tc>
      </w:tr>
      <w:tr>
        <w:trPr>
          <w:trHeight w:val="117"/>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r>
      <w:tr>
        <w:trPr>
          <w:trHeight w:val="176"/>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60" w:type="dxa"/>
            <w:vAlign w:val="bottom"/>
          </w:tcPr>
          <w:p>
            <w:pPr>
              <w:spacing w:after="0"/>
              <w:rPr>
                <w:sz w:val="15"/>
                <w:szCs w:val="15"/>
                <w:color w:val="auto"/>
              </w:rPr>
            </w:pPr>
          </w:p>
        </w:tc>
      </w:tr>
      <w:tr>
        <w:trPr>
          <w:trHeight w:val="173"/>
        </w:trPr>
        <w:tc>
          <w:tcPr>
            <w:tcW w:w="4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Borders>
              <w:bottom w:val="single" w:sz="8" w:color="CCEEFF"/>
            </w:tcBorders>
          </w:tcPr>
          <w:p>
            <w:pPr>
              <w:spacing w:after="0"/>
              <w:rPr>
                <w:sz w:val="15"/>
                <w:szCs w:val="15"/>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tcPr>
          <w:p>
            <w:pPr>
              <w:spacing w:after="0"/>
              <w:rPr>
                <w:sz w:val="18"/>
                <w:szCs w:val="18"/>
                <w:color w:val="auto"/>
              </w:rPr>
            </w:pPr>
          </w:p>
        </w:tc>
      </w:tr>
      <w:tr>
        <w:trPr>
          <w:trHeight w:val="210"/>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overall strategic pricing efforts are focused on recovering inflationary cost increases we experience in our business by increasing our average unit rate. We continue to experience strong average yield growth in our collection line of business of 8.7% and 7.8% for the three and nine months ended September 30, 2022, respectively, illustrating our focus on our pricing efforts in this inflationary environment. We are also continuing to see growth in our disposal business, with our municipal solid waste experiencing 6.5% and 6.1% average yield growth for the three and nine months ended September 30, 2022, respectively.</w:t>
      </w:r>
    </w:p>
    <w:p>
      <w:pPr>
        <w:spacing w:after="0" w:line="185" w:lineRule="exact"/>
        <w:rPr>
          <w:sz w:val="20"/>
          <w:szCs w:val="20"/>
          <w:color w:val="auto"/>
        </w:rPr>
      </w:pPr>
    </w:p>
    <w:p>
      <w:pPr>
        <w:jc w:val="both"/>
        <w:ind w:left="60" w:right="7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Recycling </w:t>
      </w:r>
      <w:r>
        <w:rPr>
          <w:rFonts w:ascii="Times New Roman" w:cs="Times New Roman" w:eastAsia="Times New Roman" w:hAnsi="Times New Roman"/>
          <w:sz w:val="18"/>
          <w:szCs w:val="18"/>
          <w:color w:val="auto"/>
        </w:rPr>
        <w:t>— Recycling revenue decreased $54 million and increased $158 million for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2022, respectively, as compared with the prior year periods. Demand for recycled material strengthened through 2021 and into early 2022, moderating during the second quarter and began to decline in the third quarter of 2022. Continued significant headwinds are expected for the remainder of the year and into 2023 amid significant price declines resulting from the slowdown in the global economy, which is reducing retail demand and the need for package shipping. During the third quarter of 2022, average market prices for recycling commodities at the Company’s facilities were approximately 30% lower as compared to the prior year period.</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Fuel Surcharges and Other — </w:t>
      </w:r>
      <w:r>
        <w:rPr>
          <w:rFonts w:ascii="Times New Roman" w:cs="Times New Roman" w:eastAsia="Times New Roman" w:hAnsi="Times New Roman"/>
          <w:sz w:val="18"/>
          <w:szCs w:val="18"/>
          <w:color w:val="auto"/>
        </w:rPr>
        <w:t>These fees, which include (i) our fuel surcharge program; (ii) yield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 Renewable Energy business and (iii) other mandated fees, increased $132 million and $375 million for the three and nine months ended September 30, 2022, respectively, as compared with the prior year periods. Fuel surcharge revenues are based on and fluctuate in response to changes in the national average prices for diesel fuel, and also vary with changes in our volume-based revenue activity. Revenue from our fuel surcharge program increased $123 million and $324 million for the three and nine months ended September 30, 2022, respectively, as compared with the prior year periods. Market prices for diesel fuel increased approximately 55% and 60% for the three and nine months ended September 30, 2022, respectively, as compared with the prior year periods. Revenue from yield growth in our WM Renewable Energy business increased $8 million and $46 million for the three and nine months ended September 30, 2022, respectively, as compared with the prior year periods. This increase was primarily driven by increases in the value for electricity and renewable natural gas. The mandated fees are primarily related to fees and taxes assessed by various state, county and municipal government agencies at our landfills and transfer stations. These amounts have not significantly impacted the change in revenue for the three and nine months ended September 30, 2022, as compared with the prior year periods.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revenues from volumes (excluding volumes from acquisitions and divestitures) increased $47 million, or 1.0%, and $264 million, or 2.0%, for the three and nine months ended September 30, 2022, respectively, as compared with the prior year periods. Our collection and disposal business volumes grew 1.4% and 2.5% for the three and nine months ended September 30, 2022, respectively, as compared with the prior year periods.</w:t>
      </w:r>
    </w:p>
    <w:p>
      <w:pPr>
        <w:spacing w:after="0" w:line="180" w:lineRule="exact"/>
        <w:rPr>
          <w:sz w:val="20"/>
          <w:szCs w:val="20"/>
          <w:color w:val="auto"/>
        </w:rPr>
      </w:pPr>
    </w:p>
    <w:p>
      <w:pPr>
        <w:jc w:val="both"/>
        <w:ind w:left="60" w:right="79" w:firstLine="259"/>
        <w:spacing w:after="0" w:line="282" w:lineRule="auto"/>
        <w:rPr>
          <w:sz w:val="20"/>
          <w:szCs w:val="20"/>
          <w:color w:val="auto"/>
        </w:rPr>
      </w:pPr>
      <w:r>
        <w:rPr>
          <w:rFonts w:ascii="Times New Roman" w:cs="Times New Roman" w:eastAsia="Times New Roman" w:hAnsi="Times New Roman"/>
          <w:sz w:val="18"/>
          <w:szCs w:val="18"/>
          <w:color w:val="auto"/>
        </w:rPr>
        <w:t>Our third quarter of 2022 volume growth has moderated when compared to the accelerated volume recovery from COVID-related impacts experienced in the prior year period. Special waste volumes at our landfills have been the most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1" w:name="page32"/>
    <w:bookmarkEnd w:id="31"/>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significant driver of volume growth, primarily due to an increase in event-driven projects. In addition, our WMSBS business volumes grew as a result of our continued focus on a differentiated service model for national accounts customers.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(in millions of dollars and as a percentage of revenues):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$ 2,563</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$ 2,372</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r>
      <w:tr>
        <w:trPr>
          <w:trHeight w:val="43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repairs</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24"/>
                <w:szCs w:val="24"/>
                <w:color w:val="auto"/>
              </w:rPr>
            </w:pPr>
          </w:p>
        </w:tc>
      </w:tr>
      <w:tr>
        <w:trPr>
          <w:trHeight w:val="432"/>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 costs</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24"/>
                <w:szCs w:val="24"/>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operating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management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tcPr>
          <w:p>
            <w:pPr>
              <w:spacing w:after="0"/>
              <w:rPr>
                <w:sz w:val="18"/>
                <w:szCs w:val="18"/>
                <w:color w:val="auto"/>
              </w:rPr>
            </w:pPr>
          </w:p>
        </w:tc>
      </w:tr>
      <w:tr>
        <w:trPr>
          <w:trHeight w:val="426"/>
        </w:trPr>
        <w:tc>
          <w:tcPr>
            <w:tcW w:w="3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3,156</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2,906</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62.3 %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$ 9,201</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62.3 %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$ 8,156</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operating expenses increased primarily due to (i) inflationary cost pressures, particularly for maintenance and repairs and subcontractor costs; (ii) commodity-driven business impacts from higher fuel prices and (iii) labor cost pressure from frontline employee wage adjustments. These increases were partially offset in the third quarter of 2022 by (i) a $26 million catch-up benefit from the extension of alternative fuel tax credits that was retroactive to January 1, 2022 and</w:t>
      </w:r>
    </w:p>
    <w:p>
      <w:pPr>
        <w:spacing w:after="0" w:line="3" w:lineRule="exact"/>
        <w:rPr>
          <w:sz w:val="20"/>
          <w:szCs w:val="20"/>
          <w:color w:val="auto"/>
        </w:rPr>
      </w:pPr>
    </w:p>
    <w:p>
      <w:pPr>
        <w:jc w:val="both"/>
        <w:ind w:left="60" w:right="59" w:hanging="10"/>
        <w:spacing w:after="0" w:line="253" w:lineRule="auto"/>
        <w:tabs>
          <w:tab w:leader="none" w:pos="3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commodity-driven business impacts from lower recycling rebates. For the nine months ended September 30, 2022, as compared with the prior year period, commodity-driven business impacts from higher recycling rebates in the first half of 2022 more than offset the decrease in the third quarter of 2022. We also continue to focus on operating efficiency and efforts to control costs.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items affecting the comparison of operating expenses for the reported periods include:</w:t>
      </w:r>
    </w:p>
    <w:p>
      <w:pPr>
        <w:spacing w:after="0" w:line="223" w:lineRule="exact"/>
        <w:rPr>
          <w:sz w:val="20"/>
          <w:szCs w:val="20"/>
          <w:color w:val="auto"/>
        </w:rPr>
      </w:pPr>
    </w:p>
    <w:p>
      <w:pPr>
        <w:ind w:left="60" w:right="79"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was largely driven by (i) proactive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wage adjustments to hire and retain talent; (ii) merit increases and annual incentive compensation costs and</w:t>
      </w:r>
    </w:p>
    <w:p>
      <w:pPr>
        <w:ind w:left="60" w:right="59" w:hanging="10"/>
        <w:spacing w:after="0" w:line="260" w:lineRule="auto"/>
        <w:tabs>
          <w:tab w:leader="none" w:pos="3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health and welfare costs attributable to our intentional investment in delivering a leading benefits program for our employees and increases in medical care activity.</w:t>
      </w:r>
    </w:p>
    <w:p>
      <w:pPr>
        <w:spacing w:after="0" w:line="179"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was largely driven by inflationary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which includes increased disposal fees at third-party sites and higher fuel from our third-party haulers.</w:t>
      </w:r>
    </w:p>
    <w:p>
      <w:pPr>
        <w:spacing w:after="0" w:line="15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was largely driven by (i) inflationary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for parts, supplies and third-party services; (ii) additional fleet maintenance driven by supply chain constraints, which have delayed deliveries of new trucks; (iii) labor cost increases for our technicians, including higher overtime and (iv) an increase in container repairs driven by delays in delivery of steel containers due to supply chain constraints.</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Subcontractor Costs </w:t>
      </w:r>
      <w:r>
        <w:rPr>
          <w:rFonts w:ascii="Times New Roman" w:cs="Times New Roman" w:eastAsia="Times New Roman" w:hAnsi="Times New Roman"/>
          <w:sz w:val="18"/>
          <w:szCs w:val="18"/>
          <w:color w:val="auto"/>
        </w:rPr>
        <w:t>— The increase in subcontractor costs was largely driven by (i) inflationary cost increases,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particularly for fuel and labor costs from third-party haulers and (ii) an increase in volumes in our WMSBS business, which relies more extensively on subcontracted hauling than our collection and disposal business.</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The increase in cost of goods sold for the nine months ended September 30, 2022,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an approximate 40% increase in recycling commodity prices for the six months ended June 30, 2022, as</w:t>
      </w:r>
    </w:p>
    <w:p>
      <w:pPr>
        <w:sectPr>
          <w:pgSz w:w="11900" w:h="16838" w:orient="portrait"/>
          <w:cols w:equalWidth="0" w:num="1">
            <w:col w:w="9019"/>
          </w:cols>
          <w:pgMar w:left="1440" w:top="87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32" w:name="page33"/>
    <w:bookmarkEnd w:id="32"/>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compared to the prior year period, partially offset by an approximate 30% decrease in recycling commodity prices for the three months ended September 30, 2022, as compared to the prior year period.</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Fuel </w:t>
      </w:r>
      <w:r>
        <w:rPr>
          <w:rFonts w:ascii="Times New Roman" w:cs="Times New Roman" w:eastAsia="Times New Roman" w:hAnsi="Times New Roman"/>
          <w:sz w:val="18"/>
          <w:szCs w:val="18"/>
          <w:color w:val="auto"/>
        </w:rPr>
        <w:t>— The increase in fuel costs was primarily due to increases in market diesel and natural gas fuel prices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September 30, 2022, respectively, as compared to the prior year periods. This increase was partially offset in the third quarter of 2022 by a $26 million catch-up benefit from the extension of alternative fuel tax credits that was retroactive to January 1, 2022.</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w:t>
      </w:r>
      <w:r>
        <w:rPr>
          <w:rFonts w:ascii="Times New Roman" w:cs="Times New Roman" w:eastAsia="Times New Roman" w:hAnsi="Times New Roman"/>
          <w:sz w:val="18"/>
          <w:szCs w:val="18"/>
          <w:color w:val="auto"/>
        </w:rPr>
        <w:t>— The increase in disposal and franchise fees and taxes was primarily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higher franchise fees paid to certain municipalities where we operate and overall rate increases in our fees and taxes paid on our disposal volumes.</w:t>
      </w:r>
    </w:p>
    <w:p>
      <w:pPr>
        <w:spacing w:after="0" w:line="17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w:t>
      </w:r>
      <w:r>
        <w:rPr>
          <w:rFonts w:ascii="Times New Roman" w:cs="Times New Roman" w:eastAsia="Times New Roman" w:hAnsi="Times New Roman"/>
          <w:sz w:val="18"/>
          <w:szCs w:val="18"/>
          <w:color w:val="auto"/>
        </w:rPr>
        <w:t>— Our landfill operating costs were essentially flat for the reported periods. The variability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reported periods is largely due to changes in the measurement of our environmental remediation obligations and recovery assets in 2022 and 2021. Our measurement of these balances includes application of a risk-free discount rate, which is based on the rate for U.S. Treasury bonds. In 2022, there was an increase in the discount rate, which resulted in a reduction in the net liability balance and a credit to expense.</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Risk management costs increased primarily due to inflation in premiums.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was also impacted by an increase in claims costs due to unfavorable cost development on a limited population of severe cases.</w:t>
      </w:r>
    </w:p>
    <w:p>
      <w:pPr>
        <w:spacing w:after="0" w:line="17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Other operating cost increases were primarily due to (i) inflationary cost pressures; (ii) a write-down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inventory related to Hurricane Ian; (iii) higher equipment rental costs attributable, in part, to supply chain constraints slowing normal course fleet and equipment orders and (iv) an increase in business travel in 2022. Additionally, a favorable litigation settlement in the second quarter of 2021 impacted the comparison for the nine months ended September 30, 2022.</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(in millions of dollars and as a percentage of revenues):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2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7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5"/>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$ 311</w:t>
            </w: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6.2 %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r>
      <w:tr>
        <w:trPr>
          <w:trHeight w:val="432"/>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24"/>
                <w:szCs w:val="24"/>
                <w:color w:val="auto"/>
              </w:rPr>
            </w:pPr>
          </w:p>
        </w:tc>
      </w:tr>
      <w:tr>
        <w:trPr>
          <w:trHeight w:val="425"/>
        </w:trPr>
        <w:tc>
          <w:tcPr>
            <w:tcW w:w="27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$ 473</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$ 469</w:t>
            </w: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10.1 %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9.8 %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1,372</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10.4 %</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have increased primarily due to strategic investments in our digital platform, including those that support our ongoing sustainability initiatives. Although our costs increased, the significant revenue increases positioned us to reduce our overall selling, general and administrative expenses as a percentage of revenues when compared with the prior year periods.</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our selling, general and administrative expenses for the reported periods include:</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—The decrease in labor and related benefits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as compared with the prior year period, is primarily related to lower long-term incentive compensation costs. Higher annual incentive compensation costs, annual merit increases and increases in health and welfare costs attributable to our intentional investment in delivering a leading benefits program for our employees and</w:t>
      </w:r>
    </w:p>
    <w:p>
      <w:pPr>
        <w:sectPr>
          <w:pgSz w:w="11900" w:h="16838" w:orient="portrait"/>
          <w:cols w:equalWidth="0" w:num="1">
            <w:col w:w="9019"/>
          </w:cols>
          <w:pgMar w:left="1440" w:top="87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type w:val="continuous"/>
        </w:sectPr>
      </w:pPr>
    </w:p>
    <w:bookmarkStart w:id="33" w:name="page34"/>
    <w:bookmarkEnd w:id="33"/>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increases in medical care activity partially offset such decrease for the three months ended September 30, 2022, and more than offset such decrease for the nine months ended September 30, 2022, as compared with the prior year periods.</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increase in professional fees was primarily driven by strategic investments in our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and sustainability initiatives. Partially offsetting these increases were lower integration costs related to our acquisition of Advanced Disposal Services, Inc. (“Advanced Disposal”).</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Provision for Bad Debts </w:t>
      </w:r>
      <w:r>
        <w:rPr>
          <w:rFonts w:ascii="Times New Roman" w:cs="Times New Roman" w:eastAsia="Times New Roman" w:hAnsi="Times New Roman"/>
          <w:sz w:val="18"/>
          <w:szCs w:val="18"/>
          <w:color w:val="auto"/>
        </w:rPr>
        <w:t>— The increase in provision for bad debts is primarily related to our increased revenue.</w:t>
      </w:r>
    </w:p>
    <w:p>
      <w:pPr>
        <w:spacing w:after="0" w:line="225"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The increase in other expenses was primarily driven by costs associated with an increase in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to support our strategic investments in our digital platform and an increase in business travel expense in 2022.</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and amortization expenses (in millions of dollars and as a percentage of revenues):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91"/>
        </w:trPr>
        <w:tc>
          <w:tcPr>
            <w:tcW w:w="32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Depreciation of tangible property and</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5.7 %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$ 282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432"/>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landfill airspace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r>
      <w:tr>
        <w:trPr>
          <w:trHeight w:val="425"/>
        </w:trPr>
        <w:tc>
          <w:tcPr>
            <w:tcW w:w="3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$ 503</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9.9 %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$ 517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11.1 %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1,489</w:t>
            </w: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0"/>
        </w:trPr>
        <w:tc>
          <w:tcPr>
            <w:tcW w:w="3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was primarily driven by investments in capital assets to service our customers, such as heavy equipment and containers. The decrease in amortization of landfill airspace for the three and nine months ended September 30, 2022 was primarily driven by a prior year charge of $15 million due to management’s decision to close a landfill in our West Tier segment earlier than expected, resulting in acceleration of the timing of capping, closure and post-closure activities during the third quarter of 2021. The decrease for the nine months ended September 30, 2022, when compared with the prior year period, was partially offset by landfill volume increases and changes in amortization rates from revisions in landfill estimates. The decrease in amortization of intangible assets was primarily driven by the reduction in amortization of acquired intangible assets from the acquisition of Advanced Disposal.</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we recognized a $17 million charge in the first quarter in our Corporate and Other segment to adjust an indirect wholly-owned subsidiary’s estimated potential share of the liability for a proposed environmental remediation plan at a closed site, as discussed in Note 6 to the Condensed Consolidated Financial Statements.</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2021, we recognized net gains of $17 million consisting of (i) an $8 million gain in the first quarter from divestitures of certain ancillary operations in our Other segment and (ii) a $35 million pre-tax gain in the third quarter from the recognition of cumulative translation adjustments on the divestiture of certain non-strategic Canadian operations in our East Tier segment. These gains were partially offset by (i) a $20 million charge pertaining to reserves for loss contingencies in our Corporate and Other segment and (ii) $6 million of asset impairment charges primarily related to our WM Renewable Energy business within our Other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4" w:name="page35"/>
    <w:bookmarkEnd w:id="3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20" w:type="dxa"/>
            <w:vAlign w:val="bottom"/>
          </w:tcPr>
          <w:p>
            <w:pPr>
              <w:spacing w:after="0"/>
              <w:rPr>
                <w:sz w:val="13"/>
                <w:szCs w:val="13"/>
                <w:color w:val="auto"/>
              </w:rPr>
            </w:pPr>
          </w:p>
        </w:tc>
        <w:tc>
          <w:tcPr>
            <w:tcW w:w="1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2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6"/>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60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$ 1,728</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$ 1,514</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$ 214</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Solid Waste</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 (b)</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$ 2,600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$ 2,247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$ 353</w:t>
            </w:r>
          </w:p>
        </w:tc>
        <w:tc>
          <w:tcPr>
            <w:tcW w:w="7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revenues</w:t>
            </w: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2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*Percentage change does not provide a meaningful comparison.</w:t>
      </w:r>
    </w:p>
    <w:p>
      <w:pPr>
        <w:spacing w:after="0" w:line="117" w:lineRule="exact"/>
        <w:rPr>
          <w:sz w:val="20"/>
          <w:szCs w:val="20"/>
          <w:color w:val="auto"/>
        </w:rPr>
      </w:pPr>
    </w:p>
    <w:p>
      <w:pPr>
        <w:jc w:val="both"/>
        <w:ind w:left="380" w:right="79" w:hanging="330"/>
        <w:spacing w:after="0" w:line="25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 elements of our WMSBS business that are not included in the operations of our reportable segments; (ii) elements of our sustainability business that includes landfill gas-to-energy operations managed by our WM Renewable Energy business, our environmental solutions services and recycling brokerage services and not included in the operations of our reportable segments; (iii) certain other expanded service offerings and solutions and (iv) the results of non-operating entities that provide financial assurance and self-insurance support for our Solid Waste business, net of intercompany activity.</w:t>
      </w:r>
    </w:p>
    <w:p>
      <w:pPr>
        <w:spacing w:after="0" w:line="79"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2021, we discontinued certain allocations from our Corporate and Other segment to our Solid Waste operating segments and Other segment. Reclassifications have been made to our prior period information for comparability purposes.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 as compared with the prior year periods, are summarized below:</w:t>
      </w:r>
    </w:p>
    <w:p>
      <w:pPr>
        <w:spacing w:after="0" w:line="97" w:lineRule="exact"/>
        <w:rPr>
          <w:sz w:val="20"/>
          <w:szCs w:val="20"/>
          <w:color w:val="auto"/>
        </w:rPr>
      </w:pPr>
    </w:p>
    <w:p>
      <w:pPr>
        <w:jc w:val="both"/>
        <w:ind w:left="720" w:right="79" w:hanging="319"/>
        <w:spacing w:after="0" w:line="253"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Solid Waste </w:t>
      </w:r>
      <w:r>
        <w:rPr>
          <w:rFonts w:ascii="Times New Roman" w:cs="Times New Roman" w:eastAsia="Times New Roman" w:hAnsi="Times New Roman"/>
          <w:sz w:val="18"/>
          <w:szCs w:val="18"/>
          <w:color w:val="auto"/>
        </w:rPr>
        <w:t>— Income from operations in our Solid Waste business increased primarily due to (i) revenue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collection and disposal businesses driven by both yield and volume and (ii) a $26 million catch-up benefit from the extension of alternative fuel tax credits that was retroactive to January 1, 2022. Our income from operations for the nine months ended September 30, 2022 was favorably impacted by an increase in our recycling line of business as a result of an overall increase in average market prices for recycling commodities during the first half of 2022. These increases were partially offset by (i) inflationary cost pressures; (ii) labor cost increases from frontline employee wage adjustments and (iii) commodity-driven business impacts from higher fuel prices. Additionally, the prior year included a pre-tax net gain from the recognition of cumulative translation adjustments on the divestiture of certain non-strategic Canadian operations in our East Tier segment and a charge due to management’s decision to close a landfill in our West Tier segment earlier than expected, resulting in acceleration of the timing of capping, closure and post-closure activities in the third quarter of 2021.</w:t>
      </w:r>
    </w:p>
    <w:p>
      <w:pPr>
        <w:spacing w:after="0" w:line="83" w:lineRule="exact"/>
        <w:rPr>
          <w:rFonts w:ascii="Times New Roman" w:cs="Times New Roman" w:eastAsia="Times New Roman" w:hAnsi="Times New Roman"/>
          <w:sz w:val="18"/>
          <w:szCs w:val="18"/>
          <w:color w:val="auto"/>
        </w:rPr>
      </w:pPr>
    </w:p>
    <w:p>
      <w:pPr>
        <w:jc w:val="both"/>
        <w:ind w:left="720" w:right="79" w:hanging="319"/>
        <w:spacing w:after="0" w:line="26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increase in income from operations from our Corporate and Other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2022, as compared with the prior year period, was primarily driven by</w:t>
      </w:r>
    </w:p>
    <w:p>
      <w:pPr>
        <w:jc w:val="both"/>
        <w:ind w:left="720" w:right="79" w:firstLine="5"/>
        <w:spacing w:after="0" w:line="253" w:lineRule="auto"/>
        <w:tabs>
          <w:tab w:leader="none" w:pos="98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long-term incentive compensation costs and (ii) lower integration costs from our acquisition of Advanced Disposal. Increased costs to support strategic investments in our digital platform, including those that support our ongoing sustainability initiatives, and increased labor costs from higher annual incentive costs and merit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5" w:name="page36"/>
    <w:bookmarkEnd w:id="35"/>
    <w:p>
      <w:pPr>
        <w:ind w:left="720" w:right="79"/>
        <w:spacing w:after="0" w:line="282" w:lineRule="auto"/>
        <w:rPr>
          <w:sz w:val="20"/>
          <w:szCs w:val="20"/>
          <w:color w:val="auto"/>
        </w:rPr>
      </w:pPr>
      <w:r>
        <w:rPr>
          <w:rFonts w:ascii="Times New Roman" w:cs="Times New Roman" w:eastAsia="Times New Roman" w:hAnsi="Times New Roman"/>
          <w:sz w:val="18"/>
          <w:szCs w:val="18"/>
          <w:color w:val="auto"/>
        </w:rPr>
        <w:t>increases, partially offset the three months ended September 30, 2022, and more than offset the nine months ended September 30, 2022, as compared with the prior year periods.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w:t>
      </w:r>
    </w:p>
    <w:p>
      <w:pPr>
        <w:spacing w:after="0" w:line="229" w:lineRule="exact"/>
        <w:rPr>
          <w:sz w:val="20"/>
          <w:szCs w:val="20"/>
          <w:color w:val="auto"/>
        </w:rPr>
      </w:pPr>
    </w:p>
    <w:p>
      <w:pPr>
        <w:jc w:val="both"/>
        <w:ind w:left="60" w:right="59" w:firstLine="259"/>
        <w:spacing w:after="0" w:line="253" w:lineRule="auto"/>
        <w:rPr>
          <w:sz w:val="20"/>
          <w:szCs w:val="20"/>
          <w:color w:val="auto"/>
        </w:rPr>
      </w:pPr>
      <w:r>
        <w:rPr>
          <w:rFonts w:ascii="Times New Roman" w:cs="Times New Roman" w:eastAsia="Times New Roman" w:hAnsi="Times New Roman"/>
          <w:sz w:val="18"/>
          <w:szCs w:val="18"/>
          <w:color w:val="auto"/>
        </w:rPr>
        <w:t>Our interest expense, net was $91 million and $269 million for the three and nine months ended September 30, 2022, respectively, compared to $87 million and $282 million for the three and nine months ended September 30, 2021, respectively. The increase for the third quarter primarily related to borrowings incurred under our $1.0 billion two-year, U.S. term credit agreement (“Term Loan”) in the second quarter of 2022. The decrease for the nine months ended September 30, 2022, as compared with the prior year period, is primarily due to the retirement of $1.3 billion of certain high coupon senior notes and concurrent issuance of $950 million of lower coupon senior notes in May 2021 and, to a lesser extent, the impacts that lower interest rates had on the cost of certain of our tax-exempt debt during the first quarter of 2022. Also impacting the three and nine months ended September 30, 2022, were benefits from higher capitalized interest and increases in interest income as a result of higher cash and cash equivalents balances. During 2022, we have started to see an increase in interest rates on our floating-rate debt, including commercial paper and variable-rate tax-exempt bonds. The impact of the increase is immaterial to the reported periods; however, we expect interest expense to meaningfully increase in 2023. See Note 3 to the Condensed Consolidated Financial Statements for more information related to our debt balances.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29" w:lineRule="exact"/>
        <w:rPr>
          <w:sz w:val="20"/>
          <w:szCs w:val="20"/>
          <w:color w:val="auto"/>
        </w:rPr>
      </w:pPr>
    </w:p>
    <w:p>
      <w:pPr>
        <w:jc w:val="both"/>
        <w:ind w:left="60" w:right="59" w:firstLine="259"/>
        <w:spacing w:after="0" w:line="258" w:lineRule="auto"/>
        <w:rPr>
          <w:sz w:val="20"/>
          <w:szCs w:val="20"/>
          <w:color w:val="auto"/>
        </w:rPr>
      </w:pPr>
      <w:r>
        <w:rPr>
          <w:rFonts w:ascii="Times New Roman" w:cs="Times New Roman" w:eastAsia="Times New Roman" w:hAnsi="Times New Roman"/>
          <w:sz w:val="18"/>
          <w:szCs w:val="18"/>
          <w:color w:val="auto"/>
        </w:rPr>
        <w:t>In May 2021, WMI issued $950 million of senior notes. We used the net proceeds from the newly issued senior notes of $942 million and available cash on hand to retire $1.3 billion of certain high-coupon senior notes through a tender offer. The loss on early extinguishment of debt for the nine months ended September 30, 2021 includes $220 million of charges related to the tender offer, including $211 million of premiums and other third-party costs and $9 million primarily related to unamortized discounts and debt issuance costs.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in Net Losses of Unconsolidated Entities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recognized equity in net losses of unconsolidated entities of $17 million and $49 million during the three and nine months ended September 30, 2022, respectively, compared to $14 million and $34 million for the three months and nine months ended September 30, 2021, respectively. The losses for each period were primarily related to our noncontrolling interests in entities established to invest in and manage low-income housing properties. We generate tax benefits, including tax credits, from the losses incurred from these investments which are discussed in Note 4 to the Condensed Consolidated Financial Statements.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income tax expense was $189 million and $535 million for the three and nine months ended September 30, 2022, respectively, compared to $167 million and $396 million for the three and nine months ended September 30, 2021, respectively. Our effective income tax rate was 22.8% and 23.5% for the three and nine months ended September 30, 2022, respectively, compared to 23.7% and 23.2% for the three and nine months ended September 30, 2021, respectively.</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increase in our income tax expense when comparing the three and nine months ended September 30, 2022 and 2021 was primarily driven by an increase in pre-tax income in 2022. The decrease in our effective income tax rate when comparing the three months ended September 30, 2022 and 2021 was primarily driven by an unfavorable adjustment to accruals and related deferred taxes in 2021 due to a change from our initial expectations of the tax effects of our acquisition of Advanced Disposal and related divestitures. The decrease was offset in part by the divestiture of certain non-strategic Canadian operations in 2021, which was not taxable and did not reoccur in the current period, and an increase in pre-tax income in 2022 resulting in a reduced rate benefit from federal tax credits.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increase in our effective income tax rate when comparing the nine months ended September 30, 2022 and 2021 was primarily driven by an increase in pre-tax income in 2022 resulting in a reduced rate benefit from federal tax credits.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6" w:name="page37"/>
    <w:bookmarkEnd w:id="36"/>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The Inflation Reduction Act of 2022 (“IRA”) was signed into law by President Biden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16, 2022 and contains a number of tax-related provisions. We are in the process of evaluating the IRA and identifying all potential impacts that may be applicable. The provisions of the IRA related to alternative fuel tax credits secure approximately $55 million of annual benefit from tax credits through 2024, which is in line with the benefit we have realized from our alternative fuel tax credits in prior years. Additionally, we expect to incur an excise tax of 1% for future common stock repurchases, which will be reflected in the cost of purchasing the underlying shares as a component of treasury stock. The IRA contains a number of additional provisions related to tax incentives for investments in renewable energy production, carbon capture, and other climate actions, as well as the overall measurement of corporate taxes. Given the complexity and uncertainty around the applicability of the legislation to our specific facts and circumstances, we have not yet quantified any incremental benefits included in the legislation.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4 to the Condensed Consolidated Financial Statements for more information related to income taxes.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consistently generates cash flow from operations that meets and exceeds our working capital needs,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large value of unencumbered assets and modest leverage enable it to obtain adequate financing to meet its ongoing capital, operating, strategic and other liquidity requirements.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7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reserves</w:t>
            </w:r>
          </w:p>
        </w:tc>
        <w:tc>
          <w:tcPr>
            <w:tcW w:w="9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restricted funds (a)</w:t>
            </w:r>
          </w:p>
        </w:tc>
        <w:tc>
          <w:tcPr>
            <w:tcW w:w="7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portion</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7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and December 31, 2021, $83 million and $80 million, respectively, of these account balances were included in other current assets in our Condensed Consolidated Balance Sheets.</w:t>
      </w:r>
    </w:p>
    <w:p>
      <w:pPr>
        <w:spacing w:after="0" w:line="16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As of September 30, 2022, we had approximately $2.2 billion of debt maturing within the next 12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$839 million of short-term borrowings under our commercial paper program (net of related discount on issuance); (ii) $625 million of tax-exempt bonds with term interest rate periods that expire within the next 12 months, which is prior to their scheduled maturities; (iii) $500 million of 2.4% senior notes that mature in May 2023 and</w:t>
      </w:r>
    </w:p>
    <w:p>
      <w:pPr>
        <w:spacing w:after="0" w:line="1" w:lineRule="exact"/>
        <w:rPr>
          <w:sz w:val="20"/>
          <w:szCs w:val="20"/>
          <w:color w:val="auto"/>
        </w:rPr>
      </w:pPr>
    </w:p>
    <w:p>
      <w:pPr>
        <w:jc w:val="both"/>
        <w:ind w:left="60" w:right="59" w:hanging="10"/>
        <w:spacing w:after="0" w:line="253" w:lineRule="auto"/>
        <w:tabs>
          <w:tab w:leader="none" w:pos="3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 million of other debt with scheduled maturities within the next 12 months, including $136 million of tax-exempt bonds. As of September 30, 2022, we have classified $2.0 billion of debt maturing in the next 12 months as long term because we have the intent and ability to refinance these borrowings on a long-term basis as supported by the forecasted available capacity under our $3.5 billion long-term U.S. and Canadian revolving credit facility (“$3.5 billion revolving credit facility”). The remaining $258 million of debt maturing in the next 12 months is classified as current obligations.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7" w:name="page38"/>
    <w:bookmarkEnd w:id="37"/>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Additionally, as of September 30, 2022, we also had $54 million of variable-rate tax-exempt bonds with long-term scheduled maturities that are supported by letters of credit under our $3.5 billion revolving credit facility. The interest rates on our variable-rate tax-exempt bonds reset on a weekly basis through a remarketing process. All recent variable-rate tax-exempt bond remarketings have been successful at market-driven rates.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Condensed Consolidated Balance Sheet.</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May 2022, WMI issued $1.0 billion of 4.15% senior notes due April 15, 2032, the net proceeds of which were $992 million. We used the net proceeds to redeem our $500 million of 2.9% senior notes due September 2022 in advance of their scheduled maturity, to repay a portion of outstanding borrowings under our commercial paper program and for general corporate purposes.</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May 2022, we entered into a Term Loan to be used for general corporate purposes and as of September 30, 2022, we had $1.0 billion of outstanding borrowings. WM Holdings guarantees all of the obligations under the Term Loan.</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Amendment and Extension of Revolving Credit Facility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May 2022, we amended and restated our $3.5 billion U.S. and Canadian revolving credit facility extending the term through May 2027. The agreement includes a $1.0 billion accordion feature that may be used to increase total capacity in future periods, and we have the option to request up to two one-year extensions. Waste Management of Canada Corporation and WM Quebec Inc., each an indirect wholly-owned subsidiary of WMI, are borrowers under the $3.5 billion revolving credit facility, and the agreement permits borrowing in Canadian dollars up to the U.S. dollar equivalent of $375 million, with such borrowings to be repaid in Canadian dollars. WM Holdings, a wholly-owned subsidiary of WMI, guarantees all the obligations under the $3.5 billion revolving credit facility. Refer to Note 3 to the Condensed Consolidated Financial Statements for additional information.</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5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Advances due to affiliates (a)</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w:t>
            </w:r>
          </w:p>
        </w:tc>
      </w:tr>
      <w:tr>
        <w:trPr>
          <w:trHeight w:val="216"/>
        </w:trPr>
        <w:tc>
          <w:tcPr>
            <w:tcW w:w="6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w:t>
            </w:r>
          </w:p>
        </w:tc>
      </w:tr>
      <w:tr>
        <w:trPr>
          <w:trHeight w:val="108"/>
        </w:trPr>
        <w:tc>
          <w:tcPr>
            <w:tcW w:w="224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as Advances due to affiliates as of December 31, 2021 was understated in our Annual Report on Form 10-K for the year ended December 31, 2021 and subsequently corrected in our Quarterly Report on Form 10-Q for the quarter ended March 31,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8" w:name="page39"/>
    <w:bookmarkEnd w:id="38"/>
    <w:tbl>
      <w:tblPr>
        <w:tblLayout w:type="fixed"/>
        <w:tblInd w:w="4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6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Pr>
          <w:p>
            <w:pPr>
              <w:jc w:val="right"/>
              <w:ind w:right="38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nine months ended September 30 (in millions):</w:t>
      </w:r>
    </w:p>
    <w:p>
      <w:pPr>
        <w:spacing w:after="0" w:line="124"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5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69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(2,036)</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by $140 million as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period. The increase was largely driven by increased earnings in our collection and disposal, recycling and WM Renewable Energy lines of business for the nine months ended September 30, 2022. We also experienced lower interest payments due to timing and refinancing activities in 2021 that reduced our overall interest rate. Partially offsetting our increase in cash from operating activities were (i) timing differences on payments of certain trade accounts payables;</w:t>
      </w:r>
    </w:p>
    <w:p>
      <w:pPr>
        <w:spacing w:after="0" w:line="1" w:lineRule="exact"/>
        <w:rPr>
          <w:sz w:val="20"/>
          <w:szCs w:val="20"/>
          <w:color w:val="auto"/>
        </w:rPr>
      </w:pPr>
    </w:p>
    <w:p>
      <w:pPr>
        <w:jc w:val="both"/>
        <w:ind w:left="60" w:right="59" w:hanging="10"/>
        <w:spacing w:after="0" w:line="255" w:lineRule="auto"/>
        <w:tabs>
          <w:tab w:leader="none" w:pos="3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income tax payments as a result of higher earnings in the current year period; (iii) higher annual incentive compensation payments in the current year period and (iv) lower alternative fuel tax credit benefits in the current year period.</w:t>
      </w:r>
    </w:p>
    <w:p>
      <w:pPr>
        <w:spacing w:after="0" w:line="184"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2022 and 2021 are summarized below:</w:t>
      </w:r>
    </w:p>
    <w:p>
      <w:pPr>
        <w:spacing w:after="0" w:line="50" w:lineRule="exact"/>
        <w:rPr>
          <w:sz w:val="20"/>
          <w:szCs w:val="20"/>
          <w:color w:val="auto"/>
        </w:rPr>
      </w:pPr>
    </w:p>
    <w:p>
      <w:pPr>
        <w:jc w:val="both"/>
        <w:ind w:left="720" w:right="79" w:hanging="319"/>
        <w:spacing w:after="0" w:line="257"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$1,725 million and $1,130 million for capital expenditures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2022 and 2021, respectively. The increase in capital spending is primarily driven by our intentional investment in sustainability growth projects as well as timing differences in our fixed asset purchases to support our ongoing operations. The Company continues to maintain a disciplined focus on capital management to prioritize investments in the long-term growth of our business and for the replacement of aging assets.</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—During the nine months ended September 30, 2022, we used $57 million to fund secured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promissory notes associated with a pending acquisition and $28 million to make an initial cash payment associated with a new low-income housing investment. During the nine months ended September 30, 2022 and 2021, we used $36 million and $42 million, respectively, of cash from restricted cash and cash equivalents to invest in available-for-sale securities within our investment portfolio associated with a wholly-owned insurance captive.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39" w:name="page40"/>
    <w:bookmarkEnd w:id="39"/>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The most significant items affecting the comparison of our financing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nine months ended September 30, 2022 and 2021 are summarized below:</w:t>
      </w:r>
    </w:p>
    <w:p>
      <w:pPr>
        <w:spacing w:after="0" w:line="50" w:lineRule="exact"/>
        <w:rPr>
          <w:sz w:val="20"/>
          <w:szCs w:val="20"/>
          <w:color w:val="auto"/>
        </w:rPr>
      </w:pPr>
    </w:p>
    <w:p>
      <w:pPr>
        <w:ind w:left="720" w:right="79" w:hanging="319"/>
        <w:spacing w:after="0" w:line="284"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(Repayments) — </w:t>
      </w:r>
      <w:r>
        <w:rPr>
          <w:rFonts w:ascii="Times New Roman" w:cs="Times New Roman" w:eastAsia="Times New Roman" w:hAnsi="Times New Roman"/>
          <w:sz w:val="18"/>
          <w:szCs w:val="18"/>
          <w:color w:val="auto"/>
        </w:rPr>
        <w:t>The following summarizes our cash borrowings and repayments of debt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(in millions):</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57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9"/>
        </w:trPr>
        <w:tc>
          <w:tcPr>
            <w:tcW w:w="5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w:t>
            </w: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w:t>
            </w: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5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r>
      <w:tr>
        <w:trPr>
          <w:trHeight w:val="209"/>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3 to the Condensed Consolidated Financial Statements for additional information related to our debt borrowings and repayments.</w:t>
      </w:r>
    </w:p>
    <w:p>
      <w:pPr>
        <w:spacing w:after="0" w:line="52" w:lineRule="exact"/>
        <w:rPr>
          <w:sz w:val="20"/>
          <w:szCs w:val="20"/>
          <w:color w:val="auto"/>
        </w:rPr>
      </w:pPr>
    </w:p>
    <w:p>
      <w:pPr>
        <w:jc w:val="both"/>
        <w:ind w:left="720" w:right="79" w:hanging="319"/>
        <w:spacing w:after="0" w:line="27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Premiums and Other Paid on Early Extinguishment of Debt — </w:t>
      </w:r>
      <w:r>
        <w:rPr>
          <w:rFonts w:ascii="Times New Roman" w:cs="Times New Roman" w:eastAsia="Times New Roman" w:hAnsi="Times New Roman"/>
          <w:sz w:val="18"/>
          <w:szCs w:val="18"/>
          <w:color w:val="auto"/>
        </w:rPr>
        <w:t>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we paid premiums and other third-party costs of $211 million to retire certain high-coupon senior notes.</w:t>
      </w:r>
    </w:p>
    <w:p>
      <w:pPr>
        <w:spacing w:after="0" w:line="279"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During the nine months ended September 30, 2022, we repurchased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billion of our common stock pursuant to three accelerated share repurchase (“ASR”) agreements and repurchased $63 million of our common stock in open market transactions, of which $2 million was paid in October 2022. See Note 11 to the Condensed Consolidated Financial Statements for additional information. During the nine months ended September 30, 2021, we repurchased $1.0 billion of our common stock pursuant to three ASR agreements.</w:t>
      </w:r>
    </w:p>
    <w:p>
      <w:pPr>
        <w:spacing w:after="0" w:line="29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cash dividends of $811 million and $730 million during the nine months ended September 30, 2022 and 2021, respectively. The increase in dividend payments is primarily due to our quarterly per share dividend increasing from $0.575 in 2021 to $0.65 in 2022.</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40" w:name="page41"/>
    <w:bookmarkEnd w:id="40"/>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r>
      <w:tr>
        <w:trPr>
          <w:trHeight w:val="216"/>
        </w:trPr>
        <w:tc>
          <w:tcPr>
            <w:tcW w:w="20" w:type="dxa"/>
            <w:vAlign w:val="bottom"/>
          </w:tcPr>
          <w:p>
            <w:pPr>
              <w:spacing w:after="0"/>
              <w:rPr>
                <w:sz w:val="18"/>
                <w:szCs w:val="18"/>
                <w:color w:val="auto"/>
              </w:rPr>
            </w:pPr>
          </w:p>
        </w:tc>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198"/>
        </w:trPr>
        <w:tc>
          <w:tcPr>
            <w:tcW w:w="20" w:type="dxa"/>
            <w:vAlign w:val="bottom"/>
          </w:tcPr>
          <w:p>
            <w:pPr>
              <w:spacing w:after="0"/>
              <w:rPr>
                <w:sz w:val="17"/>
                <w:szCs w:val="17"/>
                <w:color w:val="auto"/>
              </w:rPr>
            </w:pPr>
          </w:p>
        </w:tc>
        <w:tc>
          <w:tcPr>
            <w:tcW w:w="5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divested</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20" w:type="dxa"/>
            <w:vAlign w:val="bottom"/>
          </w:tcPr>
          <w:p>
            <w:pPr>
              <w:spacing w:after="0"/>
              <w:rPr>
                <w:sz w:val="18"/>
                <w:szCs w:val="18"/>
                <w:color w:val="auto"/>
              </w:rPr>
            </w:pPr>
          </w:p>
        </w:tc>
        <w:tc>
          <w:tcPr>
            <w:tcW w:w="5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2021. Actual results could differ materially from the estimates and assumptions that we use in the preparation of our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Service disruptions caused by severe storms, extended periods of inclement weather or climate events can significantly affect the operating results of the geographic areas affected. On the other hand,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Accelerated and pronounced economic pressures, particularly related to inflationary cost pressures on labor and the goods and services we rely upon to deliver service to our customers, have continued to have a significant impact on our cost structure and capital expenditures in 2022. We are taking proactive steps to recover and/or mitigate inflationary cost pressures through our overall strategic pricing efforts and by managing our costs through efficiency, labor productivity and investments in technology to automate certain aspects of our business. A significant portion of our revenue is tied to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1" w:name="page42"/>
    <w:bookmarkEnd w:id="41"/>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price escalation index with a lookback provision, which has resulted in a timing lag in our ability to recover increased costs under these contracts during periods of rapid inflation. Separately, for many of our customers we provide services under multi-year contracts that can restrict our ability to increase prices and the timing of such increases. Throughout 2022, many of these contract lookback provisions began to capture the inflationary cost increases experienced since the second half of 2021 in the price escalation calculation; however, such timing lag persists and will continue to restrict our ability to address proactively future rapid cost increases for those contracts.</w:t>
      </w:r>
    </w:p>
    <w:p>
      <w:pPr>
        <w:spacing w:after="0" w:line="183"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market risks as of September 30, 2022 does not materially differ from that discussed under Item 3 in our Quarterly Report on Form 10-Q for the quarter ended March 31, 2022.</w:t>
      </w:r>
    </w:p>
    <w:p>
      <w:pPr>
        <w:spacing w:after="0" w:line="158"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2022 (the end of the period covered by this Quarterly Report on Form 10-Q)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2022, we implemented a new general ledger accounting system, complementary finance enterprise resource planning system and a human capital management system. These new system implementations were achieved after a multi-year review of existing accounting, reporting and human capital processes and the design and configuration of system-enabled enhancements to such processes. The change in our general ledger, finance enterprise resource planning and human capital management systems was subject to thorough testing and review by internal and external parties both before and after the implementation.</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While these systems implementations are intended to enhance our framework for internal control over financial reporting, management, together with our CEO and CFO, has determined that the changes in our internal controls over financial reporting during the quarter ended September 30, 2022 have not been material and are not reasonably likely to materially affect our internal controls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6 to the Condensed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Annual Report on Form 10-K for the year ended December 31, 2021.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18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common stock repurchases made during the third quarter of 2022 (shares in millions):</w:t>
      </w:r>
    </w:p>
    <w:p>
      <w:pPr>
        <w:spacing w:after="0" w:line="5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Approximate Maximum</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8"/>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400" w:type="dxa"/>
            <w:vAlign w:val="bottom"/>
          </w:tcPr>
          <w:p>
            <w:pPr>
              <w:spacing w:after="0"/>
              <w:rPr>
                <w:sz w:val="12"/>
                <w:szCs w:val="12"/>
                <w:color w:val="auto"/>
              </w:rPr>
            </w:pPr>
          </w:p>
        </w:tc>
        <w:tc>
          <w:tcPr>
            <w:tcW w:w="21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73"/>
        </w:trPr>
        <w:tc>
          <w:tcPr>
            <w:tcW w:w="22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0" w:type="dxa"/>
            <w:vAlign w:val="bottom"/>
          </w:tcPr>
          <w:p>
            <w:pPr>
              <w:spacing w:after="0"/>
              <w:rPr>
                <w:sz w:val="1"/>
                <w:szCs w:val="1"/>
                <w:color w:val="auto"/>
              </w:rPr>
            </w:pPr>
          </w:p>
        </w:tc>
      </w:tr>
      <w:tr>
        <w:trPr>
          <w:trHeight w:val="209"/>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30 (a)</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940 million</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31 (b)</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540 million</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 (b)</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4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437 million (c)</w:t>
            </w:r>
          </w:p>
        </w:tc>
        <w:tc>
          <w:tcPr>
            <w:tcW w:w="0" w:type="dxa"/>
            <w:vAlign w:val="bottom"/>
          </w:tcPr>
          <w:p>
            <w:pPr>
              <w:spacing w:after="0"/>
              <w:rPr>
                <w:sz w:val="1"/>
                <w:szCs w:val="1"/>
                <w:color w:val="auto"/>
              </w:rPr>
            </w:pPr>
          </w:p>
        </w:tc>
      </w:tr>
      <w:tr>
        <w:trPr>
          <w:trHeight w:val="209"/>
        </w:trPr>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4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we repurchased 233,319 shares of our common stock in open market transactions in compliance with Rule 10b5-1 and Rule 10b-18 of the Exchange Act for $36 million, inclusive of per-share commissions, at a weighted average price of $153.60.</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55"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we entered into an accelerated share repurchase (“ASR”) agreement to repurchase $500 million of our common stock. At the beginning of the repurchase period, we delivered $500 million cash and received 2.4 million shares based on a stock price of $164.56. The ASR agreement completed in September 2022, at which time we received 0.6 million additional shares based on a final weighted average price of $167.79. In September 2022, after the completion of the ASR agreement, we repurchased 18,437 shares of our common stock in open market transactions in compliance with Rule 10b5-1 and Rule 10b-18 of the Exchange Act for $3 million, inclusive of per-share commissions, at a weighted average price of $162.70, of which $2 million was paid in October 2022.</w:t>
      </w:r>
    </w:p>
    <w:p>
      <w:pPr>
        <w:spacing w:after="0" w:line="188" w:lineRule="exact"/>
        <w:rPr>
          <w:rFonts w:ascii="Times New Roman" w:cs="Times New Roman" w:eastAsia="Times New Roman" w:hAnsi="Times New Roman"/>
          <w:sz w:val="18"/>
          <w:szCs w:val="18"/>
          <w:color w:val="auto"/>
        </w:rPr>
      </w:pPr>
    </w:p>
    <w:p>
      <w:pPr>
        <w:ind w:left="380" w:right="7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 the table represents the final weighted average price per share paid for the ASR agreement executed in August 2022 and the September 2022 open market transactions.</w:t>
      </w:r>
    </w:p>
    <w:p>
      <w:pPr>
        <w:spacing w:after="0" w:line="161"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Company has authorization for $437 million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40" w:type="dxa"/>
            <w:vAlign w:val="bottom"/>
            <w:gridSpan w:val="5"/>
          </w:tcPr>
          <w:p>
            <w:pPr>
              <w:ind w:left="1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40" w:type="dxa"/>
            <w:vAlign w:val="bottom"/>
            <w:tcBorders>
              <w:top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Guarantor Subsidiary.</w:t>
            </w:r>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Certification Pursuant to Rules 13a-14(a) and 15d-14(a) under the Securities Exchange Act of 1934 James</w:t>
            </w: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 Fish, Jr., President and Chief Executive Officer.</w:t>
            </w:r>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Certification Pursuant to Rules 13a-14(a) and 15d-14(a) under the Securities Exchange Act of 1934 Devina</w:t>
            </w: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 Rankin, Executive Vice President and Chief Financial Officer.</w:t>
            </w:r>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James C. Fish, Jr., President and Chief Executive Officer.</w:t>
            </w:r>
          </w:p>
        </w:tc>
        <w:tc>
          <w:tcPr>
            <w:tcW w:w="360" w:type="dxa"/>
            <w:vAlign w:val="bottom"/>
            <w:gridSpan w:val="2"/>
          </w:tcPr>
          <w:p>
            <w:pPr>
              <w:spacing w:after="0"/>
              <w:rPr>
                <w:sz w:val="24"/>
                <w:szCs w:val="24"/>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77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Pursuant to 18 U.S.C. §1350 of Devina A. Rankin, Executive Vice President and Chief</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4"/>
                <w:szCs w:val="24"/>
                <w:color w:val="auto"/>
              </w:rPr>
            </w:pPr>
          </w:p>
        </w:tc>
        <w:tc>
          <w:tcPr>
            <w:tcW w:w="18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940" w:type="dxa"/>
            <w:vAlign w:val="bottom"/>
            <w:gridSpan w:val="5"/>
          </w:tcPr>
          <w:p>
            <w:pPr>
              <w:spacing w:after="0"/>
              <w:rPr>
                <w:sz w:val="24"/>
                <w:szCs w:val="24"/>
                <w:color w:val="auto"/>
              </w:rPr>
            </w:pPr>
          </w:p>
        </w:tc>
      </w:tr>
      <w:tr>
        <w:trPr>
          <w:trHeight w:val="35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7" w:lineRule="exact"/>
        <w:rPr>
          <w:sz w:val="20"/>
          <w:szCs w:val="20"/>
          <w:color w:val="auto"/>
        </w:rPr>
      </w:pPr>
    </w:p>
    <w:p>
      <w:pPr>
        <w:ind w:left="300" w:hanging="250"/>
        <w:spacing w:after="0"/>
        <w:tabs>
          <w:tab w:leader="none" w:pos="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LESLIE K. NAGY</w:t>
            </w:r>
          </w:p>
        </w:tc>
      </w:tr>
      <w:tr>
        <w:trPr>
          <w:trHeight w:val="211"/>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Leslie K. Nagy</w:t>
            </w:r>
          </w:p>
        </w:tc>
      </w:tr>
    </w:tbl>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Vice President and</w:t>
      </w:r>
    </w:p>
    <w:p>
      <w:pPr>
        <w:spacing w:after="0" w:line="7"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2022,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8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5/8/2014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5/15/2024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5/16/2016</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5/15/2023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34"/>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745"/>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46" w:name="page47"/>
    <w:bookmarkEnd w:id="4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58" w:lineRule="exact"/>
        <w:rPr>
          <w:sz w:val="20"/>
          <w:szCs w:val="20"/>
          <w:color w:val="auto"/>
        </w:rPr>
      </w:pPr>
    </w:p>
    <w:p>
      <w:pPr>
        <w:ind w:left="640" w:hanging="26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260" w:type="dxa"/>
            <w:vAlign w:val="bottom"/>
          </w:tcPr>
          <w:p>
            <w:pPr>
              <w:spacing w:after="0"/>
              <w:rPr>
                <w:sz w:val="16"/>
                <w:szCs w:val="16"/>
                <w:color w:val="auto"/>
              </w:rPr>
            </w:pPr>
          </w:p>
        </w:tc>
        <w:tc>
          <w:tcPr>
            <w:tcW w:w="4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58" w:lineRule="exact"/>
        <w:rPr>
          <w:sz w:val="20"/>
          <w:szCs w:val="20"/>
          <w:color w:val="auto"/>
        </w:rPr>
      </w:pPr>
    </w:p>
    <w:p>
      <w:pPr>
        <w:ind w:left="640" w:hanging="26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28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8" w:name="page49"/>
    <w:bookmarkEnd w:id="4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2022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319" w:firstLine="318"/>
        <w:spacing w:after="0" w:line="282" w:lineRule="auto"/>
        <w:tabs>
          <w:tab w:leader="none" w:pos="100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2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2022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59" w:firstLine="318"/>
        <w:spacing w:after="0" w:line="282" w:lineRule="auto"/>
        <w:tabs>
          <w:tab w:leader="none" w:pos="10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1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20" w:type="dxa"/>
            <w:vAlign w:val="bottom"/>
          </w:tcPr>
          <w:p>
            <w:pPr>
              <w:spacing w:after="0"/>
              <w:rPr>
                <w:sz w:val="16"/>
                <w:szCs w:val="16"/>
                <w:color w:val="auto"/>
              </w:rPr>
            </w:pPr>
          </w:p>
        </w:tc>
        <w:tc>
          <w:tcPr>
            <w:tcW w:w="4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October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quarter ended September 30, 2022,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during the quarter ended September 30, 2022,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decimal"/>
      <w:start w:val="4"/>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1."/>
      <w:numFmt w:val="decimal"/>
      <w:start w:val="6"/>
    </w:lvl>
  </w:abstractNum>
  <w:abstractNum w:abstractNumId="10">
    <w:nsid w:val="8EDBDAB"/>
    <w:multiLevelType w:val="hybridMultilevel"/>
    <w:lvl w:ilvl="0">
      <w:lvlJc w:val="left"/>
      <w:lvlText w:val="%1."/>
      <w:numFmt w:val="decimal"/>
      <w:start w:val="7"/>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4"/>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decimal"/>
      <w:start w:val="8"/>
    </w:lvl>
  </w:abstractNum>
  <w:abstractNum w:abstractNumId="15">
    <w:nsid w:val="54E49EB4"/>
    <w:multiLevelType w:val="hybridMultilevel"/>
    <w:lvl w:ilvl="0">
      <w:lvlJc w:val="left"/>
      <w:lvlText w:val="%1."/>
      <w:numFmt w:val="decimal"/>
      <w:start w:val="9"/>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
      <w:numFmt w:val="bullet"/>
      <w:start w:val="1"/>
    </w:lvl>
    <w:lvl w:ilvl="1">
      <w:lvlJc w:val="left"/>
      <w:lvlText w:val="(%2)"/>
      <w:numFmt w:val="lowerRoman"/>
      <w:start w:val="2"/>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Roman"/>
      <w:start w:val="2"/>
    </w:lvl>
  </w:abstractNum>
  <w:abstractNum w:abstractNumId="21">
    <w:nsid w:val="8138641"/>
    <w:multiLevelType w:val="hybridMultilevel"/>
    <w:lvl w:ilvl="0">
      <w:lvlJc w:val="left"/>
      <w:lvlText w:val="(%1)"/>
      <w:numFmt w:val="lowerRoman"/>
      <w:start w:val="3"/>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lvl w:ilvl="1">
      <w:lvlJc w:val="left"/>
      <w:lvlText w:val="(%2)"/>
      <w:numFmt w:val="lowerRoman"/>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Roman"/>
      <w:start w:val="4"/>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Roman"/>
      <w:start w:val="2"/>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2022-10-26T14:52:20Z</dcterms:created>
  <dcterms:modified xsi:type="dcterms:W3CDTF">2022-10-26T14:52:20Z</dcterms:modified>
</cp:coreProperties>
</file>