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March 9,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Waste Management, Inc.</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1-12154</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73-1309529</w:t>
      </w:r>
    </w:p>
    <w:p>
      <w:pPr>
        <w:spacing w:after="0" w:line="55" w:lineRule="exact"/>
        <w:rPr>
          <w:sz w:val="24"/>
          <w:szCs w:val="24"/>
          <w:color w:val="auto"/>
        </w:rPr>
      </w:pPr>
    </w:p>
    <w:p>
      <w:pPr>
        <w:sectPr>
          <w:pgSz w:w="11900" w:h="16838" w:orient="portrait"/>
          <w:cols w:equalWidth="0" w:num="3">
            <w:col w:w="4820" w:space="720"/>
            <w:col w:w="2920" w:space="720"/>
            <w:col w:w="1840"/>
          </w:cols>
          <w:pgMar w:left="240" w:top="314" w:right="639" w:bottom="1440" w:gutter="0" w:footer="0" w:header="0"/>
          <w:type w:val="continuous"/>
        </w:sectPr>
      </w:pPr>
    </w:p>
    <w:p>
      <w:pPr>
        <w:ind w:left="64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00" w:lineRule="exact"/>
        <w:rPr>
          <w:sz w:val="24"/>
          <w:szCs w:val="24"/>
          <w:color w:val="auto"/>
        </w:rPr>
      </w:pPr>
    </w:p>
    <w:p>
      <w:pPr>
        <w:sectPr>
          <w:pgSz w:w="11900" w:h="16838" w:orient="portrait"/>
          <w:cols w:equalWidth="0" w:num="3">
            <w:col w:w="4340" w:space="720"/>
            <w:col w:w="2840" w:space="720"/>
            <w:col w:w="2400"/>
          </w:cols>
          <w:pgMar w:left="240" w:top="314" w:right="639" w:bottom="1440" w:gutter="0" w:footer="0" w:header="0"/>
          <w:type w:val="continuous"/>
        </w:sectPr>
      </w:pPr>
    </w:p>
    <w:p>
      <w:pPr>
        <w:spacing w:after="0" w:line="14" w:lineRule="exact"/>
        <w:rPr>
          <w:sz w:val="24"/>
          <w:szCs w:val="24"/>
          <w:color w:val="auto"/>
        </w:rPr>
      </w:pPr>
    </w:p>
    <w:p>
      <w:pPr>
        <w:ind w:left="2340"/>
        <w:spacing w:after="0"/>
        <w:rPr>
          <w:sz w:val="20"/>
          <w:szCs w:val="20"/>
          <w:color w:val="auto"/>
        </w:rPr>
      </w:pPr>
      <w:r>
        <w:rPr>
          <w:rFonts w:ascii="Arial" w:cs="Arial" w:eastAsia="Arial" w:hAnsi="Arial"/>
          <w:sz w:val="15"/>
          <w:szCs w:val="15"/>
          <w:b w:val="1"/>
          <w:bCs w:val="1"/>
          <w:color w:val="auto"/>
        </w:rPr>
        <w:t>1001 Fannin, Suite 4000 Houston,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77002</w:t>
      </w:r>
    </w:p>
    <w:p>
      <w:pPr>
        <w:spacing w:after="0" w:line="56" w:lineRule="exact"/>
        <w:rPr>
          <w:sz w:val="24"/>
          <w:szCs w:val="24"/>
          <w:color w:val="auto"/>
        </w:rPr>
      </w:pPr>
    </w:p>
    <w:p>
      <w:pPr>
        <w:sectPr>
          <w:pgSz w:w="11900" w:h="16838" w:orient="portrait"/>
          <w:cols w:equalWidth="0" w:num="2">
            <w:col w:w="8660" w:space="720"/>
            <w:col w:w="1640"/>
          </w:cols>
          <w:pgMar w:left="240" w:top="314" w:right="639" w:bottom="1440" w:gutter="0" w:footer="0" w:header="0"/>
          <w:type w:val="continuous"/>
        </w:sectPr>
      </w:pPr>
    </w:p>
    <w:p>
      <w:pPr>
        <w:ind w:left="26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560" w:space="720"/>
            <w:col w:w="174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ind w:left="460"/>
        <w:spacing w:after="0"/>
        <w:tabs>
          <w:tab w:leader="none" w:pos="1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5.02(e)</w:t>
      </w:r>
      <w:r>
        <w:rPr>
          <w:sz w:val="20"/>
          <w:szCs w:val="20"/>
          <w:color w:val="auto"/>
        </w:rPr>
        <w:tab/>
      </w:r>
      <w:r>
        <w:rPr>
          <w:rFonts w:ascii="Arial" w:cs="Arial" w:eastAsia="Arial" w:hAnsi="Arial"/>
          <w:sz w:val="16"/>
          <w:szCs w:val="16"/>
          <w:b w:val="1"/>
          <w:bCs w:val="1"/>
          <w:color w:val="auto"/>
        </w:rPr>
        <w:t>Compensatory Arrangements of Certain Officers.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Grant of Equity Awards</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Effective March 9, 2012, the Management Development and Compensation Committee (the “Committee”) of the Board of Directors of Waste Management, Inc. (the “Company”) granted equity awards under the Company’s 2009 Stock Incentive Plan (the “Plan”) to each of the Company’s currently-serving named executive officers (the “Named Executives”).</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Each of the Named Executives currently serving, David P. Steiner, Chief Executive Officer and President; Steven C. Preston, Executive Vice President — Finance, Recycling and Energy Services; James E. Trevathan, Executive Vice President — Growth, Innovation and Field Support; Jeff M. Harris, Senior Vice President — Midwest Group; and Duane C. Woods, Senior Vice President — Western Group, received performance share units and stock options. The target number of performance share units granted to each of the Named Executives is as follows: Mr. Steiner — 138,583; Mr. Preston — 26,454; Mr. Trevathan — 24,651; Mr. Harris — 19,817 and Mr. Woods — 19,817. The material terms of the performance share units are described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PSUs</w:t>
            </w:r>
          </w:p>
        </w:tc>
        <w:tc>
          <w:tcPr>
            <w:tcW w:w="5440" w:type="dxa"/>
            <w:vAlign w:val="bottom"/>
          </w:tcPr>
          <w:p>
            <w:pPr>
              <w:spacing w:after="0"/>
              <w:rPr>
                <w:sz w:val="14"/>
                <w:szCs w:val="14"/>
                <w:color w:val="auto"/>
              </w:rPr>
            </w:pPr>
          </w:p>
        </w:tc>
        <w:tc>
          <w:tcPr>
            <w:tcW w:w="5600" w:type="dxa"/>
            <w:vAlign w:val="bottom"/>
            <w:vMerge w:val="restart"/>
          </w:tcPr>
          <w:p>
            <w:pPr>
              <w:ind w:left="280"/>
              <w:spacing w:after="0"/>
              <w:rPr>
                <w:sz w:val="20"/>
                <w:szCs w:val="20"/>
                <w:color w:val="auto"/>
              </w:rPr>
            </w:pPr>
            <w:r>
              <w:rPr>
                <w:rFonts w:ascii="Arial" w:cs="Arial" w:eastAsia="Arial" w:hAnsi="Arial"/>
                <w:sz w:val="18"/>
                <w:szCs w:val="18"/>
                <w:color w:val="auto"/>
                <w:w w:val="92"/>
              </w:rPr>
              <w:t>As of December 31, 2014; award (if any) paid out after completion of the</w:t>
            </w:r>
          </w:p>
        </w:tc>
        <w:tc>
          <w:tcPr>
            <w:tcW w:w="0" w:type="dxa"/>
            <w:vAlign w:val="bottom"/>
          </w:tcPr>
          <w:p>
            <w:pPr>
              <w:spacing w:after="0"/>
              <w:rPr>
                <w:sz w:val="1"/>
                <w:szCs w:val="1"/>
                <w:color w:val="auto"/>
              </w:rPr>
            </w:pPr>
          </w:p>
        </w:tc>
      </w:tr>
      <w:tr>
        <w:trPr>
          <w:trHeight w:val="201"/>
        </w:trPr>
        <w:tc>
          <w:tcPr>
            <w:tcW w:w="5780" w:type="dxa"/>
            <w:vAlign w:val="bottom"/>
            <w:gridSpan w:val="2"/>
          </w:tcPr>
          <w:p>
            <w:pPr>
              <w:spacing w:after="0" w:line="201" w:lineRule="exact"/>
              <w:rPr>
                <w:sz w:val="20"/>
                <w:szCs w:val="20"/>
                <w:color w:val="auto"/>
              </w:rPr>
            </w:pPr>
            <w:r>
              <w:rPr>
                <w:rFonts w:ascii="Arial" w:cs="Arial" w:eastAsia="Arial" w:hAnsi="Arial"/>
                <w:sz w:val="18"/>
                <w:szCs w:val="18"/>
                <w:color w:val="auto"/>
              </w:rPr>
              <w:t>Performance Calculation Date (“PCD”)</w:t>
            </w:r>
          </w:p>
        </w:tc>
        <w:tc>
          <w:tcPr>
            <w:tcW w:w="5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w w:val="88"/>
              </w:rPr>
              <w:t>audit of the Company’s 2014 year-end financial statements and certification</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rPr>
              <w:t>by the Committee of actual level of achievement (“payment date”).</w:t>
            </w:r>
          </w:p>
        </w:tc>
        <w:tc>
          <w:tcPr>
            <w:tcW w:w="0" w:type="dxa"/>
            <w:vAlign w:val="bottom"/>
          </w:tcPr>
          <w:p>
            <w:pPr>
              <w:spacing w:after="0"/>
              <w:rPr>
                <w:sz w:val="1"/>
                <w:szCs w:val="1"/>
                <w:color w:val="auto"/>
              </w:rPr>
            </w:pPr>
          </w:p>
        </w:tc>
      </w:tr>
      <w:tr>
        <w:trPr>
          <w:trHeight w:val="318"/>
        </w:trPr>
        <w:tc>
          <w:tcPr>
            <w:tcW w:w="5780" w:type="dxa"/>
            <w:vAlign w:val="bottom"/>
            <w:gridSpan w:val="2"/>
          </w:tcPr>
          <w:p>
            <w:pPr>
              <w:spacing w:after="0"/>
              <w:rPr>
                <w:sz w:val="20"/>
                <w:szCs w:val="20"/>
                <w:color w:val="auto"/>
              </w:rPr>
            </w:pPr>
            <w:r>
              <w:rPr>
                <w:rFonts w:ascii="Arial" w:cs="Arial" w:eastAsia="Arial" w:hAnsi="Arial"/>
                <w:sz w:val="18"/>
                <w:szCs w:val="18"/>
                <w:color w:val="auto"/>
              </w:rPr>
              <w:t>Performance Measure</w:t>
            </w:r>
          </w:p>
        </w:tc>
        <w:tc>
          <w:tcPr>
            <w:tcW w:w="5600" w:type="dxa"/>
            <w:vAlign w:val="bottom"/>
          </w:tcPr>
          <w:p>
            <w:pPr>
              <w:ind w:left="280"/>
              <w:spacing w:after="0"/>
              <w:rPr>
                <w:sz w:val="20"/>
                <w:szCs w:val="20"/>
                <w:color w:val="auto"/>
              </w:rPr>
            </w:pPr>
            <w:r>
              <w:rPr>
                <w:rFonts w:ascii="Arial" w:cs="Arial" w:eastAsia="Arial" w:hAnsi="Arial"/>
                <w:sz w:val="18"/>
                <w:szCs w:val="18"/>
                <w:color w:val="auto"/>
                <w:w w:val="98"/>
              </w:rPr>
              <w:t>50% of the PSUs will have a return on invested capital performance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w w:val="99"/>
              </w:rPr>
              <w:t>measure, and 50% of the PSUs will have a total shareholder return</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rPr>
              <w:t>performance measure.</w:t>
            </w:r>
          </w:p>
        </w:tc>
        <w:tc>
          <w:tcPr>
            <w:tcW w:w="0" w:type="dxa"/>
            <w:vAlign w:val="bottom"/>
          </w:tcPr>
          <w:p>
            <w:pPr>
              <w:spacing w:after="0"/>
              <w:rPr>
                <w:sz w:val="1"/>
                <w:szCs w:val="1"/>
                <w:color w:val="auto"/>
              </w:rPr>
            </w:pPr>
          </w:p>
        </w:tc>
      </w:tr>
      <w:tr>
        <w:trPr>
          <w:trHeight w:val="324"/>
        </w:trPr>
        <w:tc>
          <w:tcPr>
            <w:tcW w:w="5780" w:type="dxa"/>
            <w:vAlign w:val="bottom"/>
            <w:gridSpan w:val="2"/>
          </w:tcPr>
          <w:p>
            <w:pPr>
              <w:spacing w:after="0"/>
              <w:rPr>
                <w:sz w:val="20"/>
                <w:szCs w:val="20"/>
                <w:color w:val="auto"/>
              </w:rPr>
            </w:pPr>
            <w:r>
              <w:rPr>
                <w:rFonts w:ascii="Arial" w:cs="Arial" w:eastAsia="Arial" w:hAnsi="Arial"/>
                <w:sz w:val="18"/>
                <w:szCs w:val="18"/>
                <w:color w:val="auto"/>
              </w:rPr>
              <w:t>Range of Possible Awards</w:t>
            </w:r>
          </w:p>
        </w:tc>
        <w:tc>
          <w:tcPr>
            <w:tcW w:w="5600" w:type="dxa"/>
            <w:vAlign w:val="bottom"/>
          </w:tcPr>
          <w:p>
            <w:pPr>
              <w:ind w:left="280"/>
              <w:spacing w:after="0"/>
              <w:rPr>
                <w:sz w:val="20"/>
                <w:szCs w:val="20"/>
                <w:color w:val="auto"/>
              </w:rPr>
            </w:pPr>
            <w:r>
              <w:rPr>
                <w:rFonts w:ascii="Arial" w:cs="Arial" w:eastAsia="Arial" w:hAnsi="Arial"/>
                <w:sz w:val="18"/>
                <w:szCs w:val="18"/>
                <w:color w:val="auto"/>
              </w:rPr>
              <w:t>0 — 200% of targeted amount, based on actual results achieved.</w:t>
            </w:r>
          </w:p>
        </w:tc>
        <w:tc>
          <w:tcPr>
            <w:tcW w:w="0" w:type="dxa"/>
            <w:vAlign w:val="bottom"/>
          </w:tcPr>
          <w:p>
            <w:pPr>
              <w:spacing w:after="0"/>
              <w:rPr>
                <w:sz w:val="1"/>
                <w:szCs w:val="1"/>
                <w:color w:val="auto"/>
              </w:rPr>
            </w:pPr>
          </w:p>
        </w:tc>
      </w:tr>
      <w:tr>
        <w:trPr>
          <w:trHeight w:val="318"/>
        </w:trPr>
        <w:tc>
          <w:tcPr>
            <w:tcW w:w="5780" w:type="dxa"/>
            <w:vAlign w:val="bottom"/>
            <w:gridSpan w:val="2"/>
          </w:tcPr>
          <w:p>
            <w:pPr>
              <w:spacing w:after="0"/>
              <w:rPr>
                <w:sz w:val="20"/>
                <w:szCs w:val="20"/>
                <w:color w:val="auto"/>
              </w:rPr>
            </w:pPr>
            <w:r>
              <w:rPr>
                <w:rFonts w:ascii="Arial" w:cs="Arial" w:eastAsia="Arial" w:hAnsi="Arial"/>
                <w:sz w:val="18"/>
                <w:szCs w:val="18"/>
                <w:color w:val="auto"/>
              </w:rPr>
              <w:t>Death or Disability before PCD</w:t>
            </w:r>
          </w:p>
        </w:tc>
        <w:tc>
          <w:tcPr>
            <w:tcW w:w="5600" w:type="dxa"/>
            <w:vAlign w:val="bottom"/>
          </w:tcPr>
          <w:p>
            <w:pPr>
              <w:ind w:left="280"/>
              <w:spacing w:after="0"/>
              <w:rPr>
                <w:sz w:val="20"/>
                <w:szCs w:val="20"/>
                <w:color w:val="auto"/>
              </w:rPr>
            </w:pPr>
            <w:r>
              <w:rPr>
                <w:rFonts w:ascii="Arial" w:cs="Arial" w:eastAsia="Arial" w:hAnsi="Arial"/>
                <w:sz w:val="18"/>
                <w:szCs w:val="18"/>
                <w:color w:val="auto"/>
                <w:w w:val="87"/>
              </w:rPr>
              <w:t>Payable on payment date as if participant had remained an active employee</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rPr>
              <w:t>through PCD.</w:t>
            </w:r>
          </w:p>
        </w:tc>
        <w:tc>
          <w:tcPr>
            <w:tcW w:w="0" w:type="dxa"/>
            <w:vAlign w:val="bottom"/>
          </w:tcPr>
          <w:p>
            <w:pPr>
              <w:spacing w:after="0"/>
              <w:rPr>
                <w:sz w:val="1"/>
                <w:szCs w:val="1"/>
                <w:color w:val="auto"/>
              </w:rPr>
            </w:pPr>
          </w:p>
        </w:tc>
      </w:tr>
      <w:tr>
        <w:trPr>
          <w:trHeight w:val="324"/>
        </w:trPr>
        <w:tc>
          <w:tcPr>
            <w:tcW w:w="5780" w:type="dxa"/>
            <w:vAlign w:val="bottom"/>
            <w:gridSpan w:val="2"/>
          </w:tcPr>
          <w:p>
            <w:pPr>
              <w:spacing w:after="0"/>
              <w:rPr>
                <w:sz w:val="20"/>
                <w:szCs w:val="20"/>
                <w:color w:val="auto"/>
              </w:rPr>
            </w:pPr>
            <w:r>
              <w:rPr>
                <w:rFonts w:ascii="Arial" w:cs="Arial" w:eastAsia="Arial" w:hAnsi="Arial"/>
                <w:sz w:val="18"/>
                <w:szCs w:val="18"/>
                <w:color w:val="auto"/>
              </w:rPr>
              <w:t>Voluntary Termination before PCD</w:t>
            </w:r>
          </w:p>
        </w:tc>
        <w:tc>
          <w:tcPr>
            <w:tcW w:w="5600" w:type="dxa"/>
            <w:vAlign w:val="bottom"/>
          </w:tcPr>
          <w:p>
            <w:pPr>
              <w:ind w:left="280"/>
              <w:spacing w:after="0"/>
              <w:rPr>
                <w:sz w:val="20"/>
                <w:szCs w:val="20"/>
                <w:color w:val="auto"/>
              </w:rPr>
            </w:pPr>
            <w:r>
              <w:rPr>
                <w:rFonts w:ascii="Arial" w:cs="Arial" w:eastAsia="Arial" w:hAnsi="Arial"/>
                <w:sz w:val="18"/>
                <w:szCs w:val="18"/>
                <w:color w:val="auto"/>
              </w:rPr>
              <w:t>Immediate forfeiture.</w:t>
            </w:r>
          </w:p>
        </w:tc>
        <w:tc>
          <w:tcPr>
            <w:tcW w:w="0" w:type="dxa"/>
            <w:vAlign w:val="bottom"/>
          </w:tcPr>
          <w:p>
            <w:pPr>
              <w:spacing w:after="0"/>
              <w:rPr>
                <w:sz w:val="1"/>
                <w:szCs w:val="1"/>
                <w:color w:val="auto"/>
              </w:rPr>
            </w:pPr>
          </w:p>
        </w:tc>
      </w:tr>
      <w:tr>
        <w:trPr>
          <w:trHeight w:val="318"/>
        </w:trPr>
        <w:tc>
          <w:tcPr>
            <w:tcW w:w="5780" w:type="dxa"/>
            <w:vAlign w:val="bottom"/>
            <w:gridSpan w:val="2"/>
          </w:tcPr>
          <w:p>
            <w:pPr>
              <w:spacing w:after="0"/>
              <w:rPr>
                <w:sz w:val="20"/>
                <w:szCs w:val="20"/>
                <w:color w:val="auto"/>
              </w:rPr>
            </w:pPr>
            <w:r>
              <w:rPr>
                <w:rFonts w:ascii="Arial" w:cs="Arial" w:eastAsia="Arial" w:hAnsi="Arial"/>
                <w:sz w:val="18"/>
                <w:szCs w:val="18"/>
                <w:color w:val="auto"/>
                <w:w w:val="94"/>
              </w:rPr>
              <w:t>Involuntary Termination other than for Cause or Qualifying Retirement before</w:t>
            </w:r>
          </w:p>
        </w:tc>
        <w:tc>
          <w:tcPr>
            <w:tcW w:w="5600" w:type="dxa"/>
            <w:vAlign w:val="bottom"/>
          </w:tcPr>
          <w:p>
            <w:pPr>
              <w:ind w:left="280"/>
              <w:spacing w:after="0"/>
              <w:rPr>
                <w:sz w:val="20"/>
                <w:szCs w:val="20"/>
                <w:color w:val="auto"/>
              </w:rPr>
            </w:pPr>
            <w:r>
              <w:rPr>
                <w:rFonts w:ascii="Arial" w:cs="Arial" w:eastAsia="Arial" w:hAnsi="Arial"/>
                <w:sz w:val="18"/>
                <w:szCs w:val="18"/>
                <w:color w:val="auto"/>
                <w:w w:val="86"/>
              </w:rPr>
              <w:t>Payable on payment date based on actual results, prorated based on portion</w:t>
            </w:r>
          </w:p>
        </w:tc>
        <w:tc>
          <w:tcPr>
            <w:tcW w:w="0" w:type="dxa"/>
            <w:vAlign w:val="bottom"/>
          </w:tcPr>
          <w:p>
            <w:pPr>
              <w:spacing w:after="0"/>
              <w:rPr>
                <w:sz w:val="1"/>
                <w:szCs w:val="1"/>
                <w:color w:val="auto"/>
              </w:rPr>
            </w:pPr>
          </w:p>
        </w:tc>
      </w:tr>
      <w:tr>
        <w:trPr>
          <w:trHeight w:val="222"/>
        </w:trPr>
        <w:tc>
          <w:tcPr>
            <w:tcW w:w="5780" w:type="dxa"/>
            <w:vAlign w:val="bottom"/>
            <w:gridSpan w:val="2"/>
          </w:tcPr>
          <w:p>
            <w:pPr>
              <w:spacing w:after="0"/>
              <w:rPr>
                <w:sz w:val="20"/>
                <w:szCs w:val="20"/>
                <w:color w:val="auto"/>
              </w:rPr>
            </w:pPr>
            <w:r>
              <w:rPr>
                <w:rFonts w:ascii="Arial" w:cs="Arial" w:eastAsia="Arial" w:hAnsi="Arial"/>
                <w:sz w:val="18"/>
                <w:szCs w:val="18"/>
                <w:color w:val="auto"/>
              </w:rPr>
              <w:t>PCD</w:t>
            </w:r>
          </w:p>
        </w:tc>
        <w:tc>
          <w:tcPr>
            <w:tcW w:w="5600" w:type="dxa"/>
            <w:vAlign w:val="bottom"/>
          </w:tcPr>
          <w:p>
            <w:pPr>
              <w:ind w:left="280"/>
              <w:spacing w:after="0"/>
              <w:rPr>
                <w:sz w:val="20"/>
                <w:szCs w:val="20"/>
                <w:color w:val="auto"/>
              </w:rPr>
            </w:pPr>
            <w:r>
              <w:rPr>
                <w:rFonts w:ascii="Arial" w:cs="Arial" w:eastAsia="Arial" w:hAnsi="Arial"/>
                <w:sz w:val="18"/>
                <w:szCs w:val="18"/>
                <w:color w:val="auto"/>
                <w:w w:val="96"/>
              </w:rPr>
              <w:t>of performance period completed prior to termination of employment.</w:t>
            </w:r>
          </w:p>
        </w:tc>
        <w:tc>
          <w:tcPr>
            <w:tcW w:w="0" w:type="dxa"/>
            <w:vAlign w:val="bottom"/>
          </w:tcPr>
          <w:p>
            <w:pPr>
              <w:spacing w:after="0"/>
              <w:rPr>
                <w:sz w:val="1"/>
                <w:szCs w:val="1"/>
                <w:color w:val="auto"/>
              </w:rPr>
            </w:pPr>
          </w:p>
        </w:tc>
      </w:tr>
      <w:tr>
        <w:trPr>
          <w:trHeight w:val="318"/>
        </w:trPr>
        <w:tc>
          <w:tcPr>
            <w:tcW w:w="5780" w:type="dxa"/>
            <w:vAlign w:val="bottom"/>
            <w:gridSpan w:val="2"/>
          </w:tcPr>
          <w:p>
            <w:pPr>
              <w:spacing w:after="0"/>
              <w:rPr>
                <w:sz w:val="20"/>
                <w:szCs w:val="20"/>
                <w:color w:val="auto"/>
              </w:rPr>
            </w:pPr>
            <w:r>
              <w:rPr>
                <w:rFonts w:ascii="Arial" w:cs="Arial" w:eastAsia="Arial" w:hAnsi="Arial"/>
                <w:sz w:val="18"/>
                <w:szCs w:val="18"/>
                <w:color w:val="auto"/>
              </w:rPr>
              <w:t>Change in Control before PCD</w:t>
            </w:r>
          </w:p>
        </w:tc>
        <w:tc>
          <w:tcPr>
            <w:tcW w:w="5600" w:type="dxa"/>
            <w:vAlign w:val="bottom"/>
          </w:tcPr>
          <w:p>
            <w:pPr>
              <w:ind w:left="280"/>
              <w:spacing w:after="0"/>
              <w:rPr>
                <w:sz w:val="20"/>
                <w:szCs w:val="20"/>
                <w:color w:val="auto"/>
              </w:rPr>
            </w:pPr>
            <w:r>
              <w:rPr>
                <w:rFonts w:ascii="Arial" w:cs="Arial" w:eastAsia="Arial" w:hAnsi="Arial"/>
                <w:sz w:val="18"/>
                <w:szCs w:val="18"/>
                <w:color w:val="auto"/>
                <w:w w:val="89"/>
              </w:rPr>
              <w:t>Performance measured prior to the change in control and paid on prorated</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w w:val="87"/>
              </w:rPr>
              <w:t>basis on actual results achieved up to such date. Thereafter, participant also</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w w:val="95"/>
              </w:rPr>
              <w:t>generally receives a replacement award of restricted stock units in the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w w:val="92"/>
              </w:rPr>
              <w:t>successor entity generally equal to the number of PSUs that would have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w w:val="92"/>
              </w:rPr>
              <w:t>been earned had no change in control occurred and target performance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w w:val="99"/>
              </w:rPr>
              <w:t>levels had been met from the time of the change of control through</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w w:val="91"/>
              </w:rPr>
              <w:t>December 31, 2014, adjusted for any conversion factors in the change in</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w w:val="91"/>
              </w:rPr>
              <w:t>control transaction. The new restricted stock units in the successor entity</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5600" w:type="dxa"/>
            <w:vAlign w:val="bottom"/>
          </w:tcPr>
          <w:p>
            <w:pPr>
              <w:ind w:left="280"/>
              <w:spacing w:after="0"/>
              <w:rPr>
                <w:sz w:val="20"/>
                <w:szCs w:val="20"/>
                <w:color w:val="auto"/>
              </w:rPr>
            </w:pPr>
            <w:r>
              <w:rPr>
                <w:rFonts w:ascii="Arial" w:cs="Arial" w:eastAsia="Arial" w:hAnsi="Arial"/>
                <w:sz w:val="18"/>
                <w:szCs w:val="18"/>
                <w:color w:val="auto"/>
              </w:rPr>
              <w:t>would vest on December 31, 2014.</w:t>
            </w:r>
          </w:p>
        </w:tc>
        <w:tc>
          <w:tcPr>
            <w:tcW w:w="0" w:type="dxa"/>
            <w:vAlign w:val="bottom"/>
          </w:tcPr>
          <w:p>
            <w:pPr>
              <w:spacing w:after="0"/>
              <w:rPr>
                <w:sz w:val="1"/>
                <w:szCs w:val="1"/>
                <w:color w:val="auto"/>
              </w:rPr>
            </w:pPr>
          </w:p>
        </w:tc>
      </w:tr>
    </w:tbl>
    <w:p>
      <w:pPr>
        <w:sectPr>
          <w:pgSz w:w="11900" w:h="16838" w:orient="portrait"/>
          <w:cols w:equalWidth="0" w:num="1">
            <w:col w:w="11380"/>
          </w:cols>
          <w:pgMar w:left="240" w:top="274" w:right="279" w:bottom="1440" w:gutter="0" w:footer="0" w:header="0"/>
        </w:sectPr>
      </w:pPr>
    </w:p>
    <w:bookmarkStart w:id="2" w:name="page3"/>
    <w:bookmarkEnd w:id="2"/>
    <w:p>
      <w:pPr>
        <w:ind w:right="4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Committee also granted stock options to the Named Executives to purchase the following number of shares of the Company’s common stock: Mr. Steiner — 218,881; Mr. Preston — 41,782; Mr. Trevathan — 38,935; Mr. Harris — 31,300; and Mr. Woods — 31,300. The material terms of the stock options are described below:</w:t>
      </w:r>
    </w:p>
    <w:p>
      <w:pPr>
        <w:sectPr>
          <w:pgSz w:w="11900" w:h="16838" w:orient="portrait"/>
          <w:cols w:equalWidth="0" w:num="1">
            <w:col w:w="11360"/>
          </w:cols>
          <w:pgMar w:left="240" w:top="280" w:right="299" w:bottom="1440" w:gutter="0" w:footer="0" w:header="0"/>
        </w:sectPr>
      </w:pP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Stock Options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Vesting Schedule</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Term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Exercise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Termination of Employment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Death or Disability</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Qualifying Retirement</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Involuntary Termination other than for Cause</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Involuntary Termination for Cause</w:t>
      </w:r>
    </w:p>
    <w:p>
      <w:pPr>
        <w:spacing w:after="0" w:line="117" w:lineRule="exact"/>
        <w:rPr>
          <w:sz w:val="20"/>
          <w:szCs w:val="20"/>
          <w:color w:val="auto"/>
        </w:rPr>
      </w:pPr>
    </w:p>
    <w:p>
      <w:pPr>
        <w:ind w:left="220"/>
        <w:spacing w:after="0" w:line="268" w:lineRule="auto"/>
        <w:rPr>
          <w:sz w:val="20"/>
          <w:szCs w:val="20"/>
          <w:color w:val="auto"/>
        </w:rPr>
      </w:pPr>
      <w:r>
        <w:rPr>
          <w:rFonts w:ascii="Arial" w:cs="Arial" w:eastAsia="Arial" w:hAnsi="Arial"/>
          <w:sz w:val="18"/>
          <w:szCs w:val="18"/>
          <w:color w:val="auto"/>
        </w:rPr>
        <w:t>Involuntary Termination or Resignation for Good Reason following a Change in Control</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25% on first anniversary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25% on second anniversary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 on third anniversary.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10 years from 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Fair Market Value on date of grant, $34.935</w:t>
      </w:r>
    </w:p>
    <w:p>
      <w:pPr>
        <w:spacing w:after="0" w:line="200" w:lineRule="exact"/>
        <w:rPr>
          <w:sz w:val="20"/>
          <w:szCs w:val="20"/>
          <w:color w:val="auto"/>
        </w:rPr>
      </w:pPr>
    </w:p>
    <w:p>
      <w:pPr>
        <w:spacing w:after="0" w:line="24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All options immediately vest and remain exercisable for one year; but in no event later than the original term.</w:t>
      </w:r>
    </w:p>
    <w:p>
      <w:pPr>
        <w:spacing w:after="0" w:line="7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Continued vesting and exercisability for three years; but in no event later than the original term.</w:t>
      </w:r>
    </w:p>
    <w:p>
      <w:pPr>
        <w:spacing w:after="0" w:line="7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options that are then vested are exercisable for 90 days; but in no event later than the original term.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All options are forfeited, whether or not then exercisable.</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options immediately vest and remain exercisable for three years; but in no event later than the original term.</w:t>
      </w:r>
    </w:p>
    <w:p>
      <w:pPr>
        <w:spacing w:after="0" w:line="132" w:lineRule="exact"/>
        <w:rPr>
          <w:sz w:val="20"/>
          <w:szCs w:val="20"/>
          <w:color w:val="auto"/>
        </w:rPr>
      </w:pPr>
    </w:p>
    <w:p>
      <w:pPr>
        <w:sectPr>
          <w:pgSz w:w="11900" w:h="16838" w:orient="portrait"/>
          <w:cols w:equalWidth="0" w:num="2">
            <w:col w:w="5680" w:space="380"/>
            <w:col w:w="5300"/>
          </w:cols>
          <w:pgMar w:left="240" w:top="280" w:right="299" w:bottom="1440" w:gutter="0" w:footer="0" w:header="0"/>
          <w:type w:val="continuous"/>
        </w:sectPr>
      </w:pPr>
    </w:p>
    <w:p>
      <w:pPr>
        <w:ind w:right="320" w:firstLine="456"/>
        <w:spacing w:after="0" w:line="268" w:lineRule="auto"/>
        <w:rPr>
          <w:sz w:val="20"/>
          <w:szCs w:val="20"/>
          <w:color w:val="auto"/>
        </w:rPr>
      </w:pPr>
      <w:r>
        <w:rPr>
          <w:rFonts w:ascii="Arial" w:cs="Arial" w:eastAsia="Arial" w:hAnsi="Arial"/>
          <w:sz w:val="18"/>
          <w:szCs w:val="18"/>
          <w:color w:val="auto"/>
        </w:rPr>
        <w:t>The forms of award agreements for the performance share units and the stock options are filed as exhibits to this Form 8-K, and the descriptions of the material terms of the awards are qualified in their entirety by reference to the award agreements.</w:t>
      </w:r>
    </w:p>
    <w:p>
      <w:pPr>
        <w:spacing w:after="0" w:line="248"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5440" w:type="dxa"/>
            <w:vAlign w:val="bottom"/>
            <w:gridSpan w:val="2"/>
          </w:tcPr>
          <w:p>
            <w:pPr>
              <w:ind w:left="380"/>
              <w:spacing w:after="0"/>
              <w:rPr>
                <w:sz w:val="20"/>
                <w:szCs w:val="20"/>
                <w:color w:val="auto"/>
              </w:rPr>
            </w:pPr>
            <w:r>
              <w:rPr>
                <w:rFonts w:ascii="Arial" w:cs="Arial" w:eastAsia="Arial" w:hAnsi="Arial"/>
                <w:sz w:val="14"/>
                <w:szCs w:val="14"/>
                <w:b w:val="1"/>
                <w:bCs w:val="1"/>
                <w:color w:val="auto"/>
              </w:rPr>
              <w:t>Description of Exhibit</w:t>
            </w:r>
          </w:p>
        </w:tc>
      </w:tr>
      <w:tr>
        <w:trPr>
          <w:trHeight w:val="309"/>
        </w:trPr>
        <w:tc>
          <w:tcPr>
            <w:tcW w:w="1060" w:type="dxa"/>
            <w:vAlign w:val="bottom"/>
          </w:tcPr>
          <w:p>
            <w:pPr>
              <w:spacing w:after="0"/>
              <w:rPr>
                <w:sz w:val="20"/>
                <w:szCs w:val="20"/>
                <w:color w:val="auto"/>
              </w:rPr>
            </w:pPr>
            <w:r>
              <w:rPr>
                <w:rFonts w:ascii="Arial" w:cs="Arial" w:eastAsia="Arial" w:hAnsi="Arial"/>
                <w:sz w:val="18"/>
                <w:szCs w:val="18"/>
                <w:color w:val="auto"/>
              </w:rPr>
              <w:t>10.1</w:t>
            </w:r>
          </w:p>
        </w:tc>
        <w:tc>
          <w:tcPr>
            <w:tcW w:w="1360" w:type="dxa"/>
            <w:vAlign w:val="bottom"/>
          </w:tcPr>
          <w:p>
            <w:pPr>
              <w:ind w:left="380"/>
              <w:spacing w:after="0"/>
              <w:rPr>
                <w:sz w:val="20"/>
                <w:szCs w:val="20"/>
                <w:color w:val="auto"/>
              </w:rPr>
            </w:pPr>
            <w:r>
              <w:rPr>
                <w:rFonts w:ascii="Arial" w:cs="Arial" w:eastAsia="Arial" w:hAnsi="Arial"/>
                <w:sz w:val="18"/>
                <w:szCs w:val="18"/>
                <w:color w:val="auto"/>
                <w:w w:val="89"/>
              </w:rPr>
              <w:t>Form of 2012</w:t>
            </w:r>
          </w:p>
        </w:tc>
        <w:tc>
          <w:tcPr>
            <w:tcW w:w="4080" w:type="dxa"/>
            <w:vAlign w:val="bottom"/>
          </w:tcPr>
          <w:p>
            <w:pPr>
              <w:ind w:left="20"/>
              <w:spacing w:after="0"/>
              <w:rPr>
                <w:sz w:val="20"/>
                <w:szCs w:val="20"/>
                <w:color w:val="auto"/>
              </w:rPr>
            </w:pPr>
            <w:r>
              <w:rPr>
                <w:rFonts w:ascii="Arial" w:cs="Arial" w:eastAsia="Arial" w:hAnsi="Arial"/>
                <w:sz w:val="18"/>
                <w:szCs w:val="18"/>
                <w:color w:val="auto"/>
                <w:w w:val="88"/>
              </w:rPr>
              <w:t>PSU Award Agreement with ROIC Performance Measure</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10.2</w:t>
            </w:r>
          </w:p>
        </w:tc>
        <w:tc>
          <w:tcPr>
            <w:tcW w:w="1360" w:type="dxa"/>
            <w:vAlign w:val="bottom"/>
          </w:tcPr>
          <w:p>
            <w:pPr>
              <w:ind w:left="380"/>
              <w:spacing w:after="0"/>
              <w:rPr>
                <w:sz w:val="20"/>
                <w:szCs w:val="20"/>
                <w:color w:val="auto"/>
              </w:rPr>
            </w:pPr>
            <w:r>
              <w:rPr>
                <w:rFonts w:ascii="Arial" w:cs="Arial" w:eastAsia="Arial" w:hAnsi="Arial"/>
                <w:sz w:val="18"/>
                <w:szCs w:val="18"/>
                <w:color w:val="auto"/>
                <w:w w:val="89"/>
              </w:rPr>
              <w:t>Form of 2012</w:t>
            </w:r>
          </w:p>
        </w:tc>
        <w:tc>
          <w:tcPr>
            <w:tcW w:w="4080" w:type="dxa"/>
            <w:vAlign w:val="bottom"/>
          </w:tcPr>
          <w:p>
            <w:pPr>
              <w:ind w:left="20"/>
              <w:spacing w:after="0"/>
              <w:rPr>
                <w:sz w:val="20"/>
                <w:szCs w:val="20"/>
                <w:color w:val="auto"/>
              </w:rPr>
            </w:pPr>
            <w:r>
              <w:rPr>
                <w:rFonts w:ascii="Arial" w:cs="Arial" w:eastAsia="Arial" w:hAnsi="Arial"/>
                <w:sz w:val="18"/>
                <w:szCs w:val="18"/>
                <w:color w:val="auto"/>
                <w:w w:val="90"/>
              </w:rPr>
              <w:t>PSU Award Agreement with TSR Performance Measure</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10.3</w:t>
            </w:r>
          </w:p>
        </w:tc>
        <w:tc>
          <w:tcPr>
            <w:tcW w:w="1360" w:type="dxa"/>
            <w:vAlign w:val="bottom"/>
          </w:tcPr>
          <w:p>
            <w:pPr>
              <w:ind w:left="380"/>
              <w:spacing w:after="0"/>
              <w:rPr>
                <w:sz w:val="20"/>
                <w:szCs w:val="20"/>
                <w:color w:val="auto"/>
              </w:rPr>
            </w:pPr>
            <w:r>
              <w:rPr>
                <w:rFonts w:ascii="Arial" w:cs="Arial" w:eastAsia="Arial" w:hAnsi="Arial"/>
                <w:sz w:val="18"/>
                <w:szCs w:val="18"/>
                <w:color w:val="auto"/>
                <w:w w:val="89"/>
              </w:rPr>
              <w:t>Form of 2012</w:t>
            </w:r>
          </w:p>
        </w:tc>
        <w:tc>
          <w:tcPr>
            <w:tcW w:w="4080" w:type="dxa"/>
            <w:vAlign w:val="bottom"/>
          </w:tcPr>
          <w:p>
            <w:pPr>
              <w:ind w:left="20"/>
              <w:spacing w:after="0"/>
              <w:rPr>
                <w:sz w:val="20"/>
                <w:szCs w:val="20"/>
                <w:color w:val="auto"/>
              </w:rPr>
            </w:pPr>
            <w:r>
              <w:rPr>
                <w:rFonts w:ascii="Arial" w:cs="Arial" w:eastAsia="Arial" w:hAnsi="Arial"/>
                <w:sz w:val="18"/>
                <w:szCs w:val="18"/>
                <w:color w:val="auto"/>
              </w:rPr>
              <w:t>Stock Option Award Agreement</w:t>
            </w:r>
          </w:p>
        </w:tc>
      </w:tr>
    </w:tbl>
    <w:p>
      <w:pPr>
        <w:sectPr>
          <w:pgSz w:w="11900" w:h="16838" w:orient="portrait"/>
          <w:cols w:equalWidth="0" w:num="1">
            <w:col w:w="11360"/>
          </w:cols>
          <w:pgMar w:left="240" w:top="280" w:right="29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40" w:type="dxa"/>
            <w:vAlign w:val="bottom"/>
          </w:tcPr>
          <w:p>
            <w:pPr>
              <w:spacing w:after="0"/>
              <w:rPr>
                <w:sz w:val="19"/>
                <w:szCs w:val="19"/>
                <w:color w:val="auto"/>
              </w:rPr>
            </w:pPr>
          </w:p>
        </w:tc>
        <w:tc>
          <w:tcPr>
            <w:tcW w:w="7680" w:type="dxa"/>
            <w:vAlign w:val="bottom"/>
            <w:gridSpan w:val="2"/>
          </w:tcPr>
          <w:p>
            <w:pPr>
              <w:ind w:left="2180"/>
              <w:spacing w:after="0"/>
              <w:rPr>
                <w:sz w:val="20"/>
                <w:szCs w:val="20"/>
                <w:color w:val="auto"/>
              </w:rPr>
            </w:pPr>
            <w:r>
              <w:rPr>
                <w:rFonts w:ascii="Arial" w:cs="Arial" w:eastAsia="Arial" w:hAnsi="Arial"/>
                <w:sz w:val="18"/>
                <w:szCs w:val="18"/>
                <w:color w:val="auto"/>
              </w:rPr>
              <w:t>WASTE MANAGEMENT, INC.</w:t>
            </w:r>
          </w:p>
        </w:tc>
      </w:tr>
      <w:tr>
        <w:trPr>
          <w:trHeight w:val="433"/>
        </w:trPr>
        <w:tc>
          <w:tcPr>
            <w:tcW w:w="3740" w:type="dxa"/>
            <w:vAlign w:val="bottom"/>
          </w:tcPr>
          <w:p>
            <w:pPr>
              <w:spacing w:after="0"/>
              <w:rPr>
                <w:sz w:val="20"/>
                <w:szCs w:val="20"/>
                <w:color w:val="auto"/>
              </w:rPr>
            </w:pPr>
            <w:r>
              <w:rPr>
                <w:rFonts w:ascii="Arial" w:cs="Arial" w:eastAsia="Arial" w:hAnsi="Arial"/>
                <w:sz w:val="18"/>
                <w:szCs w:val="18"/>
                <w:color w:val="auto"/>
              </w:rPr>
              <w:t>Date: March 14, 2012</w:t>
            </w:r>
          </w:p>
        </w:tc>
        <w:tc>
          <w:tcPr>
            <w:tcW w:w="7680" w:type="dxa"/>
            <w:vAlign w:val="bottom"/>
            <w:gridSpan w:val="2"/>
          </w:tcPr>
          <w:p>
            <w:pPr>
              <w:ind w:left="2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Rick L Wittenbraker</w:t>
            </w:r>
          </w:p>
        </w:tc>
      </w:tr>
      <w:tr>
        <w:trPr>
          <w:trHeight w:val="202"/>
        </w:trPr>
        <w:tc>
          <w:tcPr>
            <w:tcW w:w="37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Rick L Wittenbraker</w:t>
            </w:r>
          </w:p>
        </w:tc>
      </w:tr>
      <w:tr>
        <w:trPr>
          <w:trHeight w:val="222"/>
        </w:trPr>
        <w:tc>
          <w:tcPr>
            <w:tcW w:w="37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bl>
    <w:p>
      <w:pPr>
        <w:sectPr>
          <w:pgSz w:w="11900" w:h="16838" w:orient="portrait"/>
          <w:cols w:equalWidth="0" w:num="1">
            <w:col w:w="11420"/>
          </w:cols>
          <w:pgMar w:left="240" w:top="274"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63"/>
        </w:trPr>
        <w:tc>
          <w:tcPr>
            <w:tcW w:w="10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4140" w:type="dxa"/>
            <w:vAlign w:val="bottom"/>
            <w:gridSpan w:val="2"/>
          </w:tcPr>
          <w:p>
            <w:pPr>
              <w:ind w:left="380"/>
              <w:spacing w:after="0"/>
              <w:rPr>
                <w:sz w:val="20"/>
                <w:szCs w:val="20"/>
                <w:color w:val="auto"/>
              </w:rPr>
            </w:pPr>
            <w:r>
              <w:rPr>
                <w:rFonts w:ascii="Arial" w:cs="Arial" w:eastAsia="Arial" w:hAnsi="Arial"/>
                <w:sz w:val="14"/>
                <w:szCs w:val="14"/>
                <w:b w:val="1"/>
                <w:bCs w:val="1"/>
                <w:color w:val="auto"/>
              </w:rPr>
              <w:t>Description of Exhibit</w:t>
            </w:r>
          </w:p>
        </w:tc>
        <w:tc>
          <w:tcPr>
            <w:tcW w:w="10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10.1</w:t>
            </w:r>
          </w:p>
        </w:tc>
        <w:tc>
          <w:tcPr>
            <w:tcW w:w="1360" w:type="dxa"/>
            <w:vAlign w:val="bottom"/>
          </w:tcPr>
          <w:p>
            <w:pPr>
              <w:ind w:left="380"/>
              <w:spacing w:after="0"/>
              <w:rPr>
                <w:sz w:val="20"/>
                <w:szCs w:val="20"/>
                <w:color w:val="auto"/>
              </w:rPr>
            </w:pPr>
            <w:r>
              <w:rPr>
                <w:rFonts w:ascii="Arial" w:cs="Arial" w:eastAsia="Arial" w:hAnsi="Arial"/>
                <w:sz w:val="18"/>
                <w:szCs w:val="18"/>
                <w:color w:val="auto"/>
                <w:w w:val="89"/>
              </w:rPr>
              <w:t>Form of 2012</w:t>
            </w:r>
          </w:p>
        </w:tc>
        <w:tc>
          <w:tcPr>
            <w:tcW w:w="4080" w:type="dxa"/>
            <w:vAlign w:val="bottom"/>
            <w:gridSpan w:val="3"/>
          </w:tcPr>
          <w:p>
            <w:pPr>
              <w:ind w:left="20"/>
              <w:spacing w:after="0"/>
              <w:rPr>
                <w:sz w:val="20"/>
                <w:szCs w:val="20"/>
                <w:color w:val="auto"/>
              </w:rPr>
            </w:pPr>
            <w:r>
              <w:rPr>
                <w:rFonts w:ascii="Arial" w:cs="Arial" w:eastAsia="Arial" w:hAnsi="Arial"/>
                <w:sz w:val="18"/>
                <w:szCs w:val="18"/>
                <w:color w:val="auto"/>
                <w:w w:val="88"/>
              </w:rPr>
              <w:t>PSU Award Agreement with ROIC Performance Measure</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10.2</w:t>
            </w:r>
          </w:p>
        </w:tc>
        <w:tc>
          <w:tcPr>
            <w:tcW w:w="1360" w:type="dxa"/>
            <w:vAlign w:val="bottom"/>
          </w:tcPr>
          <w:p>
            <w:pPr>
              <w:ind w:left="380"/>
              <w:spacing w:after="0"/>
              <w:rPr>
                <w:sz w:val="20"/>
                <w:szCs w:val="20"/>
                <w:color w:val="auto"/>
              </w:rPr>
            </w:pPr>
            <w:r>
              <w:rPr>
                <w:rFonts w:ascii="Arial" w:cs="Arial" w:eastAsia="Arial" w:hAnsi="Arial"/>
                <w:sz w:val="18"/>
                <w:szCs w:val="18"/>
                <w:color w:val="auto"/>
                <w:w w:val="89"/>
              </w:rPr>
              <w:t>Form of 2012</w:t>
            </w:r>
          </w:p>
        </w:tc>
        <w:tc>
          <w:tcPr>
            <w:tcW w:w="4080" w:type="dxa"/>
            <w:vAlign w:val="bottom"/>
            <w:gridSpan w:val="3"/>
          </w:tcPr>
          <w:p>
            <w:pPr>
              <w:ind w:left="20"/>
              <w:spacing w:after="0"/>
              <w:rPr>
                <w:sz w:val="20"/>
                <w:szCs w:val="20"/>
                <w:color w:val="auto"/>
              </w:rPr>
            </w:pPr>
            <w:r>
              <w:rPr>
                <w:rFonts w:ascii="Arial" w:cs="Arial" w:eastAsia="Arial" w:hAnsi="Arial"/>
                <w:sz w:val="18"/>
                <w:szCs w:val="18"/>
                <w:color w:val="auto"/>
                <w:w w:val="90"/>
              </w:rPr>
              <w:t>PSU Award Agreement with TSR Performance Measure</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10.3</w:t>
            </w:r>
          </w:p>
        </w:tc>
        <w:tc>
          <w:tcPr>
            <w:tcW w:w="1360" w:type="dxa"/>
            <w:vAlign w:val="bottom"/>
          </w:tcPr>
          <w:p>
            <w:pPr>
              <w:ind w:left="380"/>
              <w:spacing w:after="0"/>
              <w:rPr>
                <w:sz w:val="20"/>
                <w:szCs w:val="20"/>
                <w:color w:val="auto"/>
              </w:rPr>
            </w:pPr>
            <w:r>
              <w:rPr>
                <w:rFonts w:ascii="Arial" w:cs="Arial" w:eastAsia="Arial" w:hAnsi="Arial"/>
                <w:sz w:val="18"/>
                <w:szCs w:val="18"/>
                <w:color w:val="auto"/>
                <w:w w:val="89"/>
              </w:rPr>
              <w:t>Form of 2012</w:t>
            </w:r>
          </w:p>
        </w:tc>
        <w:tc>
          <w:tcPr>
            <w:tcW w:w="4080" w:type="dxa"/>
            <w:vAlign w:val="bottom"/>
            <w:gridSpan w:val="3"/>
          </w:tcPr>
          <w:p>
            <w:pPr>
              <w:ind w:left="20"/>
              <w:spacing w:after="0"/>
              <w:rPr>
                <w:sz w:val="20"/>
                <w:szCs w:val="20"/>
                <w:color w:val="auto"/>
              </w:rPr>
            </w:pPr>
            <w:r>
              <w:rPr>
                <w:rFonts w:ascii="Arial" w:cs="Arial" w:eastAsia="Arial" w:hAnsi="Arial"/>
                <w:sz w:val="18"/>
                <w:szCs w:val="18"/>
                <w:color w:val="auto"/>
              </w:rPr>
              <w:t>Stock Option Award Agreement</w:t>
            </w:r>
          </w:p>
        </w:tc>
      </w:tr>
    </w:tbl>
    <w:p>
      <w:pPr>
        <w:sectPr>
          <w:pgSz w:w="11900" w:h="16838" w:orient="portrait"/>
          <w:cols w:equalWidth="0" w:num="1">
            <w:col w:w="10219"/>
          </w:cols>
          <w:pgMar w:left="240" w:top="257"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UNIT AWARD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RETURN ON INVESTED CAPITAL</w:t>
      </w:r>
    </w:p>
    <w:p>
      <w:pPr>
        <w:spacing w:after="0" w:line="165"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 xml:space="preserve">This Performance Share Unit Award Agreement (“Agreement”) is entered into effective as of March 9, 2012, (the “Grant Date”), by and between Waste Management, Inc., a Delaware corporation (together with its Subsidiaries and Affiliates, the “Company”), and you, (the “Employee”), pursuant to the Waste Management, Inc. 2009 Stock Incentive Plan (the “Plan”). Employee and the Company agree to execute such further instruments and to take such further action as may reasonably be necessary to carry out the intent of this Agreement. </w:t>
      </w:r>
      <w:r>
        <w:rPr>
          <w:rFonts w:ascii="Arial" w:cs="Arial" w:eastAsia="Arial" w:hAnsi="Arial"/>
          <w:sz w:val="15"/>
          <w:szCs w:val="15"/>
          <w:b w:val="1"/>
          <w:bCs w:val="1"/>
          <w:color w:val="auto"/>
        </w:rPr>
        <w:t>The terms and conditions of this Agreement as offered herein must be accepted by</w:t>
      </w:r>
    </w:p>
    <w:p>
      <w:pPr>
        <w:spacing w:after="0" w:line="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Employee prior to April 23, 2012. Failure to timely accept the terms by such time will result in the immediate and irrevocable cancellation of the Award offered.</w:t>
      </w:r>
    </w:p>
    <w:p>
      <w:pPr>
        <w:spacing w:after="0" w:line="138" w:lineRule="exact"/>
        <w:rPr>
          <w:sz w:val="20"/>
          <w:szCs w:val="20"/>
          <w:color w:val="auto"/>
        </w:rPr>
      </w:pPr>
    </w:p>
    <w:p>
      <w:pPr>
        <w:ind w:right="120" w:firstLine="464"/>
        <w:spacing w:after="0" w:line="306" w:lineRule="auto"/>
        <w:tabs>
          <w:tab w:leader="none" w:pos="632"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Grant</w:t>
      </w:r>
      <w:r>
        <w:rPr>
          <w:rFonts w:ascii="Arial" w:cs="Arial" w:eastAsia="Arial" w:hAnsi="Arial"/>
          <w:sz w:val="16"/>
          <w:szCs w:val="16"/>
          <w:color w:val="auto"/>
        </w:rPr>
        <w:t>. In accordance with, and subject to, the terms of the Plan, the Company hereby grants to Employee a Performance Share Unit Award (the “Award”) subject to the terms and conditions set forth herein. Performance Share Units are notational units of measurement denominated in shares of common stock of Waste Management, Inc., $.01 par value, (“Common Stock”), subject to the conditions and restrictions on transferability set forth below and in the Plan.</w:t>
      </w:r>
    </w:p>
    <w:p>
      <w:pPr>
        <w:spacing w:after="0" w:line="106" w:lineRule="exact"/>
        <w:rPr>
          <w:rFonts w:ascii="Arial" w:cs="Arial" w:eastAsia="Arial" w:hAnsi="Arial"/>
          <w:sz w:val="16"/>
          <w:szCs w:val="16"/>
          <w:color w:val="auto"/>
        </w:rPr>
      </w:pPr>
    </w:p>
    <w:p>
      <w:pPr>
        <w:ind w:left="640" w:hanging="17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Return on Invested Capital Performance Requirement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60" w:right="140" w:firstLine="443"/>
        <w:spacing w:after="0" w:line="298" w:lineRule="auto"/>
        <w:tabs>
          <w:tab w:leader="none" w:pos="1137"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“Performance Period” for this Award shall be the 36-month period commencing on January 1, 2012 and ending on December 31, 2014. The Award shall be subject to performance vesting requirements based upon the achievement of the Incentive Formula established under the Plan, adjusted so that the Award that is paid to the Employee hereunder does not exceed the amount computed under the performance goal specified below, subject to certification of the degree of achievement of such performance goal by the Committee.</w:t>
      </w:r>
    </w:p>
    <w:p>
      <w:pPr>
        <w:spacing w:after="0" w:line="112" w:lineRule="exact"/>
        <w:rPr>
          <w:rFonts w:ascii="Arial" w:cs="Arial" w:eastAsia="Arial" w:hAnsi="Arial"/>
          <w:sz w:val="16"/>
          <w:szCs w:val="16"/>
          <w:color w:val="auto"/>
        </w:rPr>
      </w:pPr>
    </w:p>
    <w:p>
      <w:pPr>
        <w:ind w:left="460" w:right="80" w:firstLine="443"/>
        <w:spacing w:after="0" w:line="294" w:lineRule="auto"/>
        <w:tabs>
          <w:tab w:leader="none" w:pos="1147"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measurement tool for determining level of achievement shall be Average Return on Invested Capital for the 36-month period beginning January 1, 2012 and ending December 31, 2014. Calculation of this measurement tool will be performed by the Committee, subject to all authority granted under the terms of the Plan, including adjustments that may be made by the Committee to take into account any factors that the Committee has determined are not properly reflected in such reported figures. Such adjustments may include, but are not limited to, income tax adjustments, strike costs, remedial reserve adjustments, acquisitions and other unusual items.</w:t>
      </w:r>
    </w:p>
    <w:p>
      <w:pPr>
        <w:spacing w:after="0" w:line="115" w:lineRule="exact"/>
        <w:rPr>
          <w:rFonts w:ascii="Arial" w:cs="Arial" w:eastAsia="Arial" w:hAnsi="Arial"/>
          <w:sz w:val="16"/>
          <w:szCs w:val="16"/>
          <w:color w:val="auto"/>
        </w:rPr>
      </w:pPr>
    </w:p>
    <w:p>
      <w:pPr>
        <w:jc w:val="both"/>
        <w:ind w:left="460" w:right="80" w:firstLine="443"/>
        <w:spacing w:after="0" w:line="259" w:lineRule="auto"/>
        <w:tabs>
          <w:tab w:leader="none" w:pos="1137" w:val="left"/>
        </w:tabs>
        <w:numPr>
          <w:ilvl w:val="1"/>
          <w:numId w:val="3"/>
        </w:numPr>
        <w:rPr>
          <w:rFonts w:ascii="Arial" w:cs="Arial" w:eastAsia="Arial" w:hAnsi="Arial"/>
          <w:sz w:val="18"/>
          <w:szCs w:val="18"/>
          <w:color w:val="auto"/>
        </w:rPr>
      </w:pPr>
      <w:r>
        <w:rPr>
          <w:rFonts w:ascii="Arial" w:cs="Arial" w:eastAsia="Arial" w:hAnsi="Arial"/>
          <w:sz w:val="18"/>
          <w:szCs w:val="18"/>
          <w:color w:val="auto"/>
        </w:rPr>
        <w:t>Notwithstanding any other term of this Agreement to the contrary, in order to be eligible to vest in any portion of the Award, Employee must also have entered into an agreement containing restrictive covenants concerning limitations on Employee’s behavior following termination of employment that is satisfactory to the Company and its affiliates.</w:t>
      </w:r>
    </w:p>
    <w:p>
      <w:pPr>
        <w:sectPr>
          <w:pgSz w:w="11900" w:h="16838" w:orient="portrait"/>
          <w:cols w:equalWidth="0" w:num="1">
            <w:col w:w="11420"/>
          </w:cols>
          <w:pgMar w:left="240" w:top="125" w:right="239" w:bottom="1440" w:gutter="0" w:footer="0" w:header="0"/>
        </w:sectPr>
      </w:pPr>
    </w:p>
    <w:bookmarkStart w:id="6" w:name="page7"/>
    <w:bookmarkEnd w:id="6"/>
    <w:p>
      <w:pPr>
        <w:ind w:left="620" w:hanging="176"/>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Determining Number of Performance Share Units Earned</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40" w:firstLine="443"/>
        <w:spacing w:after="0" w:line="289" w:lineRule="auto"/>
        <w:tabs>
          <w:tab w:leader="none" w:pos="1117"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“Target Award” for Employee under this Agreement is the target number of Performance Share Units announced on March 9, 2012. The actual number of Performance Share Units earned by Employee will be determined as described below, based upon the actual achievement of the performance goal for the Performance Period. “Threshold Performance” is the minimum level of performance that must be achieved to qualify for any Award; “Target Performance” is the expected achievement in Average Return on Invested Capital; and “Maximum Performance” is the maximum level of performance that could be achieved that would result in an increase in the number of Performance Share Units earned under this Award. The target levels of achievement for the performance goal will be announced by no later than March 15, 2012, following calculation of year-end financial reporting for 2011. Subject to adjustment pursuant to Subsection 3(b), 3(c) and 3(d), each such percentage correlates to a number of Performance Share Units that may be earned under this Award, as follows:</w:t>
      </w:r>
    </w:p>
    <w:p>
      <w:pPr>
        <w:spacing w:after="0" w:line="136" w:lineRule="exact"/>
        <w:rPr>
          <w:sz w:val="20"/>
          <w:szCs w:val="20"/>
          <w:color w:val="auto"/>
        </w:rPr>
      </w:pPr>
    </w:p>
    <w:tbl>
      <w:tblPr>
        <w:tblLayout w:type="fixed"/>
        <w:tblInd w:w="1340" w:type="dxa"/>
        <w:tblCellMar>
          <w:top w:w="0" w:type="dxa"/>
          <w:left w:w="0" w:type="dxa"/>
          <w:bottom w:w="0" w:type="dxa"/>
          <w:right w:w="0" w:type="dxa"/>
        </w:tblCellMar>
      </w:tblPr>
      <w:tr>
        <w:trPr>
          <w:trHeight w:val="207"/>
        </w:trPr>
        <w:tc>
          <w:tcPr>
            <w:tcW w:w="6100" w:type="dxa"/>
            <w:vAlign w:val="bottom"/>
            <w:gridSpan w:val="2"/>
          </w:tcPr>
          <w:p>
            <w:pPr>
              <w:jc w:val="center"/>
              <w:ind w:right="3000"/>
              <w:spacing w:after="0"/>
              <w:rPr>
                <w:sz w:val="20"/>
                <w:szCs w:val="20"/>
                <w:color w:val="auto"/>
              </w:rPr>
            </w:pPr>
            <w:r>
              <w:rPr>
                <w:rFonts w:ascii="Arial" w:cs="Arial" w:eastAsia="Arial" w:hAnsi="Arial"/>
                <w:sz w:val="18"/>
                <w:szCs w:val="18"/>
                <w:color w:val="auto"/>
                <w:w w:val="89"/>
              </w:rPr>
              <w:t>Level Achieved During Performance Period</w:t>
            </w:r>
          </w:p>
        </w:tc>
        <w:tc>
          <w:tcPr>
            <w:tcW w:w="2560" w:type="dxa"/>
            <w:vAlign w:val="bottom"/>
          </w:tcPr>
          <w:p>
            <w:pPr>
              <w:jc w:val="center"/>
              <w:spacing w:after="0"/>
              <w:rPr>
                <w:sz w:val="20"/>
                <w:szCs w:val="20"/>
                <w:color w:val="auto"/>
              </w:rPr>
            </w:pPr>
            <w:r>
              <w:rPr>
                <w:rFonts w:ascii="Arial" w:cs="Arial" w:eastAsia="Arial" w:hAnsi="Arial"/>
                <w:sz w:val="18"/>
                <w:szCs w:val="18"/>
                <w:color w:val="auto"/>
                <w:w w:val="86"/>
              </w:rPr>
              <w:t>Resulting Payout Percentage Earned</w:t>
            </w:r>
          </w:p>
        </w:tc>
      </w:tr>
      <w:tr>
        <w:trPr>
          <w:trHeight w:val="228"/>
        </w:trPr>
        <w:tc>
          <w:tcPr>
            <w:tcW w:w="3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Threshold Performance</w:t>
            </w:r>
          </w:p>
        </w:tc>
        <w:tc>
          <w:tcPr>
            <w:tcW w:w="3000" w:type="dxa"/>
            <w:vAlign w:val="bottom"/>
          </w:tcPr>
          <w:p>
            <w:pPr>
              <w:spacing w:after="0"/>
              <w:rPr>
                <w:sz w:val="19"/>
                <w:szCs w:val="19"/>
                <w:color w:val="auto"/>
              </w:rPr>
            </w:pPr>
          </w:p>
        </w:tc>
        <w:tc>
          <w:tcPr>
            <w:tcW w:w="2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60% of Target Award</w:t>
            </w:r>
          </w:p>
        </w:tc>
      </w:tr>
      <w:tr>
        <w:trPr>
          <w:trHeight w:val="216"/>
        </w:trPr>
        <w:tc>
          <w:tcPr>
            <w:tcW w:w="6100" w:type="dxa"/>
            <w:vAlign w:val="bottom"/>
            <w:gridSpan w:val="2"/>
          </w:tcPr>
          <w:p>
            <w:pPr>
              <w:jc w:val="center"/>
              <w:ind w:right="2980"/>
              <w:spacing w:after="0"/>
              <w:rPr>
                <w:sz w:val="20"/>
                <w:szCs w:val="20"/>
                <w:color w:val="auto"/>
              </w:rPr>
            </w:pPr>
            <w:r>
              <w:rPr>
                <w:rFonts w:ascii="Arial" w:cs="Arial" w:eastAsia="Arial" w:hAnsi="Arial"/>
                <w:sz w:val="18"/>
                <w:szCs w:val="18"/>
                <w:color w:val="auto"/>
                <w:w w:val="87"/>
              </w:rPr>
              <w:t>Target Performance</w:t>
            </w:r>
          </w:p>
        </w:tc>
        <w:tc>
          <w:tcPr>
            <w:tcW w:w="2560" w:type="dxa"/>
            <w:vAlign w:val="bottom"/>
          </w:tcPr>
          <w:p>
            <w:pPr>
              <w:jc w:val="center"/>
              <w:spacing w:after="0"/>
              <w:rPr>
                <w:sz w:val="20"/>
                <w:szCs w:val="20"/>
                <w:color w:val="auto"/>
              </w:rPr>
            </w:pPr>
            <w:r>
              <w:rPr>
                <w:rFonts w:ascii="Arial" w:cs="Arial" w:eastAsia="Arial" w:hAnsi="Arial"/>
                <w:sz w:val="18"/>
                <w:szCs w:val="18"/>
                <w:color w:val="auto"/>
                <w:w w:val="89"/>
              </w:rPr>
              <w:t>100% of Target Award</w:t>
            </w:r>
          </w:p>
        </w:tc>
      </w:tr>
      <w:tr>
        <w:trPr>
          <w:trHeight w:val="222"/>
        </w:trPr>
        <w:tc>
          <w:tcPr>
            <w:tcW w:w="6100" w:type="dxa"/>
            <w:vAlign w:val="bottom"/>
            <w:gridSpan w:val="2"/>
          </w:tcPr>
          <w:p>
            <w:pPr>
              <w:jc w:val="center"/>
              <w:ind w:right="2980"/>
              <w:spacing w:after="0"/>
              <w:rPr>
                <w:sz w:val="20"/>
                <w:szCs w:val="20"/>
                <w:color w:val="auto"/>
              </w:rPr>
            </w:pPr>
            <w:r>
              <w:rPr>
                <w:rFonts w:ascii="Arial" w:cs="Arial" w:eastAsia="Arial" w:hAnsi="Arial"/>
                <w:sz w:val="18"/>
                <w:szCs w:val="18"/>
                <w:color w:val="auto"/>
                <w:w w:val="90"/>
              </w:rPr>
              <w:t>Maximum Performance</w:t>
            </w:r>
          </w:p>
        </w:tc>
        <w:tc>
          <w:tcPr>
            <w:tcW w:w="2560" w:type="dxa"/>
            <w:vAlign w:val="bottom"/>
          </w:tcPr>
          <w:p>
            <w:pPr>
              <w:jc w:val="center"/>
              <w:spacing w:after="0"/>
              <w:rPr>
                <w:sz w:val="20"/>
                <w:szCs w:val="20"/>
                <w:color w:val="auto"/>
              </w:rPr>
            </w:pPr>
            <w:r>
              <w:rPr>
                <w:rFonts w:ascii="Arial" w:cs="Arial" w:eastAsia="Arial" w:hAnsi="Arial"/>
                <w:sz w:val="18"/>
                <w:szCs w:val="18"/>
                <w:color w:val="auto"/>
                <w:w w:val="89"/>
              </w:rPr>
              <w:t>200% of Target Award</w:t>
            </w:r>
          </w:p>
        </w:tc>
      </w:tr>
    </w:tbl>
    <w:p>
      <w:pPr>
        <w:spacing w:after="0" w:line="156" w:lineRule="exact"/>
        <w:rPr>
          <w:sz w:val="20"/>
          <w:szCs w:val="20"/>
          <w:color w:val="auto"/>
        </w:rPr>
      </w:pPr>
    </w:p>
    <w:p>
      <w:pPr>
        <w:ind w:left="440" w:right="40" w:firstLine="443"/>
        <w:spacing w:after="0" w:line="268" w:lineRule="auto"/>
        <w:tabs>
          <w:tab w:leader="none" w:pos="1127" w:val="left"/>
        </w:tabs>
        <w:numPr>
          <w:ilvl w:val="1"/>
          <w:numId w:val="5"/>
        </w:numPr>
        <w:rPr>
          <w:rFonts w:ascii="Arial" w:cs="Arial" w:eastAsia="Arial" w:hAnsi="Arial"/>
          <w:sz w:val="18"/>
          <w:szCs w:val="18"/>
          <w:color w:val="auto"/>
        </w:rPr>
      </w:pPr>
      <w:r>
        <w:rPr>
          <w:rFonts w:ascii="Arial" w:cs="Arial" w:eastAsia="Arial" w:hAnsi="Arial"/>
          <w:sz w:val="18"/>
          <w:szCs w:val="18"/>
          <w:color w:val="auto"/>
        </w:rPr>
        <w:t>In the event that the Company’s actual performance does not meet the Threshold Performance, no Performance Share Units shall be earned under this Award.</w:t>
      </w:r>
    </w:p>
    <w:p>
      <w:pPr>
        <w:spacing w:after="0" w:line="131" w:lineRule="exact"/>
        <w:rPr>
          <w:rFonts w:ascii="Arial" w:cs="Arial" w:eastAsia="Arial" w:hAnsi="Arial"/>
          <w:sz w:val="18"/>
          <w:szCs w:val="18"/>
          <w:color w:val="auto"/>
        </w:rPr>
      </w:pPr>
    </w:p>
    <w:p>
      <w:pPr>
        <w:ind w:left="440" w:right="440" w:firstLine="443"/>
        <w:spacing w:after="0" w:line="332" w:lineRule="auto"/>
        <w:tabs>
          <w:tab w:leader="none" w:pos="1117" w:val="left"/>
        </w:tabs>
        <w:numPr>
          <w:ilvl w:val="1"/>
          <w:numId w:val="5"/>
        </w:numPr>
        <w:rPr>
          <w:rFonts w:ascii="Arial" w:cs="Arial" w:eastAsia="Arial" w:hAnsi="Arial"/>
          <w:sz w:val="16"/>
          <w:szCs w:val="16"/>
          <w:color w:val="auto"/>
        </w:rPr>
      </w:pPr>
      <w:r>
        <w:rPr>
          <w:rFonts w:ascii="Arial" w:cs="Arial" w:eastAsia="Arial" w:hAnsi="Arial"/>
          <w:sz w:val="16"/>
          <w:szCs w:val="16"/>
          <w:color w:val="auto"/>
        </w:rPr>
        <w:t>If the Company’s actual performance for the Performance Period is between Threshold Performance and Target Performance, the number of Performance Share Units earned shall be straight-line interpolated between Threshold Performance and Target Performance payout percentages.</w:t>
      </w:r>
    </w:p>
    <w:p>
      <w:pPr>
        <w:spacing w:after="0" w:line="85" w:lineRule="exact"/>
        <w:rPr>
          <w:rFonts w:ascii="Arial" w:cs="Arial" w:eastAsia="Arial" w:hAnsi="Arial"/>
          <w:sz w:val="16"/>
          <w:szCs w:val="16"/>
          <w:color w:val="auto"/>
        </w:rPr>
      </w:pPr>
    </w:p>
    <w:p>
      <w:pPr>
        <w:ind w:left="440" w:right="400" w:firstLine="443"/>
        <w:spacing w:after="0" w:line="332" w:lineRule="auto"/>
        <w:tabs>
          <w:tab w:leader="none" w:pos="1127" w:val="left"/>
        </w:tabs>
        <w:numPr>
          <w:ilvl w:val="1"/>
          <w:numId w:val="5"/>
        </w:numPr>
        <w:rPr>
          <w:rFonts w:ascii="Arial" w:cs="Arial" w:eastAsia="Arial" w:hAnsi="Arial"/>
          <w:sz w:val="16"/>
          <w:szCs w:val="16"/>
          <w:color w:val="auto"/>
        </w:rPr>
      </w:pPr>
      <w:r>
        <w:rPr>
          <w:rFonts w:ascii="Arial" w:cs="Arial" w:eastAsia="Arial" w:hAnsi="Arial"/>
          <w:sz w:val="16"/>
          <w:szCs w:val="16"/>
          <w:color w:val="auto"/>
        </w:rPr>
        <w:t>If the Company’s actual performance for the Performance Period is between Target Performance and Maximum Performance, the number of Performance Share Units earned shall be straight-line interpolated between Target Performance and Maximum Performance payout percentages.</w:t>
      </w:r>
    </w:p>
    <w:p>
      <w:pPr>
        <w:spacing w:after="0" w:line="85" w:lineRule="exact"/>
        <w:rPr>
          <w:rFonts w:ascii="Arial" w:cs="Arial" w:eastAsia="Arial" w:hAnsi="Arial"/>
          <w:sz w:val="16"/>
          <w:szCs w:val="16"/>
          <w:color w:val="auto"/>
        </w:rPr>
      </w:pPr>
    </w:p>
    <w:p>
      <w:pPr>
        <w:ind w:left="-20" w:right="60" w:firstLine="464"/>
        <w:spacing w:after="0" w:line="294" w:lineRule="auto"/>
        <w:tabs>
          <w:tab w:leader="none" w:pos="612"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Timing and Form of Payout</w:t>
      </w:r>
      <w:r>
        <w:rPr>
          <w:rFonts w:ascii="Arial" w:cs="Arial" w:eastAsia="Arial" w:hAnsi="Arial"/>
          <w:sz w:val="16"/>
          <w:szCs w:val="16"/>
          <w:color w:val="auto"/>
        </w:rPr>
        <w:t>. Except as hereinafter provided, after the end of the Performance Period, Employee shall be entitled to receive his total number of Performance Shares Units determined under Section 3 and Dividend Equivalents under Section 11. Unless timely deferred by Employee in accordance with Section 12, upon vesting, each Performance Share Unit will be settled by payment of one share of Common Stock, free of any restrictions. Payment of such shares of Common Stock shall be made as soon as administratively feasible after the Committee certifies the actual performance of the Company during the Performance Period. The Company shall not be required to issue any fractional shares of Common Stock.</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80" w:right="239" w:bottom="1440" w:gutter="0" w:footer="0" w:header="0"/>
        </w:sectPr>
      </w:pPr>
    </w:p>
    <w:bookmarkStart w:id="7" w:name="page8"/>
    <w:bookmarkEnd w:id="7"/>
    <w:p>
      <w:pPr>
        <w:ind w:right="80" w:firstLine="464"/>
        <w:spacing w:after="0" w:line="290" w:lineRule="auto"/>
        <w:tabs>
          <w:tab w:leader="none" w:pos="632"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Employment Due to Death or Disability</w:t>
      </w:r>
      <w:r>
        <w:rPr>
          <w:rFonts w:ascii="Arial" w:cs="Arial" w:eastAsia="Arial" w:hAnsi="Arial"/>
          <w:sz w:val="16"/>
          <w:szCs w:val="16"/>
          <w:color w:val="auto"/>
        </w:rPr>
        <w:t>. Upon Termination of Employment from the Company by reason of Employee’s death or disability (as determined by the Committee and within the meaning of Section 409A of the Internal Revenue Code of 1986, as amended (the “Internal Revenue Code”)), or upon Employee’s disability prior to a Termination of Employment (as determined by the Committee and within the meaning of Section 409A of the Internal Revenue Code), Employee (or in the case of Employee’s death, Employee’s beneficiary) shall be entitled to receive the Performance Share Units and related Dividend Equivalents that Employee would have been entitled to under Section 3 if Employee had remained employed until the last day of the Performance Period. Unless further deferred pursuant to Employee’s deferral election, the delivery of shares of Common Stock in satisfaction of such Performance Share Units shall be made as soon as administratively feasible after the end of the Performance Period.</w:t>
      </w:r>
    </w:p>
    <w:p>
      <w:pPr>
        <w:spacing w:after="0" w:line="118" w:lineRule="exact"/>
        <w:rPr>
          <w:rFonts w:ascii="Arial" w:cs="Arial" w:eastAsia="Arial" w:hAnsi="Arial"/>
          <w:sz w:val="16"/>
          <w:szCs w:val="16"/>
          <w:color w:val="auto"/>
        </w:rPr>
      </w:pPr>
    </w:p>
    <w:p>
      <w:pPr>
        <w:ind w:firstLine="464"/>
        <w:spacing w:after="0" w:line="290" w:lineRule="auto"/>
        <w:tabs>
          <w:tab w:leader="none" w:pos="632"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Involuntary Termination of Employment Without Cause by the Company or Retirement by Employee</w:t>
      </w:r>
      <w:r>
        <w:rPr>
          <w:rFonts w:ascii="Arial" w:cs="Arial" w:eastAsia="Arial" w:hAnsi="Arial"/>
          <w:sz w:val="16"/>
          <w:szCs w:val="16"/>
          <w:color w:val="auto"/>
        </w:rPr>
        <w:t>. Upon either an involuntary Termination of Employment from the Company without Cause by the Company or a qualifying Retirement by Employee, Employee shall be entitled to receive the Performance Share Units and related Dividend Equivalents that Employee would have been entitled to under Section 3 if Employee had remained employed until the last day of the Performance Period, multiplied by the fraction which has as its numerator the total number of days that Employee was employed by the Company during the Performance Period and has as its denominator 1,096 (being the number of calendar days in the Performance Period). Unless further deferred pursuant to Employee’s deferral election, the delivery of shares of Common Stock in satisfaction of such Performance Share Units shall be made as soon as administratively feasible after the end of the Performance Period.</w:t>
      </w:r>
    </w:p>
    <w:p>
      <w:pPr>
        <w:spacing w:after="0" w:line="118" w:lineRule="exact"/>
        <w:rPr>
          <w:rFonts w:ascii="Arial" w:cs="Arial" w:eastAsia="Arial" w:hAnsi="Arial"/>
          <w:sz w:val="16"/>
          <w:szCs w:val="16"/>
          <w:color w:val="auto"/>
        </w:rPr>
      </w:pPr>
    </w:p>
    <w:p>
      <w:pPr>
        <w:ind w:left="640" w:hanging="176"/>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for Any Other Reason.</w:t>
      </w:r>
      <w:r>
        <w:rPr>
          <w:rFonts w:ascii="Arial" w:cs="Arial" w:eastAsia="Arial" w:hAnsi="Arial"/>
          <w:sz w:val="16"/>
          <w:szCs w:val="16"/>
          <w:color w:val="auto"/>
        </w:rPr>
        <w:t xml:space="preserve"> Except as provided in Sections 5 and 6, Employee must be an employee of the Company</w:t>
      </w:r>
    </w:p>
    <w:p>
      <w:pPr>
        <w:spacing w:after="0" w:line="38" w:lineRule="exact"/>
        <w:rPr>
          <w:rFonts w:ascii="Arial" w:cs="Arial" w:eastAsia="Arial" w:hAnsi="Arial"/>
          <w:sz w:val="16"/>
          <w:szCs w:val="16"/>
          <w:color w:val="auto"/>
        </w:rPr>
      </w:pPr>
    </w:p>
    <w:p>
      <w:pPr>
        <w:ind w:right="140"/>
        <w:spacing w:after="0" w:line="261" w:lineRule="auto"/>
        <w:rPr>
          <w:rFonts w:ascii="Arial" w:cs="Arial" w:eastAsia="Arial" w:hAnsi="Arial"/>
          <w:sz w:val="16"/>
          <w:szCs w:val="16"/>
          <w:color w:val="auto"/>
        </w:rPr>
      </w:pPr>
      <w:r>
        <w:rPr>
          <w:rFonts w:ascii="Arial" w:cs="Arial" w:eastAsia="Arial" w:hAnsi="Arial"/>
          <w:sz w:val="18"/>
          <w:szCs w:val="18"/>
          <w:color w:val="auto"/>
        </w:rPr>
        <w:t>continuously from the date of this Award until the last day of the Performance Period to be entitled to receive any shares of Common Stock with respect to any Performance Share Units that Employee may have earned hereunder.</w:t>
      </w:r>
    </w:p>
    <w:p>
      <w:pPr>
        <w:spacing w:after="0" w:line="137" w:lineRule="exact"/>
        <w:rPr>
          <w:rFonts w:ascii="Arial" w:cs="Arial" w:eastAsia="Arial" w:hAnsi="Arial"/>
          <w:sz w:val="16"/>
          <w:szCs w:val="16"/>
          <w:color w:val="auto"/>
        </w:rPr>
      </w:pPr>
    </w:p>
    <w:p>
      <w:pPr>
        <w:ind w:left="640" w:hanging="17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Repayment of Benefits Arising from Misconduct.</w:t>
      </w:r>
    </w:p>
    <w:p>
      <w:pPr>
        <w:spacing w:after="0" w:line="90" w:lineRule="exact"/>
        <w:rPr>
          <w:rFonts w:ascii="Arial" w:cs="Arial" w:eastAsia="Arial" w:hAnsi="Arial"/>
          <w:sz w:val="18"/>
          <w:szCs w:val="18"/>
          <w:color w:val="auto"/>
        </w:rPr>
      </w:pPr>
    </w:p>
    <w:p>
      <w:pPr>
        <w:ind w:left="460" w:right="40" w:firstLine="443"/>
        <w:spacing w:after="0" w:line="290" w:lineRule="auto"/>
        <w:tabs>
          <w:tab w:leader="none" w:pos="1137" w:val="left"/>
        </w:tabs>
        <w:numPr>
          <w:ilvl w:val="1"/>
          <w:numId w:val="7"/>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if it is determined by the Committee that Employee either engaged in or benefited from Misconduct, as defined below, then, to the extent permitted by law, Employee will refund to the Company any amounts, plus interest, received by Employee under this Agreement. For purposes of this Section, “Misconduct” means (i) any act or failure to act by any employee of the Company that (ii) caused or was intended to cause a violation of the Company’s policies, generally accepted accounting principles or any applicable laws in effect at the time of the act(s) or failure(s) to act in question and that (iii) materially increased the value of the payment or award received by Employee under this Agreement. Determination as to the existence of Misconduct shall be made by an independent third party (either a law firm or an accounting firm) appointed by the Committee.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80" w:right="359" w:bottom="1440" w:gutter="0" w:footer="0" w:header="0"/>
        </w:sectPr>
      </w:pPr>
    </w:p>
    <w:bookmarkStart w:id="8" w:name="page9"/>
    <w:bookmarkEnd w:id="8"/>
    <w:p>
      <w:pPr>
        <w:ind w:right="60" w:firstLine="443"/>
        <w:spacing w:after="0" w:line="289" w:lineRule="auto"/>
        <w:tabs>
          <w:tab w:leader="none" w:pos="687" w:val="left"/>
        </w:tabs>
        <w:numPr>
          <w:ilvl w:val="1"/>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Following finding of Misconduct by such a third party, if Employee has been accused engaging in Misconduct may dispute the occurrence of Misconduct pursuant to binding arbitration. Individuals determined to have benefited from, but not engaged in, Misconduct will have no right to challenge the finding of Misconduct through arbitration. The Company and Employee hereby agree that any dispute arising out of or relating to a finding that Employee engaged in Misconduct shall be settled exclusively by final and binding arbitration, as governed by the Federal Arbitration Act (9 U.S.C. 1 </w:t>
      </w:r>
      <w:r>
        <w:rPr>
          <w:rFonts w:ascii="Arial" w:cs="Arial" w:eastAsia="Arial" w:hAnsi="Arial"/>
          <w:sz w:val="16"/>
          <w:szCs w:val="16"/>
          <w:i w:val="1"/>
          <w:iCs w:val="1"/>
          <w:color w:val="auto"/>
        </w:rPr>
        <w:t>et</w:t>
      </w:r>
      <w:r>
        <w:rPr>
          <w:rFonts w:ascii="Arial" w:cs="Arial" w:eastAsia="Arial" w:hAnsi="Arial"/>
          <w:sz w:val="16"/>
          <w:szCs w:val="16"/>
          <w:color w:val="auto"/>
        </w:rPr>
        <w:t xml:space="preserve"> </w:t>
      </w:r>
      <w:r>
        <w:rPr>
          <w:rFonts w:ascii="Arial" w:cs="Arial" w:eastAsia="Arial" w:hAnsi="Arial"/>
          <w:sz w:val="16"/>
          <w:szCs w:val="16"/>
          <w:i w:val="1"/>
          <w:iCs w:val="1"/>
          <w:color w:val="auto"/>
        </w:rPr>
        <w:t>seq</w:t>
      </w:r>
      <w:r>
        <w:rPr>
          <w:rFonts w:ascii="Arial" w:cs="Arial" w:eastAsia="Arial" w:hAnsi="Arial"/>
          <w:sz w:val="16"/>
          <w:szCs w:val="16"/>
          <w:color w:val="auto"/>
        </w:rPr>
        <w:t>.). The arbitration proceeding, including the rendering of an award, shall be administered by JAMS pursuant to its Employment Arbitration Rules and</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Procedures, which may be found on the JAMS web site www.jamsadr.com. All expenses associated with the arbitration shall be borne by Company. Such arbitration expenses will not include attorney fees incurred by the respective parties. The award of the arbitrator shall be final and binding upon the parties. Judgment on any arbitration award may be entered in any court having jurisdiction.</w:t>
      </w:r>
    </w:p>
    <w:p>
      <w:pPr>
        <w:spacing w:after="0" w:line="118" w:lineRule="exact"/>
        <w:rPr>
          <w:rFonts w:ascii="Arial" w:cs="Arial" w:eastAsia="Arial" w:hAnsi="Arial"/>
          <w:sz w:val="16"/>
          <w:szCs w:val="16"/>
          <w:color w:val="auto"/>
        </w:rPr>
      </w:pPr>
    </w:p>
    <w:p>
      <w:pPr>
        <w:ind w:right="240" w:firstLine="443"/>
        <w:spacing w:after="0" w:line="268" w:lineRule="auto"/>
        <w:tabs>
          <w:tab w:leader="none" w:pos="677"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Company must initiate any attempt at recovery pursuant to this Section within the earlier to occur of (i) one year after discovery of alleged Misconduct or (ii) the second anniversary of Employee’s termination of employment.</w:t>
      </w:r>
    </w:p>
    <w:p>
      <w:pPr>
        <w:spacing w:after="0" w:line="131" w:lineRule="exact"/>
        <w:rPr>
          <w:rFonts w:ascii="Arial" w:cs="Arial" w:eastAsia="Arial" w:hAnsi="Arial"/>
          <w:sz w:val="18"/>
          <w:szCs w:val="18"/>
          <w:color w:val="auto"/>
        </w:rPr>
      </w:pPr>
    </w:p>
    <w:p>
      <w:pPr>
        <w:ind w:right="100" w:firstLine="443"/>
        <w:spacing w:after="0" w:line="268" w:lineRule="auto"/>
        <w:tabs>
          <w:tab w:leader="none" w:pos="687"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provisions of this Section 8, without implication as to any other section hereof, shall survive the expiration or termination of this Agreement and of Employee’s employment.</w:t>
      </w:r>
    </w:p>
    <w:p>
      <w:pPr>
        <w:spacing w:after="0" w:line="131" w:lineRule="exact"/>
        <w:rPr>
          <w:rFonts w:ascii="Arial" w:cs="Arial" w:eastAsia="Arial" w:hAnsi="Arial"/>
          <w:sz w:val="18"/>
          <w:szCs w:val="18"/>
          <w:color w:val="auto"/>
        </w:rPr>
      </w:pPr>
    </w:p>
    <w:p>
      <w:pPr>
        <w:ind w:left="180" w:hanging="176"/>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Acceleration upon Change in Control.</w:t>
      </w:r>
    </w:p>
    <w:p>
      <w:pPr>
        <w:spacing w:after="0" w:line="90" w:lineRule="exact"/>
        <w:rPr>
          <w:rFonts w:ascii="Arial" w:cs="Arial" w:eastAsia="Arial" w:hAnsi="Arial"/>
          <w:sz w:val="18"/>
          <w:szCs w:val="18"/>
          <w:color w:val="auto"/>
        </w:rPr>
      </w:pPr>
    </w:p>
    <w:p>
      <w:pPr>
        <w:ind w:right="140" w:firstLine="443"/>
        <w:spacing w:after="0" w:line="268" w:lineRule="auto"/>
        <w:tabs>
          <w:tab w:leader="none" w:pos="677" w:val="left"/>
        </w:tabs>
        <w:numPr>
          <w:ilvl w:val="1"/>
          <w:numId w:val="9"/>
        </w:numPr>
        <w:rPr>
          <w:rFonts w:ascii="Arial" w:cs="Arial" w:eastAsia="Arial" w:hAnsi="Arial"/>
          <w:sz w:val="18"/>
          <w:szCs w:val="18"/>
          <w:color w:val="auto"/>
        </w:rPr>
      </w:pPr>
      <w:r>
        <w:rPr>
          <w:rFonts w:ascii="Arial" w:cs="Arial" w:eastAsia="Arial" w:hAnsi="Arial"/>
          <w:sz w:val="18"/>
          <w:szCs w:val="18"/>
          <w:color w:val="auto"/>
        </w:rPr>
        <w:t>Notwithstanding anything to the contrary, if there is a Change in Control of Waste Management, Inc. prior to the end of the Performance Period, Employee will be entitled to immediately receive both (i) and (ii), as follows:</w:t>
      </w:r>
    </w:p>
    <w:p>
      <w:pPr>
        <w:spacing w:after="0" w:line="132" w:lineRule="exact"/>
        <w:rPr>
          <w:sz w:val="20"/>
          <w:szCs w:val="20"/>
          <w:color w:val="auto"/>
        </w:rPr>
      </w:pPr>
    </w:p>
    <w:p>
      <w:pPr>
        <w:ind w:firstLine="443"/>
        <w:spacing w:after="0" w:line="291" w:lineRule="auto"/>
        <w:tabs>
          <w:tab w:leader="none" w:pos="64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Performance Share Units that Employee would have otherwise received based upon achievement of Average Return on Invested Capital after reducing the Performance Period so that it ends on the last day of the quarter preceding the Change in Control (the “Early Measurement Date”) and making adjustments to Target Performance so as to be equal to the performance budgeted for that period and appropriate adjustments to Threshold Performance and Maximum Performance so that they bear the same ratio to the Threshold Performance and Maximum Performance amounts above as the revised Target Performance amount bear to the Target Performance amount above, converted into a cash payment equivalent to the number of Performance Share Units earned under this Section 9 multiplied by the closing price of the Common Stock on the Early Measurement Date; and</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9" w:name="page10"/>
    <w:bookmarkEnd w:id="9"/>
    <w:p>
      <w:pPr>
        <w:ind w:left="460" w:hanging="257"/>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substitute award for the lost opportunity to earn Performance Share Units for the entire length of the original Performance Period:</w:t>
      </w:r>
    </w:p>
    <w:p>
      <w:pPr>
        <w:spacing w:after="0" w:line="113" w:lineRule="exact"/>
        <w:rPr>
          <w:rFonts w:ascii="Arial" w:cs="Arial" w:eastAsia="Arial" w:hAnsi="Arial"/>
          <w:sz w:val="16"/>
          <w:szCs w:val="16"/>
          <w:color w:val="auto"/>
        </w:rPr>
      </w:pPr>
    </w:p>
    <w:p>
      <w:pPr>
        <w:jc w:val="both"/>
        <w:ind w:right="200" w:firstLine="422"/>
        <w:spacing w:after="0" w:line="259" w:lineRule="auto"/>
        <w:tabs>
          <w:tab w:leader="none" w:pos="717" w:val="left"/>
        </w:tabs>
        <w:numPr>
          <w:ilvl w:val="1"/>
          <w:numId w:val="11"/>
        </w:numPr>
        <w:rPr>
          <w:rFonts w:ascii="Arial" w:cs="Arial" w:eastAsia="Arial" w:hAnsi="Arial"/>
          <w:sz w:val="18"/>
          <w:szCs w:val="18"/>
          <w:color w:val="auto"/>
        </w:rPr>
      </w:pPr>
      <w:r>
        <w:rPr>
          <w:rFonts w:ascii="Arial" w:cs="Arial" w:eastAsia="Arial" w:hAnsi="Arial"/>
          <w:sz w:val="18"/>
          <w:szCs w:val="18"/>
          <w:color w:val="auto"/>
        </w:rPr>
        <w:t>if the successor entity was a publicly traded company as of the Early Measurement Date, an award of restricted stock units in the successor entity equal to the number of shares of common stock of the successor entity that could have been purchased on the Early Measurement Date with an amount of cash equal to the quotient obtained from the following equation:</w:t>
      </w:r>
    </w:p>
    <w:p>
      <w:pPr>
        <w:spacing w:after="0" w:line="134"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u w:val="single" w:color="auto"/>
          <w:color w:val="auto"/>
        </w:rPr>
        <w:t>TAP x (1096 - EMD) x CP</w:t>
      </w:r>
    </w:p>
    <w:p>
      <w:pPr>
        <w:spacing w:after="0" w:line="21"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1096</w:t>
      </w:r>
    </w:p>
    <w:p>
      <w:pPr>
        <w:spacing w:after="0" w:line="165" w:lineRule="exact"/>
        <w:rPr>
          <w:sz w:val="20"/>
          <w:szCs w:val="20"/>
          <w:color w:val="auto"/>
        </w:rPr>
      </w:pPr>
    </w:p>
    <w:p>
      <w:pPr>
        <w:ind w:right="520"/>
        <w:spacing w:after="0" w:line="344" w:lineRule="auto"/>
        <w:rPr>
          <w:sz w:val="20"/>
          <w:szCs w:val="20"/>
          <w:color w:val="auto"/>
        </w:rPr>
      </w:pPr>
      <w:r>
        <w:rPr>
          <w:rFonts w:ascii="Arial" w:cs="Arial" w:eastAsia="Arial" w:hAnsi="Arial"/>
          <w:sz w:val="18"/>
          <w:szCs w:val="18"/>
          <w:color w:val="auto"/>
        </w:rPr>
        <w:t>TAP = the number of Performance Share Units that could be earned for achievement of the original Target Performance specified in Section 3(a) EMD = the number of days occurring from the Grant Date to the Early Measurement Date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CP = the closing price of a share of Common Stock of Waste Management, Inc. on the Early Measurement Date</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Any stock units in the successor entity awarded under this Section 9(a)(ii)(A) will vest completely on or before December 31, 2014, provided that Employee remain continuously employed with the successor entity until such date. The foregoing notwithstanding, if there is an involuntary Termination of Employee for reason other than Cause during the Window Period, Employee will become immediately vested in full in the stock units in the successor entity awarded pursuant to this Section 9(a)(ii)(A).</w:t>
      </w:r>
    </w:p>
    <w:p>
      <w:pPr>
        <w:spacing w:after="0" w:line="143" w:lineRule="exact"/>
        <w:rPr>
          <w:sz w:val="20"/>
          <w:szCs w:val="20"/>
          <w:color w:val="auto"/>
        </w:rPr>
      </w:pPr>
    </w:p>
    <w:p>
      <w:pPr>
        <w:ind w:right="440" w:firstLine="851"/>
        <w:spacing w:after="0" w:line="268" w:lineRule="auto"/>
        <w:tabs>
          <w:tab w:leader="none" w:pos="11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successor entity was not a publicly traded company as of the Early Measurement Date, a cash payment equal to the quotient obtained from the following equation:</w:t>
      </w:r>
    </w:p>
    <w:p>
      <w:pPr>
        <w:spacing w:after="0" w:line="126"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u w:val="single" w:color="auto"/>
          <w:color w:val="auto"/>
        </w:rPr>
        <w:t>TAP x (1096 - EMD) x CP</w:t>
      </w:r>
    </w:p>
    <w:p>
      <w:pPr>
        <w:spacing w:after="0" w:line="21"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1096</w:t>
      </w:r>
    </w:p>
    <w:p>
      <w:pPr>
        <w:spacing w:after="0" w:line="165" w:lineRule="exact"/>
        <w:rPr>
          <w:sz w:val="20"/>
          <w:szCs w:val="20"/>
          <w:color w:val="auto"/>
        </w:rPr>
      </w:pPr>
    </w:p>
    <w:p>
      <w:pPr>
        <w:ind w:right="520"/>
        <w:spacing w:after="0" w:line="344" w:lineRule="auto"/>
        <w:rPr>
          <w:sz w:val="20"/>
          <w:szCs w:val="20"/>
          <w:color w:val="auto"/>
        </w:rPr>
      </w:pPr>
      <w:r>
        <w:rPr>
          <w:rFonts w:ascii="Arial" w:cs="Arial" w:eastAsia="Arial" w:hAnsi="Arial"/>
          <w:sz w:val="18"/>
          <w:szCs w:val="18"/>
          <w:color w:val="auto"/>
        </w:rPr>
        <w:t>TAP = the number of Performance Share Units that could be earned for achievement of the original Target Performance specified in Section 3(a) EMD = the number of days occurring from the Grant Date to the Early Measurement Date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CP = the closing price of a share of Common Stock of Waste Management, Inc. on the Early Measurement Date</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Any cash payment calculated under this Section 9(a)(ii)(B) will be paid to Employee on December 31, 2014, provided that Employee remain continuously employed with the successor entity until such date. The foregoing notwithstanding, if there is an involuntary Termination of Employee for reason other than Cause during the Window Period, Employee will be paid by the successor entity the amount determined pursuant to this Section 9(a) (ii)(B).</w:t>
      </w:r>
    </w:p>
    <w:p>
      <w:pPr>
        <w:spacing w:after="0" w:line="13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680"/>
          </w:cols>
          <w:pgMar w:left="940" w:top="280" w:right="279" w:bottom="1440" w:gutter="0" w:footer="0" w:header="0"/>
        </w:sectPr>
      </w:pPr>
    </w:p>
    <w:bookmarkStart w:id="10" w:name="page11"/>
    <w:bookmarkEnd w:id="10"/>
    <w:p>
      <w:pPr>
        <w:ind w:left="452" w:right="600" w:firstLine="443"/>
        <w:spacing w:after="0" w:line="332" w:lineRule="auto"/>
        <w:tabs>
          <w:tab w:leader="none" w:pos="1139" w:val="left"/>
        </w:tabs>
        <w:numPr>
          <w:ilvl w:val="2"/>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 further agrees that, in consideration for the this Award, the equations detailed above in Section 9(a) shall be substituted for the corollary provisions in each prior award of performance share units previously granted to Employee by the Company.</w:t>
      </w:r>
    </w:p>
    <w:p>
      <w:pPr>
        <w:spacing w:after="0" w:line="85" w:lineRule="exact"/>
        <w:rPr>
          <w:rFonts w:ascii="Arial" w:cs="Arial" w:eastAsia="Arial" w:hAnsi="Arial"/>
          <w:sz w:val="16"/>
          <w:szCs w:val="16"/>
          <w:color w:val="auto"/>
        </w:rPr>
      </w:pPr>
    </w:p>
    <w:p>
      <w:pPr>
        <w:ind w:left="-8" w:right="40" w:firstLine="464"/>
        <w:spacing w:after="0" w:line="256" w:lineRule="auto"/>
        <w:tabs>
          <w:tab w:leader="none" w:pos="712"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Forfeiture of Award.</w:t>
      </w:r>
      <w:r>
        <w:rPr>
          <w:rFonts w:ascii="Arial" w:cs="Arial" w:eastAsia="Arial" w:hAnsi="Arial"/>
          <w:sz w:val="18"/>
          <w:szCs w:val="18"/>
          <w:color w:val="auto"/>
        </w:rPr>
        <w:t xml:space="preserve"> Upon Termination of Employment from the Company for any reason other than death, retirement, disability, involuntary termination by the Company without Cause, or Change in Control, Employee shall immediately forfeit the Award, without the payment of any consideration or further consideration by the Company. Upon forfeiture, neither Employee nor any successors, heirs, assigns, or legal representatives of Employee shall thereafter have any further rights or interest in the unvested portion of the Award.</w:t>
      </w:r>
    </w:p>
    <w:p>
      <w:pPr>
        <w:spacing w:after="0" w:line="143" w:lineRule="exact"/>
        <w:rPr>
          <w:rFonts w:ascii="Arial" w:cs="Arial" w:eastAsia="Arial" w:hAnsi="Arial"/>
          <w:sz w:val="18"/>
          <w:szCs w:val="18"/>
          <w:color w:val="auto"/>
        </w:rPr>
      </w:pPr>
    </w:p>
    <w:p>
      <w:pPr>
        <w:ind w:left="712" w:hanging="256"/>
        <w:spacing w:after="0"/>
        <w:tabs>
          <w:tab w:leader="none" w:pos="712"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No Dividend Equivalents will be paid on the Performance Share Units until such time as: (i) the Performance Period has ended;</w:t>
      </w:r>
    </w:p>
    <w:p>
      <w:pPr>
        <w:spacing w:after="0" w:line="38" w:lineRule="exact"/>
        <w:rPr>
          <w:rFonts w:ascii="Arial" w:cs="Arial" w:eastAsia="Arial" w:hAnsi="Arial"/>
          <w:sz w:val="16"/>
          <w:szCs w:val="16"/>
          <w:color w:val="auto"/>
        </w:rPr>
      </w:pPr>
    </w:p>
    <w:p>
      <w:pPr>
        <w:ind w:left="-8" w:firstLine="8"/>
        <w:spacing w:after="0" w:line="287" w:lineRule="auto"/>
        <w:tabs>
          <w:tab w:leader="none" w:pos="25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Employee has vested in the Award, and; (iii) the number of Performance Share Units earned under this Award has been certified by the Committee based on the actual performance of the Company during the Performance Period. Reasonably promptly after all such events have occurred, the Company will pay Employee a lump-sum cash amount in payment of Dividend Equivalents based on the number of Performance Share Units earned under the Award multiplied by the per share quarterly dividend payments made to shareholders of Company’s Common Stock during the Performance Period (without any interest or compounding). Notwithstanding the foregoing, any accumulated and unpaid Dividend Equivalents attributable to Performance Share Units that are cancelled or forfeited will not be paid and are immediately forfeited upon cancellation of the Performance Share Units. Following the end of the Performance Period, Dividend Equivalents will also be paid on vested Performance Share Units for which a valid deferral election has been made pursuant to Section 12. With respect to validly deferred and vested Performance Share Units, the Company will pay Dividend Equivalents in cash at such times as dividends are paid on the Company’s outstanding shares of Common Stock.</w:t>
      </w:r>
    </w:p>
    <w:p>
      <w:pPr>
        <w:spacing w:after="0" w:line="120" w:lineRule="exact"/>
        <w:rPr>
          <w:rFonts w:ascii="Arial" w:cs="Arial" w:eastAsia="Arial" w:hAnsi="Arial"/>
          <w:sz w:val="16"/>
          <w:szCs w:val="16"/>
          <w:color w:val="auto"/>
        </w:rPr>
      </w:pPr>
    </w:p>
    <w:p>
      <w:pPr>
        <w:ind w:left="712" w:hanging="256"/>
        <w:spacing w:after="0"/>
        <w:tabs>
          <w:tab w:leader="none" w:pos="712"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Elective Deferrals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2" w:right="220" w:firstLine="443"/>
        <w:spacing w:after="0" w:line="294" w:lineRule="auto"/>
        <w:tabs>
          <w:tab w:leader="none" w:pos="1129" w:val="left"/>
        </w:tabs>
        <w:numPr>
          <w:ilvl w:val="2"/>
          <w:numId w:val="15"/>
        </w:numPr>
        <w:rPr>
          <w:rFonts w:ascii="Arial" w:cs="Arial" w:eastAsia="Arial" w:hAnsi="Arial"/>
          <w:sz w:val="16"/>
          <w:szCs w:val="16"/>
          <w:color w:val="auto"/>
        </w:rPr>
      </w:pPr>
      <w:r>
        <w:rPr>
          <w:rFonts w:ascii="Arial" w:cs="Arial" w:eastAsia="Arial" w:hAnsi="Arial"/>
          <w:sz w:val="16"/>
          <w:szCs w:val="16"/>
          <w:color w:val="auto"/>
        </w:rPr>
        <w:t>The Committee may establish procedures pursuant to which Employee may elect to defer, until a time or times later than the vesting of a Performance Share Unit, receipt of all or a portion of the shares of Common Stock deliverable in respect of a Performance Share Unit, all on such terms and conditions as the Committee (or its designee) shall determine in its sole discretion. If any such deferrals are permitted for Employee, then notwithstanding any provision of this Agreement or the Plan to the contrary, an Employee who elects such deferral shall not have any rights as a stockholder with respect to any such deferred shares of Common Stock unless and until the date the</w:t>
      </w:r>
    </w:p>
    <w:p>
      <w:pPr>
        <w:spacing w:after="0" w:line="102"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52"/>
          </w:cols>
          <w:pgMar w:left="248" w:top="280" w:right="299" w:bottom="1440" w:gutter="0" w:footer="0" w:header="0"/>
        </w:sectPr>
      </w:pPr>
    </w:p>
    <w:bookmarkStart w:id="11" w:name="page12"/>
    <w:bookmarkEnd w:id="11"/>
    <w:p>
      <w:pPr>
        <w:ind w:lef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deferral expires and certificates representing such shares are required to be delivered to Employee. The foregoing notwithstanding, no deferrals of Dividend Equivalents related to any Performance Share Units under this Award will be permitted. Moreover, the Committee further retains the authority and discretion to modify and/or terminate existing deferral elections, procedures and distribution options.</w:t>
      </w:r>
    </w:p>
    <w:p>
      <w:pPr>
        <w:spacing w:after="0" w:line="140" w:lineRule="exact"/>
        <w:rPr>
          <w:sz w:val="20"/>
          <w:szCs w:val="20"/>
          <w:color w:val="auto"/>
        </w:rPr>
      </w:pPr>
    </w:p>
    <w:p>
      <w:pPr>
        <w:ind w:left="440" w:right="40" w:firstLine="443"/>
        <w:spacing w:after="0" w:line="291" w:lineRule="auto"/>
        <w:tabs>
          <w:tab w:leader="none" w:pos="1127" w:val="left"/>
        </w:tabs>
        <w:numPr>
          <w:ilvl w:val="1"/>
          <w:numId w:val="16"/>
        </w:numPr>
        <w:rPr>
          <w:rFonts w:ascii="Arial" w:cs="Arial" w:eastAsia="Arial" w:hAnsi="Arial"/>
          <w:sz w:val="16"/>
          <w:szCs w:val="16"/>
          <w:color w:val="auto"/>
        </w:rPr>
      </w:pPr>
      <w:r>
        <w:rPr>
          <w:rFonts w:ascii="Arial" w:cs="Arial" w:eastAsia="Arial" w:hAnsi="Arial"/>
          <w:sz w:val="16"/>
          <w:szCs w:val="16"/>
          <w:color w:val="auto"/>
        </w:rPr>
        <w:t>Notwithstanding any provision to the contrary in this Agreement, if deferral of Performance Share Units is permitted, each provision of this Agreement shall be interpreted to permit the deferral of compensation only as allowed in compliance with the requirements of Section 409A of the Internal Revenue Code and any provision that would conflict with such requirements shall not be valid or enforceable. Employee acknowledges, without limitation, and consents that application of Section 409A of the Internal Revenue Code to this Agreement may require additional delay of payments otherwise payable under this Agreement. Employee and the Company further hereby agree to execute such further instruments and take such further action as reasonably may be necessary to comply with Section 409A of the Internal Revenue Code.</w:t>
      </w:r>
    </w:p>
    <w:p>
      <w:pPr>
        <w:spacing w:after="0" w:line="120" w:lineRule="exact"/>
        <w:rPr>
          <w:rFonts w:ascii="Arial" w:cs="Arial" w:eastAsia="Arial" w:hAnsi="Arial"/>
          <w:sz w:val="16"/>
          <w:szCs w:val="16"/>
          <w:color w:val="auto"/>
        </w:rPr>
      </w:pPr>
    </w:p>
    <w:p>
      <w:pPr>
        <w:ind w:left="700" w:hanging="25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p>
    <w:p>
      <w:pPr>
        <w:spacing w:after="0" w:line="90" w:lineRule="exact"/>
        <w:rPr>
          <w:rFonts w:ascii="Arial" w:cs="Arial" w:eastAsia="Arial" w:hAnsi="Arial"/>
          <w:sz w:val="18"/>
          <w:szCs w:val="18"/>
          <w:color w:val="auto"/>
        </w:rPr>
      </w:pPr>
    </w:p>
    <w:p>
      <w:pPr>
        <w:ind w:left="440" w:right="400" w:firstLine="443"/>
        <w:spacing w:after="0" w:line="306" w:lineRule="auto"/>
        <w:tabs>
          <w:tab w:leader="none" w:pos="1117" w:val="left"/>
        </w:tabs>
        <w:numPr>
          <w:ilvl w:val="1"/>
          <w:numId w:val="17"/>
        </w:numPr>
        <w:rPr>
          <w:rFonts w:ascii="Arial" w:cs="Arial" w:eastAsia="Arial" w:hAnsi="Arial"/>
          <w:sz w:val="16"/>
          <w:szCs w:val="16"/>
          <w:color w:val="auto"/>
        </w:rPr>
      </w:pPr>
      <w:r>
        <w:rPr>
          <w:rFonts w:ascii="Arial" w:cs="Arial" w:eastAsia="Arial" w:hAnsi="Arial"/>
          <w:sz w:val="16"/>
          <w:szCs w:val="16"/>
          <w:color w:val="auto"/>
        </w:rPr>
        <w:t>Absent prior written consent of the Committee, the Award granted hereunder to Employee may not be sold, assigned, transferred, pledged or otherwise encumbered, whether voluntarily or involuntarily, by operation of law or otherwise; provided, however, that the transfer of any shares of Common Stock with respect to the Performance Share Units earned hereunder shall not be restricted by virtue of this Agreement.</w:t>
      </w:r>
    </w:p>
    <w:p>
      <w:pPr>
        <w:spacing w:after="0" w:line="106" w:lineRule="exact"/>
        <w:rPr>
          <w:rFonts w:ascii="Arial" w:cs="Arial" w:eastAsia="Arial" w:hAnsi="Arial"/>
          <w:sz w:val="16"/>
          <w:szCs w:val="16"/>
          <w:color w:val="auto"/>
        </w:rPr>
      </w:pPr>
    </w:p>
    <w:p>
      <w:pPr>
        <w:ind w:left="440" w:firstLine="443"/>
        <w:spacing w:after="0" w:line="290" w:lineRule="auto"/>
        <w:tabs>
          <w:tab w:leader="none" w:pos="1127" w:val="left"/>
        </w:tabs>
        <w:numPr>
          <w:ilvl w:val="1"/>
          <w:numId w:val="17"/>
        </w:numPr>
        <w:rPr>
          <w:rFonts w:ascii="Arial" w:cs="Arial" w:eastAsia="Arial" w:hAnsi="Arial"/>
          <w:sz w:val="16"/>
          <w:szCs w:val="16"/>
          <w:color w:val="auto"/>
        </w:rPr>
      </w:pPr>
      <w:r>
        <w:rPr>
          <w:rFonts w:ascii="Arial" w:cs="Arial" w:eastAsia="Arial" w:hAnsi="Arial"/>
          <w:sz w:val="16"/>
          <w:szCs w:val="16"/>
          <w:color w:val="auto"/>
        </w:rPr>
        <w:t>Consistent with the foregoing, except as contemplated by Section 14,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hereunder shall attempt to transfer, anticipate, alienate, assign, sell, pledge, encumber or charge any right or benefit hereunder, other than as contemplated by Section 14, or if any creditor shall attempt to subject the same to a writ of garnishment, attachment, execution sequestration, or any other form of process or involuntary lien or seizure, then such attempt shall have no effect and shall be void.</w:t>
      </w:r>
    </w:p>
    <w:p>
      <w:pPr>
        <w:spacing w:after="0" w:line="118" w:lineRule="exact"/>
        <w:rPr>
          <w:rFonts w:ascii="Arial" w:cs="Arial" w:eastAsia="Arial" w:hAnsi="Arial"/>
          <w:sz w:val="16"/>
          <w:szCs w:val="16"/>
          <w:color w:val="auto"/>
        </w:rPr>
      </w:pPr>
    </w:p>
    <w:p>
      <w:pPr>
        <w:ind w:left="-20" w:right="260" w:firstLine="464"/>
        <w:spacing w:after="0" w:line="306" w:lineRule="auto"/>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Assignment and Transfers.</w:t>
      </w:r>
      <w:r>
        <w:rPr>
          <w:rFonts w:ascii="Arial" w:cs="Arial" w:eastAsia="Arial" w:hAnsi="Arial"/>
          <w:sz w:val="16"/>
          <w:szCs w:val="16"/>
          <w:color w:val="auto"/>
        </w:rPr>
        <w:t xml:space="preserve"> Prior to the end of the Performance Period and the delivery of the Common Stock with respect to any Performance Share Units earned, the Award is not transferable (either voluntarily or involuntarily), other than pursuant to a domestic relations order. Employee may designate a beneficiary or beneficiaries (the “Beneficiary”) to whom the Performance Share Units will pass upon Employee’s death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80" w:right="239" w:bottom="1440" w:gutter="0" w:footer="0" w:header="0"/>
        </w:sectPr>
      </w:pPr>
    </w:p>
    <w:bookmarkStart w:id="12" w:name="page13"/>
    <w:bookmarkEnd w:id="12"/>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may change such designation from time to time by filing a written designation of beneficiary on such form as may be prescribed by the Company, provided that no such designation shall be effective until filed with the Company. Following Employee’s death, the Performance Share Units will pass to the designated Beneficiary and such person will be deemed Employee for purposes of any applicable provisions of this Agreement. If no such designation is made or if the designated Beneficiary does not survive Employee’s death, the Performance Share Units shall pass by will or, if none, then by the laws of descent and distribution.</w:t>
      </w:r>
    </w:p>
    <w:p>
      <w:pPr>
        <w:spacing w:after="0" w:line="143" w:lineRule="exact"/>
        <w:rPr>
          <w:sz w:val="20"/>
          <w:szCs w:val="20"/>
          <w:color w:val="auto"/>
        </w:rPr>
      </w:pPr>
    </w:p>
    <w:p>
      <w:pPr>
        <w:jc w:val="both"/>
        <w:ind w:right="160" w:firstLine="464"/>
        <w:spacing w:after="0" w:line="294" w:lineRule="auto"/>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Withholding Tax.</w:t>
      </w:r>
      <w:r>
        <w:rPr>
          <w:rFonts w:ascii="Arial" w:cs="Arial" w:eastAsia="Arial" w:hAnsi="Arial"/>
          <w:sz w:val="16"/>
          <w:szCs w:val="16"/>
          <w:color w:val="auto"/>
        </w:rPr>
        <w:t xml:space="preserve"> To the extent that the receipt of this Award, vesting, or the delivery of the Common Stock with respect to any Performance Share Units earned results in a taxable event to Employee for federal or state tax purposes, Employee shall deliver to the Company at the time of such receipt, such amount of money or shares of Common Stock earned or owned by Employee, at Employee’s election, as the Company may require to meet its obligation under applicable tax laws or regulations, and, if Employee fails to do so, the Company is authorized to withhold from any cash or other form of remuneration then or thereafter payable to Employee any tax required to be withheld by reasons of such resulting taxation.</w:t>
      </w:r>
    </w:p>
    <w:p>
      <w:pPr>
        <w:spacing w:after="0" w:line="115" w:lineRule="exact"/>
        <w:rPr>
          <w:rFonts w:ascii="Arial" w:cs="Arial" w:eastAsia="Arial" w:hAnsi="Arial"/>
          <w:sz w:val="16"/>
          <w:szCs w:val="16"/>
          <w:color w:val="auto"/>
        </w:rPr>
      </w:pPr>
    </w:p>
    <w:p>
      <w:pPr>
        <w:ind w:right="80" w:firstLine="464"/>
        <w:spacing w:after="0" w:line="259"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Changes in Capital Structure.</w:t>
      </w:r>
      <w:r>
        <w:rPr>
          <w:rFonts w:ascii="Arial" w:cs="Arial" w:eastAsia="Arial" w:hAnsi="Arial"/>
          <w:sz w:val="18"/>
          <w:szCs w:val="18"/>
          <w:color w:val="auto"/>
        </w:rPr>
        <w:t xml:space="preserve"> If the outstanding shares of Common Stock or other securities of Waste Management, Inc., or both, shall at any time be changed or exchanged by declaration of a stock dividend, stock split, combination of shares, or recapitalization, the number of Performance Share Units shall be appropriately and equitably adjusted so as to maintain the proportionate number of shares.</w:t>
      </w:r>
    </w:p>
    <w:p>
      <w:pPr>
        <w:spacing w:after="0" w:line="140" w:lineRule="exact"/>
        <w:rPr>
          <w:rFonts w:ascii="Arial" w:cs="Arial" w:eastAsia="Arial" w:hAnsi="Arial"/>
          <w:sz w:val="18"/>
          <w:szCs w:val="18"/>
          <w:color w:val="auto"/>
        </w:rPr>
      </w:pPr>
    </w:p>
    <w:p>
      <w:pPr>
        <w:ind w:firstLine="464"/>
        <w:spacing w:after="0" w:line="255"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Compliance with Securities Laws.</w:t>
      </w:r>
      <w:r>
        <w:rPr>
          <w:rFonts w:ascii="Arial" w:cs="Arial" w:eastAsia="Arial" w:hAnsi="Arial"/>
          <w:sz w:val="18"/>
          <w:szCs w:val="18"/>
          <w:color w:val="auto"/>
        </w:rPr>
        <w:t xml:space="preserve"> The Company will not be required to deliver any shares of Common Stock pursuant to this Agreement, if, in the opinion of counsel for the Company, such issuance would violate the Securities Act of 1933 or any other applicable federal or state securities laws or regulations. Prior to the issuance of any shares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42" w:lineRule="exact"/>
        <w:rPr>
          <w:rFonts w:ascii="Arial" w:cs="Arial" w:eastAsia="Arial" w:hAnsi="Arial"/>
          <w:sz w:val="18"/>
          <w:szCs w:val="18"/>
          <w:color w:val="auto"/>
        </w:rPr>
      </w:pPr>
    </w:p>
    <w:p>
      <w:pPr>
        <w:jc w:val="both"/>
        <w:ind w:right="100" w:firstLine="464"/>
        <w:spacing w:after="0" w:line="259"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Employee to Have no Rights as a Stockholder.</w:t>
      </w:r>
      <w:r>
        <w:rPr>
          <w:rFonts w:ascii="Arial" w:cs="Arial" w:eastAsia="Arial" w:hAnsi="Arial"/>
          <w:sz w:val="18"/>
          <w:szCs w:val="18"/>
          <w:color w:val="auto"/>
        </w:rPr>
        <w:t xml:space="preserve"> Employee shall have no rights as a stockholder with respect to any shares of Common Stock subject to this Award prior to the date on which Employee is recorded as the holder of such shares of Common Stock on the records of the Company, including no right to dividends declared on the Common Stock underlying the Award.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13" w:name="page14"/>
    <w:bookmarkEnd w:id="13"/>
    <w:p>
      <w:pPr>
        <w:ind w:left="700" w:hanging="2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Successors and Assigns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40" w:firstLine="443"/>
        <w:spacing w:after="0" w:line="259" w:lineRule="auto"/>
        <w:tabs>
          <w:tab w:leader="none" w:pos="1117"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This Agreement shall bind and inure to the benefit of and be enforceable by Employee, the Company and their respective permitted successors or assigns (including personal representatives, heirs and legatees), except that Employee may not assign any rights or obligations under this Agreement except to the extent, and in the manner, expressly permitted herein.</w:t>
      </w:r>
    </w:p>
    <w:p>
      <w:pPr>
        <w:spacing w:after="0" w:line="140" w:lineRule="exact"/>
        <w:rPr>
          <w:rFonts w:ascii="Arial" w:cs="Arial" w:eastAsia="Arial" w:hAnsi="Arial"/>
          <w:sz w:val="18"/>
          <w:szCs w:val="18"/>
          <w:color w:val="auto"/>
        </w:rPr>
      </w:pPr>
    </w:p>
    <w:p>
      <w:pPr>
        <w:ind w:left="440" w:firstLine="443"/>
        <w:spacing w:after="0" w:line="259" w:lineRule="auto"/>
        <w:tabs>
          <w:tab w:leader="none" w:pos="1127"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w:t>
      </w:r>
    </w:p>
    <w:p>
      <w:pPr>
        <w:spacing w:after="0" w:line="140" w:lineRule="exact"/>
        <w:rPr>
          <w:rFonts w:ascii="Arial" w:cs="Arial" w:eastAsia="Arial" w:hAnsi="Arial"/>
          <w:sz w:val="18"/>
          <w:szCs w:val="18"/>
          <w:color w:val="auto"/>
        </w:rPr>
      </w:pPr>
    </w:p>
    <w:p>
      <w:pPr>
        <w:ind w:left="700" w:hanging="2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Limitation of Rights</w:t>
      </w:r>
      <w:r>
        <w:rPr>
          <w:rFonts w:ascii="Arial" w:cs="Arial" w:eastAsia="Arial" w:hAnsi="Arial"/>
          <w:sz w:val="18"/>
          <w:szCs w:val="18"/>
          <w:color w:val="auto"/>
        </w:rPr>
        <w:t>. Nothing in this Agreement or the Plan may be construed to:</w:t>
      </w:r>
    </w:p>
    <w:p>
      <w:pPr>
        <w:spacing w:after="0" w:line="171" w:lineRule="exact"/>
        <w:rPr>
          <w:rFonts w:ascii="Arial" w:cs="Arial" w:eastAsia="Arial" w:hAnsi="Arial"/>
          <w:sz w:val="18"/>
          <w:szCs w:val="18"/>
          <w:color w:val="auto"/>
        </w:rPr>
      </w:pPr>
    </w:p>
    <w:p>
      <w:pPr>
        <w:ind w:left="440" w:right="420" w:firstLine="443"/>
        <w:spacing w:after="0" w:line="268" w:lineRule="auto"/>
        <w:tabs>
          <w:tab w:leader="none" w:pos="1117" w:val="left"/>
        </w:tabs>
        <w:numPr>
          <w:ilvl w:val="1"/>
          <w:numId w:val="19"/>
        </w:numPr>
        <w:rPr>
          <w:rFonts w:ascii="Arial" w:cs="Arial" w:eastAsia="Arial" w:hAnsi="Arial"/>
          <w:sz w:val="18"/>
          <w:szCs w:val="18"/>
          <w:color w:val="auto"/>
        </w:rPr>
      </w:pPr>
      <w:r>
        <w:rPr>
          <w:rFonts w:ascii="Arial" w:cs="Arial" w:eastAsia="Arial" w:hAnsi="Arial"/>
          <w:sz w:val="18"/>
          <w:szCs w:val="18"/>
          <w:color w:val="auto"/>
        </w:rPr>
        <w:t>give Employee any right to be awarded any further Performance Share Units (or other form of stock incentive awards) other than in the sole discretion of the Committee;</w:t>
      </w:r>
    </w:p>
    <w:p>
      <w:pPr>
        <w:spacing w:after="0" w:line="131" w:lineRule="exact"/>
        <w:rPr>
          <w:rFonts w:ascii="Arial" w:cs="Arial" w:eastAsia="Arial" w:hAnsi="Arial"/>
          <w:sz w:val="18"/>
          <w:szCs w:val="18"/>
          <w:color w:val="auto"/>
        </w:rPr>
      </w:pPr>
    </w:p>
    <w:p>
      <w:pPr>
        <w:ind w:left="440" w:right="660" w:firstLine="443"/>
        <w:spacing w:after="0" w:line="268" w:lineRule="auto"/>
        <w:tabs>
          <w:tab w:leader="none" w:pos="1127" w:val="left"/>
        </w:tabs>
        <w:numPr>
          <w:ilvl w:val="1"/>
          <w:numId w:val="19"/>
        </w:numPr>
        <w:rPr>
          <w:rFonts w:ascii="Arial" w:cs="Arial" w:eastAsia="Arial" w:hAnsi="Arial"/>
          <w:sz w:val="18"/>
          <w:szCs w:val="18"/>
          <w:color w:val="auto"/>
        </w:rPr>
      </w:pPr>
      <w:r>
        <w:rPr>
          <w:rFonts w:ascii="Arial" w:cs="Arial" w:eastAsia="Arial" w:hAnsi="Arial"/>
          <w:sz w:val="18"/>
          <w:szCs w:val="18"/>
          <w:color w:val="auto"/>
        </w:rPr>
        <w:t>give Employee or any other person any interest in any fund or in any specified asset or assets of the Company (other than the Award and applicable Common Stock following the vesting of such Award); or</w:t>
      </w:r>
    </w:p>
    <w:p>
      <w:pPr>
        <w:spacing w:after="0" w:line="131" w:lineRule="exact"/>
        <w:rPr>
          <w:rFonts w:ascii="Arial" w:cs="Arial" w:eastAsia="Arial" w:hAnsi="Arial"/>
          <w:sz w:val="18"/>
          <w:szCs w:val="18"/>
          <w:color w:val="auto"/>
        </w:rPr>
      </w:pPr>
    </w:p>
    <w:p>
      <w:pPr>
        <w:ind w:left="1120" w:hanging="237"/>
        <w:spacing w:after="0"/>
        <w:tabs>
          <w:tab w:leader="none" w:pos="11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confer upon Employee the right to continue in the employment or service of the Company.</w:t>
      </w:r>
    </w:p>
    <w:p>
      <w:pPr>
        <w:spacing w:after="0" w:line="171" w:lineRule="exact"/>
        <w:rPr>
          <w:rFonts w:ascii="Arial" w:cs="Arial" w:eastAsia="Arial" w:hAnsi="Arial"/>
          <w:sz w:val="18"/>
          <w:szCs w:val="18"/>
          <w:color w:val="auto"/>
        </w:rPr>
      </w:pPr>
    </w:p>
    <w:p>
      <w:pPr>
        <w:ind w:left="-20" w:right="260" w:firstLine="464"/>
        <w:spacing w:after="0" w:line="268"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Texas, without reference to principles of conflict of laws.</w:t>
      </w:r>
    </w:p>
    <w:p>
      <w:pPr>
        <w:spacing w:after="0" w:line="131" w:lineRule="exact"/>
        <w:rPr>
          <w:rFonts w:ascii="Arial" w:cs="Arial" w:eastAsia="Arial" w:hAnsi="Arial"/>
          <w:sz w:val="18"/>
          <w:szCs w:val="18"/>
          <w:color w:val="auto"/>
        </w:rPr>
      </w:pPr>
    </w:p>
    <w:p>
      <w:pPr>
        <w:ind w:left="-20" w:right="120" w:firstLine="464"/>
        <w:spacing w:after="0" w:line="268"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w:t>
      </w:r>
    </w:p>
    <w:p>
      <w:pPr>
        <w:spacing w:after="0" w:line="131" w:lineRule="exact"/>
        <w:rPr>
          <w:rFonts w:ascii="Arial" w:cs="Arial" w:eastAsia="Arial" w:hAnsi="Arial"/>
          <w:sz w:val="18"/>
          <w:szCs w:val="18"/>
          <w:color w:val="auto"/>
        </w:rPr>
      </w:pPr>
    </w:p>
    <w:p>
      <w:pPr>
        <w:jc w:val="both"/>
        <w:ind w:left="-20" w:right="140" w:firstLine="464"/>
        <w:spacing w:after="0" w:line="259"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Employee or the Company to insist upon strict compliance with any provision of this Agreement or the failure to assert any right Employee or the Company may have under this Agreement shall not be deemed to be a waiver of such provision or right or any other provision or right of this Agreement.</w:t>
      </w:r>
    </w:p>
    <w:p>
      <w:pPr>
        <w:spacing w:after="0" w:line="140" w:lineRule="exact"/>
        <w:rPr>
          <w:rFonts w:ascii="Arial" w:cs="Arial" w:eastAsia="Arial" w:hAnsi="Arial"/>
          <w:sz w:val="18"/>
          <w:szCs w:val="18"/>
          <w:color w:val="auto"/>
        </w:rPr>
      </w:pPr>
    </w:p>
    <w:p>
      <w:pPr>
        <w:ind w:left="-20" w:right="20" w:firstLine="464"/>
        <w:spacing w:after="0" w:line="259"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in this Agreement and not otherwise defined herein shall have the meanings set forth in the Plan. Certain other terms used herein have definitions given to them in the first place in which they are used. In addition, the following terms shall have the meanings set forth in this Section 24.</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80" w:right="259" w:bottom="1440" w:gutter="0" w:footer="0" w:header="0"/>
        </w:sectPr>
      </w:pPr>
    </w:p>
    <w:bookmarkStart w:id="14" w:name="page15"/>
    <w:bookmarkEnd w:id="14"/>
    <w:p>
      <w:pPr>
        <w:ind w:right="60" w:firstLine="443"/>
        <w:spacing w:after="0" w:line="332" w:lineRule="auto"/>
        <w:tabs>
          <w:tab w:leader="none" w:pos="677"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“Average Return on Invested Capital” is defined to mean (i) average NOPAT for the Performance Period, divided by (ii) average Invested Capital for the Performance Period. For purposes of this Agreement, the Average Return on Invested Capital for the Performance Period will be the product of:</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Numerator: (2012 NOPAT + 2013 NOPAT +2014 NOPAT) / 3</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divided by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Denominator: (2012 Invested Capital + 2013 Invested Capital + 2014 Invested Capital) / 3</w:t>
      </w:r>
    </w:p>
    <w:p>
      <w:pPr>
        <w:spacing w:after="0" w:line="171" w:lineRule="exact"/>
        <w:rPr>
          <w:sz w:val="20"/>
          <w:szCs w:val="20"/>
          <w:color w:val="auto"/>
        </w:rPr>
      </w:pPr>
    </w:p>
    <w:p>
      <w:pPr>
        <w:ind w:left="700" w:hanging="257"/>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“Board” means the Board of Directors of Waste Management, Inc.</w:t>
      </w:r>
    </w:p>
    <w:p>
      <w:pPr>
        <w:spacing w:after="0" w:line="171" w:lineRule="exact"/>
        <w:rPr>
          <w:rFonts w:ascii="Arial" w:cs="Arial" w:eastAsia="Arial" w:hAnsi="Arial"/>
          <w:sz w:val="18"/>
          <w:szCs w:val="18"/>
          <w:color w:val="auto"/>
        </w:rPr>
      </w:pPr>
    </w:p>
    <w:p>
      <w:pPr>
        <w:ind w:right="200" w:firstLine="443"/>
        <w:spacing w:after="0" w:line="268" w:lineRule="auto"/>
        <w:tabs>
          <w:tab w:leader="none" w:pos="677"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means cash and cash equivalents as reported by the Company in publicly filed financial statements during the Performance Period, plus Short-Term Investments Available for Use.</w:t>
      </w:r>
    </w:p>
    <w:p>
      <w:pPr>
        <w:spacing w:after="0" w:line="131" w:lineRule="exact"/>
        <w:rPr>
          <w:rFonts w:ascii="Arial" w:cs="Arial" w:eastAsia="Arial" w:hAnsi="Arial"/>
          <w:sz w:val="18"/>
          <w:szCs w:val="18"/>
          <w:color w:val="auto"/>
        </w:rPr>
      </w:pPr>
    </w:p>
    <w:p>
      <w:pPr>
        <w:ind w:firstLine="443"/>
        <w:spacing w:after="0" w:line="289" w:lineRule="auto"/>
        <w:tabs>
          <w:tab w:leader="none" w:pos="687"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“Cause” means any of the following: (i) willful or deliberate and continual refusal to materially perform Employee’s employment duties reasonably requested by the Company after receipt of written notice to Employee of such failure to perform, specifying such failure (other than as a result of Employee’s sickness, illness, injury, death or disability) and Employee fails to cure such nonperformance within ten (10) days of receipt of said written notice; (ii) breach of any statutory or common law duty of loyalty to the Company; (iii) Employee has been convicted of, or pleaded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to, any felony; (iv) Employee willfully or intentionally caused material injury to the Company, its property, or its assets; (v) Employee disclosed to unauthorized person(s) proprietary or confidential information of the Company that causes a material injury to the Company; (vi) any material violation or a repeated and willful violation of the Company’s policies or procedures, including but not limited to, the Company’s Code of Business Conduct and Ethics (or any successor policy) then in effect.</w:t>
      </w:r>
    </w:p>
    <w:p>
      <w:pPr>
        <w:spacing w:after="0" w:line="118" w:lineRule="exact"/>
        <w:rPr>
          <w:rFonts w:ascii="Arial" w:cs="Arial" w:eastAsia="Arial" w:hAnsi="Arial"/>
          <w:sz w:val="16"/>
          <w:szCs w:val="16"/>
          <w:color w:val="auto"/>
        </w:rPr>
      </w:pPr>
    </w:p>
    <w:p>
      <w:pPr>
        <w:ind w:left="680" w:hanging="237"/>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in Control” means the first to occur on or after the Grant Date of any of the following events:</w:t>
      </w:r>
    </w:p>
    <w:p>
      <w:pPr>
        <w:spacing w:after="0" w:line="171" w:lineRule="exact"/>
        <w:rPr>
          <w:rFonts w:ascii="Arial" w:cs="Arial" w:eastAsia="Arial" w:hAnsi="Arial"/>
          <w:sz w:val="18"/>
          <w:szCs w:val="18"/>
          <w:color w:val="auto"/>
        </w:rPr>
      </w:pPr>
    </w:p>
    <w:p>
      <w:pPr>
        <w:ind w:left="460" w:right="100" w:firstLine="421"/>
        <w:spacing w:after="0" w:line="306" w:lineRule="auto"/>
        <w:tabs>
          <w:tab w:leader="none" w:pos="1089"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Person, or Persons acting as a group (within the meaning of Section 409A), acquires, directly or indirectly, including by purchase, merger, consolidation or otherwise, ownership of securities of the Company that, together with securities held by such Person or Persons, represents fifty percent (50%) or more of the total voting power or total fair market value of the Company’s then outstanding securities;</w:t>
      </w:r>
    </w:p>
    <w:p>
      <w:pPr>
        <w:spacing w:after="0" w:line="106" w:lineRule="exact"/>
        <w:rPr>
          <w:rFonts w:ascii="Arial" w:cs="Arial" w:eastAsia="Arial" w:hAnsi="Arial"/>
          <w:sz w:val="16"/>
          <w:szCs w:val="16"/>
          <w:color w:val="auto"/>
        </w:rPr>
      </w:pPr>
    </w:p>
    <w:p>
      <w:pPr>
        <w:ind w:left="460" w:right="180" w:firstLine="421"/>
        <w:spacing w:after="0" w:line="256" w:lineRule="auto"/>
        <w:tabs>
          <w:tab w:leader="none" w:pos="113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Person, or Persons acting as a group (within the meaning of Section 409A), acquires (or has acquired during the 12-month period ending on the date of the most recent acquisition by such Person or Persons), directly or indirectly, including by purchase, merger, consolidation or otherwise, ownership of securities of the Company that represents thirty percent (30%) or more of the total voting power of the Company’s then outstanding voting securities;</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15" w:name="page16"/>
    <w:bookmarkEnd w:id="15"/>
    <w:p>
      <w:pPr>
        <w:ind w:left="-280" w:right="80" w:firstLine="421"/>
        <w:spacing w:after="0" w:line="254" w:lineRule="auto"/>
        <w:tabs>
          <w:tab w:leader="none" w:pos="447"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individuals cease for any reason to constitute a majority of the number of directors then serving: individuals who, at the Grant Date, constitute the Board and any new director (other than a director whose initial assumption of office is in connection with an actual or threatened election contest, including but not limited to a consent solicitation, relating or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 or</w:t>
      </w:r>
    </w:p>
    <w:p>
      <w:pPr>
        <w:spacing w:after="0" w:line="144" w:lineRule="exact"/>
        <w:rPr>
          <w:rFonts w:ascii="Arial" w:cs="Arial" w:eastAsia="Arial" w:hAnsi="Arial"/>
          <w:sz w:val="18"/>
          <w:szCs w:val="18"/>
          <w:color w:val="auto"/>
        </w:rPr>
      </w:pPr>
    </w:p>
    <w:p>
      <w:pPr>
        <w:ind w:left="-280" w:right="80" w:firstLine="421"/>
        <w:spacing w:after="0" w:line="312" w:lineRule="auto"/>
        <w:tabs>
          <w:tab w:leader="none" w:pos="437"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stockholders of the Company approve a plan of complete liquidation of the Company and such liquidation is actually commenced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 For purposes hereof, a “sale or other disposition by the Company of all or substantially all of the Company’s assets” will not be deemed to have occurred if the sale involves assets having a total gross fair market value of less than forty percent (40%) of the total gross fair market value of all assets of the Company immediately prior to such sale.</w:t>
      </w:r>
    </w:p>
    <w:p>
      <w:pPr>
        <w:spacing w:after="0" w:line="10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For purposes of this definition, the following terms shall have the following meanings:</w:t>
      </w:r>
    </w:p>
    <w:p>
      <w:pPr>
        <w:spacing w:after="0" w:line="90" w:lineRule="exact"/>
        <w:rPr>
          <w:sz w:val="20"/>
          <w:szCs w:val="20"/>
          <w:color w:val="auto"/>
        </w:rPr>
      </w:pPr>
    </w:p>
    <w:p>
      <w:pPr>
        <w:ind w:left="980" w:hanging="291"/>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“Exchange Act” means the Securities and Exchange Act of 1934, as amended from time to time;</w:t>
      </w:r>
    </w:p>
    <w:p>
      <w:pPr>
        <w:spacing w:after="0" w:line="171" w:lineRule="exact"/>
        <w:rPr>
          <w:rFonts w:ascii="Arial" w:cs="Arial" w:eastAsia="Arial" w:hAnsi="Arial"/>
          <w:sz w:val="18"/>
          <w:szCs w:val="18"/>
          <w:color w:val="auto"/>
        </w:rPr>
      </w:pPr>
    </w:p>
    <w:p>
      <w:pPr>
        <w:jc w:val="both"/>
        <w:ind w:left="300" w:firstLine="389"/>
        <w:spacing w:after="0" w:line="255"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12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20"/>
          </w:cols>
          <w:pgMar w:left="1440" w:top="280" w:right="239" w:bottom="1440" w:gutter="0" w:footer="0" w:header="0"/>
        </w:sectPr>
      </w:pPr>
    </w:p>
    <w:bookmarkStart w:id="16" w:name="page17"/>
    <w:bookmarkEnd w:id="16"/>
    <w:p>
      <w:pPr>
        <w:ind w:right="420" w:firstLine="443"/>
        <w:spacing w:after="0" w:line="268" w:lineRule="auto"/>
        <w:tabs>
          <w:tab w:leader="none" w:pos="657"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“Committee” means the Management Development and Compensation Committee of the Board or such other committee of the Board as the Board may designate from time to time.</w:t>
      </w:r>
    </w:p>
    <w:p>
      <w:pPr>
        <w:spacing w:after="0" w:line="131" w:lineRule="exact"/>
        <w:rPr>
          <w:rFonts w:ascii="Arial" w:cs="Arial" w:eastAsia="Arial" w:hAnsi="Arial"/>
          <w:sz w:val="18"/>
          <w:szCs w:val="18"/>
          <w:color w:val="auto"/>
        </w:rPr>
      </w:pPr>
    </w:p>
    <w:p>
      <w:pPr>
        <w:ind w:right="100" w:firstLine="443"/>
        <w:spacing w:after="0" w:line="268" w:lineRule="auto"/>
        <w:tabs>
          <w:tab w:leader="none" w:pos="687"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“Depreciation and Amortization Costs and Expenses” has the meaning assigned such term by the Company in publicly filed financial statements during the Performance Period.</w:t>
      </w:r>
    </w:p>
    <w:p>
      <w:pPr>
        <w:spacing w:after="0" w:line="131" w:lineRule="exact"/>
        <w:rPr>
          <w:rFonts w:ascii="Arial" w:cs="Arial" w:eastAsia="Arial" w:hAnsi="Arial"/>
          <w:sz w:val="18"/>
          <w:szCs w:val="18"/>
          <w:color w:val="auto"/>
        </w:rPr>
      </w:pPr>
    </w:p>
    <w:p>
      <w:pPr>
        <w:ind w:right="460" w:firstLine="443"/>
        <w:spacing w:after="0" w:line="268" w:lineRule="auto"/>
        <w:tabs>
          <w:tab w:leader="none" w:pos="687"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“Dividend Equivalent” means an amount of cash equal to all dividends and other distributions (or the economic equivalent thereof) that are payable by the Company on one share of Common Stock to stockholders of record.</w:t>
      </w:r>
    </w:p>
    <w:p>
      <w:pPr>
        <w:spacing w:after="0" w:line="131" w:lineRule="exact"/>
        <w:rPr>
          <w:rFonts w:ascii="Arial" w:cs="Arial" w:eastAsia="Arial" w:hAnsi="Arial"/>
          <w:sz w:val="18"/>
          <w:szCs w:val="18"/>
          <w:color w:val="auto"/>
        </w:rPr>
      </w:pPr>
    </w:p>
    <w:p>
      <w:pPr>
        <w:ind w:right="120" w:firstLine="443"/>
        <w:spacing w:after="0" w:line="268" w:lineRule="auto"/>
        <w:tabs>
          <w:tab w:leader="none" w:pos="6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“EBIT” means the sum of Operating Revenue, less Operating Costs and Expenses, less Selling, General and Administrative Costs and Expenses, less Depreciation and Amortization Costs and Expenses.</w:t>
      </w:r>
    </w:p>
    <w:p>
      <w:pPr>
        <w:spacing w:after="0" w:line="131" w:lineRule="exact"/>
        <w:rPr>
          <w:rFonts w:ascii="Arial" w:cs="Arial" w:eastAsia="Arial" w:hAnsi="Arial"/>
          <w:sz w:val="18"/>
          <w:szCs w:val="18"/>
          <w:color w:val="auto"/>
        </w:rPr>
      </w:pPr>
    </w:p>
    <w:p>
      <w:pPr>
        <w:ind w:firstLine="443"/>
        <w:spacing w:after="0" w:line="259" w:lineRule="auto"/>
        <w:tabs>
          <w:tab w:leader="none" w:pos="6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“Goodwill” means the excess of the cost of an acquired company over the sum of the fair market value of its identifiable individual assets, less the liabilities. For purposes of calculation of this Award, the value of Goodwill shall be the balance of such as reported by the Company in publicly filed financial statements for each applicable year.</w:t>
      </w:r>
    </w:p>
    <w:p>
      <w:pPr>
        <w:spacing w:after="0" w:line="140" w:lineRule="exact"/>
        <w:rPr>
          <w:rFonts w:ascii="Arial" w:cs="Arial" w:eastAsia="Arial" w:hAnsi="Arial"/>
          <w:sz w:val="18"/>
          <w:szCs w:val="18"/>
          <w:color w:val="auto"/>
        </w:rPr>
      </w:pPr>
    </w:p>
    <w:p>
      <w:pPr>
        <w:ind w:right="820" w:firstLine="443"/>
        <w:spacing w:after="0" w:line="268" w:lineRule="auto"/>
        <w:tabs>
          <w:tab w:leader="none" w:pos="687"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“Income Before Income Taxes” has the meaning assigned such terms by the Company in publicly filed financial statements during the Performance Period.</w:t>
      </w:r>
    </w:p>
    <w:p>
      <w:pPr>
        <w:spacing w:after="0" w:line="131" w:lineRule="exact"/>
        <w:rPr>
          <w:rFonts w:ascii="Arial" w:cs="Arial" w:eastAsia="Arial" w:hAnsi="Arial"/>
          <w:sz w:val="18"/>
          <w:szCs w:val="18"/>
          <w:color w:val="auto"/>
        </w:rPr>
      </w:pPr>
    </w:p>
    <w:p>
      <w:pPr>
        <w:ind w:right="60" w:firstLine="443"/>
        <w:spacing w:after="0" w:line="256" w:lineRule="auto"/>
        <w:tabs>
          <w:tab w:leader="none" w:pos="6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“Invested Capital” means economic resources that are expected to help generate future cash inflows or help reduce future cash outflows. Invested Capital is equivalent to current portion of long-term debt, plus long-term debt, plus Stockholders’ Equity, less Cash and less Goodwill. For purposes of calculation of this Award, the value of Invested Capital shall be the balance of such as reported by the Company in publicly filed financial statements for each applicable year.</w:t>
      </w:r>
    </w:p>
    <w:p>
      <w:pPr>
        <w:spacing w:after="0" w:line="143" w:lineRule="exact"/>
        <w:rPr>
          <w:rFonts w:ascii="Arial" w:cs="Arial" w:eastAsia="Arial" w:hAnsi="Arial"/>
          <w:sz w:val="18"/>
          <w:szCs w:val="18"/>
          <w:color w:val="auto"/>
        </w:rPr>
      </w:pPr>
    </w:p>
    <w:p>
      <w:pPr>
        <w:ind w:left="740" w:hanging="29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“Misconduct” has the meaning assigned in Section 8.</w:t>
      </w:r>
    </w:p>
    <w:p>
      <w:pPr>
        <w:spacing w:after="0" w:line="171" w:lineRule="exact"/>
        <w:rPr>
          <w:rFonts w:ascii="Arial" w:cs="Arial" w:eastAsia="Arial" w:hAnsi="Arial"/>
          <w:sz w:val="18"/>
          <w:szCs w:val="18"/>
          <w:color w:val="auto"/>
        </w:rPr>
      </w:pPr>
    </w:p>
    <w:p>
      <w:pPr>
        <w:ind w:left="700" w:hanging="257"/>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Operating Profit After Taxes” or “NOPAT” means the product of EBIT multiplied by the sum of 1 minus the Tax Rate.</w:t>
      </w:r>
    </w:p>
    <w:p>
      <w:pPr>
        <w:spacing w:after="0" w:line="171" w:lineRule="exact"/>
        <w:rPr>
          <w:sz w:val="20"/>
          <w:szCs w:val="20"/>
          <w:color w:val="auto"/>
        </w:rPr>
      </w:pPr>
    </w:p>
    <w:p>
      <w:pPr>
        <w:ind w:right="120" w:firstLine="443"/>
        <w:spacing w:after="0" w:line="268" w:lineRule="auto"/>
        <w:tabs>
          <w:tab w:leader="none" w:pos="687"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Costs and Expenses” means “Total operating costs” as reported in publicly filed financial statements during the Performance Period, exclusive of Depreciation and Amortization.</w:t>
      </w:r>
    </w:p>
    <w:p>
      <w:pPr>
        <w:spacing w:after="0" w:line="131" w:lineRule="exact"/>
        <w:rPr>
          <w:rFonts w:ascii="Arial" w:cs="Arial" w:eastAsia="Arial" w:hAnsi="Arial"/>
          <w:sz w:val="18"/>
          <w:szCs w:val="18"/>
          <w:color w:val="auto"/>
        </w:rPr>
      </w:pPr>
    </w:p>
    <w:p>
      <w:pPr>
        <w:ind w:left="700" w:hanging="257"/>
        <w:spacing w:after="0"/>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“Operating Revenue” means “Total operating revenues” as reported in publicly filed financial statements during the Performance Period.</w:t>
      </w:r>
    </w:p>
    <w:p>
      <w:pPr>
        <w:spacing w:after="0" w:line="18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80" w:right="259" w:bottom="1440" w:gutter="0" w:footer="0" w:header="0"/>
        </w:sectPr>
      </w:pPr>
    </w:p>
    <w:bookmarkStart w:id="17" w:name="page18"/>
    <w:bookmarkEnd w:id="17"/>
    <w:p>
      <w:pPr>
        <w:ind w:left="700" w:hanging="257"/>
        <w:spacing w:after="0"/>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“Provision for Income Taxes” has the meaning assigned such term by the Company in publicly filed financial statements during the Performance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164" w:lineRule="exact"/>
        <w:rPr>
          <w:rFonts w:ascii="Arial" w:cs="Arial" w:eastAsia="Arial" w:hAnsi="Arial"/>
          <w:sz w:val="16"/>
          <w:szCs w:val="16"/>
          <w:color w:val="auto"/>
        </w:rPr>
      </w:pPr>
    </w:p>
    <w:p>
      <w:pPr>
        <w:ind w:right="140" w:firstLine="443"/>
        <w:spacing w:after="0" w:line="259" w:lineRule="auto"/>
        <w:tabs>
          <w:tab w:leader="none" w:pos="6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“Retirement” means the voluntary resignation of employment by Employee, after Employee: (i) has attained the age of 55 or greater; (ii) has a sum of age plus full years of Service with the Company equal to 65 or greater; and, (iii) has completed at least 5 consecutive full years of Service with the Company during the 5 year period immediately preceding the resignation.</w:t>
      </w:r>
    </w:p>
    <w:p>
      <w:pPr>
        <w:spacing w:after="0" w:line="140" w:lineRule="exact"/>
        <w:rPr>
          <w:rFonts w:ascii="Arial" w:cs="Arial" w:eastAsia="Arial" w:hAnsi="Arial"/>
          <w:sz w:val="18"/>
          <w:szCs w:val="18"/>
          <w:color w:val="auto"/>
        </w:rPr>
      </w:pPr>
    </w:p>
    <w:p>
      <w:pPr>
        <w:ind w:right="580" w:firstLine="443"/>
        <w:spacing w:after="0" w:line="268" w:lineRule="auto"/>
        <w:tabs>
          <w:tab w:leader="none" w:pos="657"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“Selling, General and Administrative Costs and Expenses” has the meaning assigned such term by the Company in publicly filed financial statements during the Performance Period.</w:t>
      </w:r>
    </w:p>
    <w:p>
      <w:pPr>
        <w:spacing w:after="0" w:line="131" w:lineRule="exact"/>
        <w:rPr>
          <w:rFonts w:ascii="Arial" w:cs="Arial" w:eastAsia="Arial" w:hAnsi="Arial"/>
          <w:sz w:val="18"/>
          <w:szCs w:val="18"/>
          <w:color w:val="auto"/>
        </w:rPr>
      </w:pPr>
    </w:p>
    <w:p>
      <w:pPr>
        <w:ind w:firstLine="443"/>
        <w:spacing w:after="0" w:line="291" w:lineRule="auto"/>
        <w:tabs>
          <w:tab w:leader="none" w:pos="667"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“Service” is measured from Employee’s original date of hire by the Company, except as provided below. In the case of a break of employment by Employee from the Company of one year or more in length, Employee’s service before the break of employment shall not be included in his or her Service hereunder. In the case of service with an entity acquired by the Company, Employee’s service with such entity shall be considered Service hereunder, so long as Employee remained continuously employed with such predecessor company(ies) and the Company. In the case of a break of employment between a predecessor company and the Company of any length, Employee’s Service shall be measured from the original date of hire by the Company and shall not include any service with any predecessor company.</w:t>
      </w:r>
    </w:p>
    <w:p>
      <w:pPr>
        <w:spacing w:after="0" w:line="120" w:lineRule="exact"/>
        <w:rPr>
          <w:rFonts w:ascii="Arial" w:cs="Arial" w:eastAsia="Arial" w:hAnsi="Arial"/>
          <w:sz w:val="16"/>
          <w:szCs w:val="16"/>
          <w:color w:val="auto"/>
        </w:rPr>
      </w:pPr>
    </w:p>
    <w:p>
      <w:pPr>
        <w:ind w:right="40" w:firstLine="443"/>
        <w:spacing w:after="0" w:line="268"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“Short-Term Investments Available for Use” has the meaning assigned such term by the Company in publicly filed financial statements during the Performance Period.</w:t>
      </w:r>
    </w:p>
    <w:p>
      <w:pPr>
        <w:spacing w:after="0" w:line="131" w:lineRule="exact"/>
        <w:rPr>
          <w:rFonts w:ascii="Arial" w:cs="Arial" w:eastAsia="Arial" w:hAnsi="Arial"/>
          <w:sz w:val="18"/>
          <w:szCs w:val="18"/>
          <w:color w:val="auto"/>
        </w:rPr>
      </w:pPr>
    </w:p>
    <w:p>
      <w:pPr>
        <w:ind w:right="140" w:firstLine="443"/>
        <w:spacing w:after="0" w:line="268" w:lineRule="auto"/>
        <w:tabs>
          <w:tab w:leader="none" w:pos="6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“Stockholder’s Equity” means “Total Waste Management, Inc. stockholders’ equity” as reported in publicly filed financial statements during the Performance Period.</w:t>
      </w:r>
    </w:p>
    <w:p>
      <w:pPr>
        <w:spacing w:after="0" w:line="131" w:lineRule="exact"/>
        <w:rPr>
          <w:rFonts w:ascii="Arial" w:cs="Arial" w:eastAsia="Arial" w:hAnsi="Arial"/>
          <w:sz w:val="18"/>
          <w:szCs w:val="18"/>
          <w:color w:val="auto"/>
        </w:rPr>
      </w:pPr>
    </w:p>
    <w:p>
      <w:pPr>
        <w:ind w:left="700" w:hanging="257"/>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 Rate” means the product of Provision for Income Taxes divided by Income Before Income Taxes.</w:t>
      </w:r>
    </w:p>
    <w:p>
      <w:pPr>
        <w:spacing w:after="0" w:line="171" w:lineRule="exact"/>
        <w:rPr>
          <w:rFonts w:ascii="Arial" w:cs="Arial" w:eastAsia="Arial" w:hAnsi="Arial"/>
          <w:sz w:val="18"/>
          <w:szCs w:val="18"/>
          <w:color w:val="auto"/>
        </w:rPr>
      </w:pPr>
    </w:p>
    <w:p>
      <w:pPr>
        <w:ind w:right="80" w:firstLine="443"/>
        <w:spacing w:after="0" w:line="256" w:lineRule="auto"/>
        <w:tabs>
          <w:tab w:leader="none" w:pos="72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“Termination of Employment” means the termination of Employee’s employment with the Company. Temporary absences from employment because of illness, vacation or leave of absence and transfers among Waste Management, Inc. and its Subsidiaries and Affiliates will not be considered a Termination of Employment. Any questions as to whether and when there has been a Termination of Employment, and the cause of such termination, shall be determined by the Committee, and its determination will be final.</w:t>
      </w:r>
    </w:p>
    <w:p>
      <w:pPr>
        <w:spacing w:after="0" w:line="143" w:lineRule="exact"/>
        <w:rPr>
          <w:rFonts w:ascii="Arial" w:cs="Arial" w:eastAsia="Arial" w:hAnsi="Arial"/>
          <w:sz w:val="18"/>
          <w:szCs w:val="18"/>
          <w:color w:val="auto"/>
        </w:rPr>
      </w:pPr>
    </w:p>
    <w:p>
      <w:pPr>
        <w:ind w:right="580" w:firstLine="443"/>
        <w:spacing w:after="0" w:line="268" w:lineRule="auto"/>
        <w:tabs>
          <w:tab w:leader="none" w:pos="6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“Window Period” means the period commencing on the date occurring six (6) months immediately prior to the date on which a Change in Control first occurs and ending the second anniversary of the date on which a Change in Control occurs.</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80" w:right="239" w:bottom="1440" w:gutter="0" w:footer="0" w:header="0"/>
        </w:sectPr>
      </w:pPr>
    </w:p>
    <w:bookmarkStart w:id="18" w:name="page19"/>
    <w:bookmarkEnd w:id="18"/>
    <w:p>
      <w:pPr>
        <w:ind w:left="700" w:hanging="2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Entire Agreement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40" w:right="440" w:firstLine="443"/>
        <w:spacing w:after="0" w:line="256" w:lineRule="auto"/>
        <w:tabs>
          <w:tab w:leader="none" w:pos="1117" w:val="left"/>
        </w:tabs>
        <w:numPr>
          <w:ilvl w:val="1"/>
          <w:numId w:val="27"/>
        </w:numPr>
        <w:rPr>
          <w:rFonts w:ascii="Arial" w:cs="Arial" w:eastAsia="Arial" w:hAnsi="Arial"/>
          <w:sz w:val="18"/>
          <w:szCs w:val="18"/>
          <w:color w:val="auto"/>
        </w:rPr>
      </w:pPr>
      <w:r>
        <w:rPr>
          <w:rFonts w:ascii="Arial" w:cs="Arial" w:eastAsia="Arial" w:hAnsi="Arial"/>
          <w:sz w:val="18"/>
          <w:szCs w:val="18"/>
          <w:color w:val="auto"/>
        </w:rPr>
        <w:t>Employee hereby acknowledges that Employee has received, reviewed and accepted the terms and conditions applicable to this Agreement. Employee hereby accepts such terms and conditions, subject to the provisions of the Plan and administrative interpretations thereof including the attainment of the Incentive Formula described therein. Employee further agrees that such terms and conditions will control this Agreement, notwithstanding any provisions in any employment agreement or in any prior awards.</w:t>
      </w:r>
    </w:p>
    <w:p>
      <w:pPr>
        <w:spacing w:after="0" w:line="143" w:lineRule="exact"/>
        <w:rPr>
          <w:rFonts w:ascii="Arial" w:cs="Arial" w:eastAsia="Arial" w:hAnsi="Arial"/>
          <w:sz w:val="18"/>
          <w:szCs w:val="18"/>
          <w:color w:val="auto"/>
        </w:rPr>
      </w:pPr>
    </w:p>
    <w:p>
      <w:pPr>
        <w:ind w:left="440" w:right="40" w:firstLine="443"/>
        <w:spacing w:after="0" w:line="268" w:lineRule="auto"/>
        <w:tabs>
          <w:tab w:leader="none" w:pos="1127" w:val="left"/>
        </w:tabs>
        <w:numPr>
          <w:ilvl w:val="1"/>
          <w:numId w:val="27"/>
        </w:numPr>
        <w:rPr>
          <w:rFonts w:ascii="Arial" w:cs="Arial" w:eastAsia="Arial" w:hAnsi="Arial"/>
          <w:sz w:val="18"/>
          <w:szCs w:val="18"/>
          <w:color w:val="auto"/>
        </w:rPr>
      </w:pPr>
      <w:r>
        <w:rPr>
          <w:rFonts w:ascii="Arial" w:cs="Arial" w:eastAsia="Arial" w:hAnsi="Arial"/>
          <w:sz w:val="18"/>
          <w:szCs w:val="18"/>
          <w:color w:val="auto"/>
        </w:rPr>
        <w:t>Employee hereby acknowledges that Employee is to consult with and rely upon only Employee’s own tax, legal, and financial advisors regarding the consequences and risks of this Agreement and the award of Performance Share Units.</w:t>
      </w:r>
    </w:p>
    <w:p>
      <w:pPr>
        <w:spacing w:after="0" w:line="131" w:lineRule="exact"/>
        <w:rPr>
          <w:rFonts w:ascii="Arial" w:cs="Arial" w:eastAsia="Arial" w:hAnsi="Arial"/>
          <w:sz w:val="18"/>
          <w:szCs w:val="18"/>
          <w:color w:val="auto"/>
        </w:rPr>
      </w:pPr>
    </w:p>
    <w:p>
      <w:pPr>
        <w:ind w:left="440" w:right="60" w:firstLine="443"/>
        <w:spacing w:after="0" w:line="332" w:lineRule="auto"/>
        <w:tabs>
          <w:tab w:leader="none" w:pos="1117"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This Agreement may not be amended or modified except by a written agreement executed by the parties hereto or their respective successors and legal representatives. The captions of this Agreement are not part of the provisions hereof and shall have no force or effect.</w:t>
      </w:r>
    </w:p>
    <w:p>
      <w:pPr>
        <w:spacing w:after="0" w:line="85" w:lineRule="exact"/>
        <w:rPr>
          <w:rFonts w:ascii="Arial" w:cs="Arial" w:eastAsia="Arial" w:hAnsi="Arial"/>
          <w:sz w:val="16"/>
          <w:szCs w:val="16"/>
          <w:color w:val="auto"/>
        </w:rPr>
      </w:pPr>
    </w:p>
    <w:p>
      <w:pPr>
        <w:ind w:left="-20" w:firstLine="464"/>
        <w:spacing w:after="0" w:line="254"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It is the intention of the Company and Employee that his Agreement not result in an unfavorable tax consequences to Employee under Code Section 409A. Accordingly, Employee consents to any amendment of this Agreement as the Company may reasonably make in furtherance of such intention, and the Company shall promptly provide, or make available to, Employee a copy of such amendment. Any such amendments shall be made in a manner that preserves to the maximum extent possible the intended benefits to Employee. This Section 26 does not create an obligation on the part of Company to modify this Agreement and does not guarantee that the amounts or benefits owed under the Agreement will not be subject to interest and penalties under Code Section 409A.</w:t>
      </w:r>
    </w:p>
    <w:p>
      <w:pPr>
        <w:spacing w:after="0" w:line="144" w:lineRule="exact"/>
        <w:rPr>
          <w:rFonts w:ascii="Arial" w:cs="Arial" w:eastAsia="Arial" w:hAnsi="Arial"/>
          <w:sz w:val="18"/>
          <w:szCs w:val="18"/>
          <w:color w:val="auto"/>
        </w:rPr>
      </w:pPr>
    </w:p>
    <w:p>
      <w:pPr>
        <w:ind w:left="-20" w:firstLine="464"/>
        <w:spacing w:after="0" w:line="312" w:lineRule="auto"/>
        <w:tabs>
          <w:tab w:leader="none" w:pos="700"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Use of Personal Data</w:t>
      </w:r>
      <w:r>
        <w:rPr>
          <w:rFonts w:ascii="Arial" w:cs="Arial" w:eastAsia="Arial" w:hAnsi="Arial"/>
          <w:sz w:val="15"/>
          <w:szCs w:val="15"/>
          <w:color w:val="auto"/>
        </w:rPr>
        <w:t>. By executing this Agreement, Employee acknowledges and agrees to the collection, use, processing and transfer of certain personal data, including his or her name, salary, nationality, job title, position, social security number (or other tax identification number) and details of all past Awards and current Awards outstanding under the Plan (“Data”), for the purpose of managing and administering the Plan. The Employee is not obliged to consent to such collection, use, processing and transfer of personal data, but a refusal to provide such consent may affect his or her ability to participate in the Plan. The Company, or its Subsidiaries, may transfer Data among themselves or to third parties as necessary for the purpose of implementation, administration and management of the Plan. These various recipients of Data may be located elsewhere throughout the world. The Employee authorizes these various recipients of Data to receive, possess, use, retain and transfer the Data, in electronic or other form, for the purposes of implementing, administering and managing</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60" w:top="280" w:right="259" w:bottom="1440" w:gutter="0" w:footer="0" w:header="0"/>
        </w:sectPr>
      </w:pPr>
    </w:p>
    <w:bookmarkStart w:id="19" w:name="page20"/>
    <w:bookmarkEnd w:id="19"/>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Plan. The Employee may, at any time, review Data with respect to the Employee and require any necessary amendments to such Data. The Participant may withdraw his or her consent to use Data herein by notifying the Company in writing; however, the Participant understands that by withdrawing his or her consent to use Data, the Participant may affect his or her ability to participate in the Plan.</w:t>
      </w:r>
    </w:p>
    <w:p>
      <w:pPr>
        <w:spacing w:after="0" w:line="140" w:lineRule="exact"/>
        <w:rPr>
          <w:sz w:val="20"/>
          <w:szCs w:val="20"/>
          <w:color w:val="auto"/>
        </w:rPr>
      </w:pPr>
    </w:p>
    <w:p>
      <w:pPr>
        <w:ind w:firstLine="464"/>
        <w:spacing w:after="0" w:line="306" w:lineRule="auto"/>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which either party hereto may be required or permitted to give the other shall be in writing and may be delivered personally or by mail, postage prepaid, addressed to the Secretary of the Company, at its then corporate headquarters, and the Employee at the Employee’s address as shown on the Company’s records, or to such other address as Employee, by notice to the Company, may designate in writing from time to time.</w:t>
      </w:r>
    </w:p>
    <w:p>
      <w:pPr>
        <w:spacing w:after="0" w:line="106" w:lineRule="exact"/>
        <w:rPr>
          <w:rFonts w:ascii="Arial" w:cs="Arial" w:eastAsia="Arial" w:hAnsi="Arial"/>
          <w:sz w:val="16"/>
          <w:szCs w:val="16"/>
          <w:color w:val="auto"/>
        </w:rPr>
      </w:pPr>
    </w:p>
    <w:p>
      <w:pPr>
        <w:jc w:val="both"/>
        <w:ind w:right="160" w:firstLine="464"/>
        <w:spacing w:after="0" w:line="298" w:lineRule="auto"/>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Electronic Delivery</w:t>
      </w:r>
      <w:r>
        <w:rPr>
          <w:rFonts w:ascii="Arial" w:cs="Arial" w:eastAsia="Arial" w:hAnsi="Arial"/>
          <w:sz w:val="16"/>
          <w:szCs w:val="16"/>
          <w:color w:val="auto"/>
        </w:rPr>
        <w:t>. The Company may, in its sole discretion, deliver any documents related to the Performance Share Units awarded under this Agreement or the Plan by electronic means or request Employee’s consent to participate in the administration of this Agreement and the Plan by electronic means. Employee hereby consents to receive such documents by electronic delivery and agrees to participate in the Plan through an on-line or electronic system established and maintained by the Company or another third party designated by the Company.</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which together shall constitute one and the same original.</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WITNESS WHEREOF, Waste Management, Inc. has caused this Agreement to be duly executed by one of its officers thereunto duly authorized and Employee has executed this Agreement, effective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2898775" cy="4629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E. Trevathan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302895</wp:posOffset>
            </wp:positionV>
            <wp:extent cx="2898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Accepted by electronic confirmation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10.2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UNIT AWARD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TOTAL SHAREHOLDER RETURN</w:t>
      </w:r>
    </w:p>
    <w:p>
      <w:pPr>
        <w:spacing w:after="0" w:line="165"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 xml:space="preserve">This Performance Share Unit Award Agreement (“Agreement”) is entered into effective as of March 9, 2012, (the “Grant Date”), by and between Waste Management, Inc., a Delaware corporation (together with its Subsidiaries and Affiliates, the “Company”), and you, (the “Employee”), pursuant to the Waste Management, Inc. 2009 Stock Incentive Plan (the “Plan”). Employee and the Company agree to execute such further instruments and to take such further action as may reasonably be necessary to carry out the intent of this Agreement. </w:t>
      </w:r>
      <w:r>
        <w:rPr>
          <w:rFonts w:ascii="Arial" w:cs="Arial" w:eastAsia="Arial" w:hAnsi="Arial"/>
          <w:sz w:val="15"/>
          <w:szCs w:val="15"/>
          <w:b w:val="1"/>
          <w:bCs w:val="1"/>
          <w:color w:val="auto"/>
        </w:rPr>
        <w:t>The terms and conditions of this Agreement as offered herein must be accepted by</w:t>
      </w:r>
    </w:p>
    <w:p>
      <w:pPr>
        <w:spacing w:after="0" w:line="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Employee prior to April 23, 2012. Failure to timely accept the terms by such time will result in the immediate and irrevocable cancellation of the Award offered.</w:t>
      </w:r>
    </w:p>
    <w:p>
      <w:pPr>
        <w:spacing w:after="0" w:line="138" w:lineRule="exact"/>
        <w:rPr>
          <w:sz w:val="20"/>
          <w:szCs w:val="20"/>
          <w:color w:val="auto"/>
        </w:rPr>
      </w:pPr>
    </w:p>
    <w:p>
      <w:pPr>
        <w:ind w:right="120" w:firstLine="464"/>
        <w:spacing w:after="0" w:line="255" w:lineRule="auto"/>
        <w:tabs>
          <w:tab w:leader="none" w:pos="63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In accordance with, and subject to, the terms of the Plan, the Company hereby grants to Employee a Performance Share Unit Award (the “Award”) subject to the terms and conditions set forth herein. Performance Share Units are notational units of measurement denominated in shares of common stock of Waste Management, Inc., $.01 par value, (“Common Stock”), subject to the conditions and restrictions on transferability set forth below and in the Plan. The Target Award for Employee under this Agreement is the target number of Performance Share Units based on Total Shareholder Return announced on March 9, 2012.</w:t>
      </w:r>
    </w:p>
    <w:p>
      <w:pPr>
        <w:spacing w:after="0" w:line="142" w:lineRule="exact"/>
        <w:rPr>
          <w:rFonts w:ascii="Arial" w:cs="Arial" w:eastAsia="Arial" w:hAnsi="Arial"/>
          <w:sz w:val="18"/>
          <w:szCs w:val="18"/>
          <w:color w:val="auto"/>
        </w:rPr>
      </w:pPr>
    </w:p>
    <w:p>
      <w:pPr>
        <w:ind w:left="640" w:hanging="17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Total Shareholder Return Performance Requirement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“Performance Period” for this Award shall be the 36-month period commencing on January 1, 2012 and ending on December 31, 2014.</w:t>
      </w:r>
    </w:p>
    <w:p>
      <w:pPr>
        <w:spacing w:after="0" w:line="194" w:lineRule="exact"/>
        <w:rPr>
          <w:rFonts w:ascii="Arial" w:cs="Arial" w:eastAsia="Arial" w:hAnsi="Arial"/>
          <w:sz w:val="16"/>
          <w:szCs w:val="16"/>
          <w:color w:val="auto"/>
        </w:rPr>
      </w:pPr>
    </w:p>
    <w:p>
      <w:pPr>
        <w:ind w:left="460" w:right="640" w:firstLine="443"/>
        <w:spacing w:after="0" w:line="268" w:lineRule="auto"/>
        <w:tabs>
          <w:tab w:leader="none" w:pos="1147"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measurement tool for determining level of achievement for this Award shall be the Relative TSR Percentile Rank of the Company as compared to the other S&amp;P 500 Companies for the Performance Period.</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Determining Number of Performance Share Units Earned</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40" w:firstLine="443"/>
        <w:spacing w:after="0" w:line="291" w:lineRule="auto"/>
        <w:tabs>
          <w:tab w:leader="none" w:pos="1137" w:val="left"/>
        </w:tabs>
        <w:numPr>
          <w:ilvl w:val="1"/>
          <w:numId w:val="29"/>
        </w:numPr>
        <w:rPr>
          <w:rFonts w:ascii="Arial" w:cs="Arial" w:eastAsia="Arial" w:hAnsi="Arial"/>
          <w:sz w:val="16"/>
          <w:szCs w:val="16"/>
          <w:color w:val="auto"/>
        </w:rPr>
      </w:pPr>
      <w:r>
        <w:rPr>
          <w:rFonts w:ascii="Arial" w:cs="Arial" w:eastAsia="Arial" w:hAnsi="Arial"/>
          <w:sz w:val="16"/>
          <w:szCs w:val="16"/>
          <w:color w:val="auto"/>
        </w:rPr>
        <w:t>Following the calculation of Total Shareholder Return for the Company and each of the other S&amp;P 500 Companies, the Company and all other S&amp;P Companies will be ranked according to their respective Total Shareholder Return for the Performance Period. The ranking will be in order from minimum to maximum, with the lowest performing entity within the S&amp;P500 Companies being assigned a rank of one. The Committee shall derive and confirm the number of Performance Share Units earned under this Award based on the Relative TSR Percentile Rank of the Company. Any Award paid to the Employee hereunder shall not exceed the amount computed under the performance goal specified below, subject to certification of the degree of achievement of such performance goal by the Committee.</w:t>
      </w:r>
    </w:p>
    <w:p>
      <w:pPr>
        <w:sectPr>
          <w:pgSz w:w="11900" w:h="16838" w:orient="portrait"/>
          <w:cols w:equalWidth="0" w:num="1">
            <w:col w:w="11420"/>
          </w:cols>
          <w:pgMar w:left="240" w:top="125" w:right="239" w:bottom="1440" w:gutter="0" w:footer="0" w:header="0"/>
        </w:sectPr>
      </w:pPr>
    </w:p>
    <w:bookmarkStart w:id="21" w:name="page22"/>
    <w:bookmarkEnd w:id="21"/>
    <w:p>
      <w:pPr>
        <w:ind w:left="460" w:right="40" w:firstLine="443"/>
        <w:spacing w:after="0" w:line="291" w:lineRule="auto"/>
        <w:tabs>
          <w:tab w:leader="none" w:pos="1147"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Award, “Threshold Performance” is a Relative TSR Percentile Rank of the Company greater than 25.00% (i.e. above the bottom of the third quartile of the performance group). “Target Performance” is a Relative TSR Percentile Rank of the Company equal to 50.00% (i.e. at median of the comparison group). “Second Quartile Performance” is a Relative TSR Percentile Rank of the Company equal to 75.00% (i.e. equal to the top of the second quartile of the performance group). And, “Maximum Performance” is a Relative TSR Percentile Rank of the Company equal to 100% (i.e. the highest performing entity in the comparison group). Subject to adjustment pursuant to Subsection 3(c), 3(d), 3(e) and 3(f), each such percentage correlates to a number of Performance Share Units that may be earned under this Award, as follows:</w:t>
      </w:r>
    </w:p>
    <w:p>
      <w:pPr>
        <w:spacing w:after="0" w:line="138"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Relative Total Shareholder Return</w:t>
            </w:r>
          </w:p>
        </w:tc>
        <w:tc>
          <w:tcPr>
            <w:tcW w:w="3340" w:type="dxa"/>
            <w:vAlign w:val="bottom"/>
          </w:tcPr>
          <w:p>
            <w:pPr>
              <w:spacing w:after="0"/>
              <w:rPr>
                <w:sz w:val="17"/>
                <w:szCs w:val="17"/>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Resulting Payout Percentage Earned</w:t>
            </w:r>
          </w:p>
        </w:tc>
      </w:tr>
      <w:tr>
        <w:trPr>
          <w:trHeight w:val="228"/>
        </w:trPr>
        <w:tc>
          <w:tcPr>
            <w:tcW w:w="5740" w:type="dxa"/>
            <w:vAlign w:val="bottom"/>
            <w:gridSpan w:val="2"/>
          </w:tcPr>
          <w:p>
            <w:pPr>
              <w:jc w:val="center"/>
              <w:ind w:right="3340"/>
              <w:spacing w:after="0"/>
              <w:rPr>
                <w:sz w:val="20"/>
                <w:szCs w:val="20"/>
                <w:color w:val="auto"/>
              </w:rPr>
            </w:pPr>
            <w:r>
              <w:rPr>
                <w:rFonts w:ascii="Arial" w:cs="Arial" w:eastAsia="Arial" w:hAnsi="Arial"/>
                <w:sz w:val="18"/>
                <w:szCs w:val="18"/>
                <w:color w:val="auto"/>
                <w:w w:val="87"/>
              </w:rPr>
              <w:t>Threshold Performance</w:t>
            </w:r>
          </w:p>
        </w:tc>
        <w:tc>
          <w:tcPr>
            <w:tcW w:w="2560" w:type="dxa"/>
            <w:vAlign w:val="bottom"/>
          </w:tcPr>
          <w:p>
            <w:pPr>
              <w:jc w:val="center"/>
              <w:spacing w:after="0"/>
              <w:rPr>
                <w:sz w:val="20"/>
                <w:szCs w:val="20"/>
                <w:color w:val="auto"/>
              </w:rPr>
            </w:pPr>
            <w:r>
              <w:rPr>
                <w:rFonts w:ascii="Arial" w:cs="Arial" w:eastAsia="Arial" w:hAnsi="Arial"/>
                <w:sz w:val="18"/>
                <w:szCs w:val="18"/>
                <w:color w:val="auto"/>
                <w:w w:val="89"/>
              </w:rPr>
              <w:t>50% of Target Award</w:t>
            </w:r>
          </w:p>
        </w:tc>
      </w:tr>
      <w:tr>
        <w:trPr>
          <w:trHeight w:val="216"/>
        </w:trPr>
        <w:tc>
          <w:tcPr>
            <w:tcW w:w="5740" w:type="dxa"/>
            <w:vAlign w:val="bottom"/>
            <w:gridSpan w:val="2"/>
          </w:tcPr>
          <w:p>
            <w:pPr>
              <w:jc w:val="center"/>
              <w:ind w:right="3340"/>
              <w:spacing w:after="0"/>
              <w:rPr>
                <w:sz w:val="20"/>
                <w:szCs w:val="20"/>
                <w:color w:val="auto"/>
              </w:rPr>
            </w:pPr>
            <w:r>
              <w:rPr>
                <w:rFonts w:ascii="Arial" w:cs="Arial" w:eastAsia="Arial" w:hAnsi="Arial"/>
                <w:sz w:val="18"/>
                <w:szCs w:val="18"/>
                <w:color w:val="auto"/>
                <w:w w:val="87"/>
              </w:rPr>
              <w:t>Target Performance</w:t>
            </w:r>
          </w:p>
        </w:tc>
        <w:tc>
          <w:tcPr>
            <w:tcW w:w="2560" w:type="dxa"/>
            <w:vAlign w:val="bottom"/>
          </w:tcPr>
          <w:p>
            <w:pPr>
              <w:jc w:val="center"/>
              <w:spacing w:after="0"/>
              <w:rPr>
                <w:sz w:val="20"/>
                <w:szCs w:val="20"/>
                <w:color w:val="auto"/>
              </w:rPr>
            </w:pPr>
            <w:r>
              <w:rPr>
                <w:rFonts w:ascii="Arial" w:cs="Arial" w:eastAsia="Arial" w:hAnsi="Arial"/>
                <w:sz w:val="18"/>
                <w:szCs w:val="18"/>
                <w:color w:val="auto"/>
                <w:w w:val="89"/>
              </w:rPr>
              <w:t>100% of Target Award</w:t>
            </w:r>
          </w:p>
        </w:tc>
      </w:tr>
      <w:tr>
        <w:trPr>
          <w:trHeight w:val="216"/>
        </w:trPr>
        <w:tc>
          <w:tcPr>
            <w:tcW w:w="5740" w:type="dxa"/>
            <w:vAlign w:val="bottom"/>
            <w:gridSpan w:val="2"/>
          </w:tcPr>
          <w:p>
            <w:pPr>
              <w:jc w:val="center"/>
              <w:ind w:right="3340"/>
              <w:spacing w:after="0"/>
              <w:rPr>
                <w:sz w:val="20"/>
                <w:szCs w:val="20"/>
                <w:color w:val="auto"/>
              </w:rPr>
            </w:pPr>
            <w:r>
              <w:rPr>
                <w:rFonts w:ascii="Arial" w:cs="Arial" w:eastAsia="Arial" w:hAnsi="Arial"/>
                <w:sz w:val="18"/>
                <w:szCs w:val="18"/>
                <w:color w:val="auto"/>
                <w:w w:val="87"/>
              </w:rPr>
              <w:t>Second Quartile Performance</w:t>
            </w:r>
          </w:p>
        </w:tc>
        <w:tc>
          <w:tcPr>
            <w:tcW w:w="2560" w:type="dxa"/>
            <w:vAlign w:val="bottom"/>
          </w:tcPr>
          <w:p>
            <w:pPr>
              <w:jc w:val="center"/>
              <w:spacing w:after="0"/>
              <w:rPr>
                <w:sz w:val="20"/>
                <w:szCs w:val="20"/>
                <w:color w:val="auto"/>
              </w:rPr>
            </w:pPr>
            <w:r>
              <w:rPr>
                <w:rFonts w:ascii="Arial" w:cs="Arial" w:eastAsia="Arial" w:hAnsi="Arial"/>
                <w:sz w:val="18"/>
                <w:szCs w:val="18"/>
                <w:color w:val="auto"/>
                <w:w w:val="89"/>
              </w:rPr>
              <w:t>150% of Target Award</w:t>
            </w:r>
          </w:p>
        </w:tc>
      </w:tr>
      <w:tr>
        <w:trPr>
          <w:trHeight w:val="222"/>
        </w:trPr>
        <w:tc>
          <w:tcPr>
            <w:tcW w:w="5740" w:type="dxa"/>
            <w:vAlign w:val="bottom"/>
            <w:gridSpan w:val="2"/>
          </w:tcPr>
          <w:p>
            <w:pPr>
              <w:jc w:val="center"/>
              <w:ind w:right="3340"/>
              <w:spacing w:after="0"/>
              <w:rPr>
                <w:sz w:val="20"/>
                <w:szCs w:val="20"/>
                <w:color w:val="auto"/>
              </w:rPr>
            </w:pPr>
            <w:r>
              <w:rPr>
                <w:rFonts w:ascii="Arial" w:cs="Arial" w:eastAsia="Arial" w:hAnsi="Arial"/>
                <w:sz w:val="18"/>
                <w:szCs w:val="18"/>
                <w:color w:val="auto"/>
                <w:w w:val="90"/>
              </w:rPr>
              <w:t>Maximum Performance</w:t>
            </w:r>
          </w:p>
        </w:tc>
        <w:tc>
          <w:tcPr>
            <w:tcW w:w="2560" w:type="dxa"/>
            <w:vAlign w:val="bottom"/>
          </w:tcPr>
          <w:p>
            <w:pPr>
              <w:jc w:val="center"/>
              <w:spacing w:after="0"/>
              <w:rPr>
                <w:sz w:val="20"/>
                <w:szCs w:val="20"/>
                <w:color w:val="auto"/>
              </w:rPr>
            </w:pPr>
            <w:r>
              <w:rPr>
                <w:rFonts w:ascii="Arial" w:cs="Arial" w:eastAsia="Arial" w:hAnsi="Arial"/>
                <w:sz w:val="18"/>
                <w:szCs w:val="18"/>
                <w:color w:val="auto"/>
                <w:w w:val="89"/>
              </w:rPr>
              <w:t>200% of Target Award</w:t>
            </w:r>
          </w:p>
        </w:tc>
      </w:tr>
    </w:tbl>
    <w:p>
      <w:pPr>
        <w:spacing w:after="0" w:line="156" w:lineRule="exact"/>
        <w:rPr>
          <w:sz w:val="20"/>
          <w:szCs w:val="20"/>
          <w:color w:val="auto"/>
        </w:rPr>
      </w:pPr>
    </w:p>
    <w:p>
      <w:pPr>
        <w:ind w:left="460" w:right="920" w:firstLine="443"/>
        <w:spacing w:after="0" w:line="268" w:lineRule="auto"/>
        <w:tabs>
          <w:tab w:leader="none" w:pos="1137"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the Relative TSR Percentile Rank of the Company for the Performance Period does not meet or exceed Threshold Performance, no Performance Share Units shall be earned under this Award.</w:t>
      </w:r>
    </w:p>
    <w:p>
      <w:pPr>
        <w:spacing w:after="0" w:line="131" w:lineRule="exact"/>
        <w:rPr>
          <w:rFonts w:ascii="Arial" w:cs="Arial" w:eastAsia="Arial" w:hAnsi="Arial"/>
          <w:sz w:val="18"/>
          <w:szCs w:val="18"/>
          <w:color w:val="auto"/>
        </w:rPr>
      </w:pPr>
    </w:p>
    <w:p>
      <w:pPr>
        <w:jc w:val="both"/>
        <w:ind w:left="460" w:right="60" w:firstLine="443"/>
        <w:spacing w:after="0" w:line="370" w:lineRule="auto"/>
        <w:tabs>
          <w:tab w:leader="none" w:pos="1147" w:val="left"/>
        </w:tabs>
        <w:numPr>
          <w:ilvl w:val="1"/>
          <w:numId w:val="31"/>
        </w:numPr>
        <w:rPr>
          <w:rFonts w:ascii="Arial" w:cs="Arial" w:eastAsia="Arial" w:hAnsi="Arial"/>
          <w:sz w:val="15"/>
          <w:szCs w:val="15"/>
          <w:color w:val="auto"/>
        </w:rPr>
      </w:pPr>
      <w:r>
        <w:rPr>
          <w:rFonts w:ascii="Arial" w:cs="Arial" w:eastAsia="Arial" w:hAnsi="Arial"/>
          <w:sz w:val="15"/>
          <w:szCs w:val="15"/>
          <w:color w:val="auto"/>
        </w:rPr>
        <w:t>If the Relative TSR Percentile Rank of the Company for the Performance Period is between Threshold Performance and Target Performance, the number of Performance Share Units earned shall be straight-line interpolated between Threshold Performance and Target Performance payout percentages.</w:t>
      </w:r>
    </w:p>
    <w:p>
      <w:pPr>
        <w:spacing w:after="0" w:line="62" w:lineRule="exact"/>
        <w:rPr>
          <w:rFonts w:ascii="Arial" w:cs="Arial" w:eastAsia="Arial" w:hAnsi="Arial"/>
          <w:sz w:val="15"/>
          <w:szCs w:val="15"/>
          <w:color w:val="auto"/>
        </w:rPr>
      </w:pPr>
    </w:p>
    <w:p>
      <w:pPr>
        <w:ind w:left="460" w:right="780" w:firstLine="443"/>
        <w:spacing w:after="0" w:line="259" w:lineRule="auto"/>
        <w:tabs>
          <w:tab w:leader="none" w:pos="1137"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the Relative TSR Percentile Rank of the Company for the Performance Period is between Target Performance and Second Quartile Performance, the number of Performance Share Units earned shall be straight-line interpolated between Target Performance and Second Quartile Performance payout percentages.</w:t>
      </w:r>
    </w:p>
    <w:p>
      <w:pPr>
        <w:spacing w:after="0" w:line="140" w:lineRule="exact"/>
        <w:rPr>
          <w:rFonts w:ascii="Arial" w:cs="Arial" w:eastAsia="Arial" w:hAnsi="Arial"/>
          <w:sz w:val="18"/>
          <w:szCs w:val="18"/>
          <w:color w:val="auto"/>
        </w:rPr>
      </w:pPr>
    </w:p>
    <w:p>
      <w:pPr>
        <w:ind w:left="460" w:right="480" w:firstLine="443"/>
        <w:spacing w:after="0" w:line="259" w:lineRule="auto"/>
        <w:tabs>
          <w:tab w:leader="none" w:pos="1117"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the Relative TSR Percentile Rank of the Company for the Performance Period is between Second Quartile Performance and Maximum Performance, the number of Performance Share Units earned shall be straight-line interpolated between Second Quartile Performance and Maximum Performance payout percentages.</w:t>
      </w:r>
    </w:p>
    <w:p>
      <w:pPr>
        <w:spacing w:after="0" w:line="140" w:lineRule="exact"/>
        <w:rPr>
          <w:rFonts w:ascii="Arial" w:cs="Arial" w:eastAsia="Arial" w:hAnsi="Arial"/>
          <w:sz w:val="18"/>
          <w:szCs w:val="18"/>
          <w:color w:val="auto"/>
        </w:rPr>
      </w:pPr>
    </w:p>
    <w:p>
      <w:pPr>
        <w:ind w:firstLine="464"/>
        <w:spacing w:after="0" w:line="294" w:lineRule="auto"/>
        <w:tabs>
          <w:tab w:leader="none" w:pos="632"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Timing and Form of Payout</w:t>
      </w:r>
      <w:r>
        <w:rPr>
          <w:rFonts w:ascii="Arial" w:cs="Arial" w:eastAsia="Arial" w:hAnsi="Arial"/>
          <w:sz w:val="16"/>
          <w:szCs w:val="16"/>
          <w:color w:val="auto"/>
        </w:rPr>
        <w:t>. Except as hereinafter provided, after the end of the Performance Period, Employee shall be entitled to receive his total number of Performance Shares Units determined under Section 3 and Dividend Equivalents determined under Section 11. Unless timely deferred by Employee in accordance with Section 12, upon vesting, each Performance Share Unit will be settled by payment of one share of Common Stock, free of any restrictions. Payment of such shares of Common Stock shall be made as soon as administratively feasible after the Committee certifies the actual performance of the Company during the Performance Period. The Company shall not be required to issue any fractional shares of Common Stock.</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2" w:name="page23"/>
    <w:bookmarkEnd w:id="22"/>
    <w:p>
      <w:pPr>
        <w:ind w:left="-80" w:right="20" w:firstLine="464"/>
        <w:spacing w:after="0" w:line="290" w:lineRule="auto"/>
        <w:tabs>
          <w:tab w:leader="none" w:pos="552"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Employment Due to Death or Disability</w:t>
      </w:r>
      <w:r>
        <w:rPr>
          <w:rFonts w:ascii="Arial" w:cs="Arial" w:eastAsia="Arial" w:hAnsi="Arial"/>
          <w:sz w:val="16"/>
          <w:szCs w:val="16"/>
          <w:color w:val="auto"/>
        </w:rPr>
        <w:t>. Upon Termination of Employment from the Company by reason of Employee’s death or disability (as determined by the Committee and within the meaning of Section 409A of the Internal Revenue Code of 1986, as amended (the “Internal Revenue Code”)), or upon Employee’s disability prior to a Termination of Employment (as determined by the Committee and within the meaning of Section 409A of the Internal Revenue Code), Employee (or in the case of Employee’s death, Employee’s beneficiary) shall be entitled to receive the Performance Share Units and related Dividend Equivalents that Employee would have been entitled to under if Employee had remained employed throughout the Performance Period. Unless further deferred pursuant to Employee’s deferral election, the delivery of shares of Common Stock in satisfaction of such Performance Share Units shall be made as soon as administratively feasible after the end of the Performance Period.</w:t>
      </w:r>
    </w:p>
    <w:p>
      <w:pPr>
        <w:spacing w:after="0" w:line="118" w:lineRule="exact"/>
        <w:rPr>
          <w:rFonts w:ascii="Arial" w:cs="Arial" w:eastAsia="Arial" w:hAnsi="Arial"/>
          <w:sz w:val="16"/>
          <w:szCs w:val="16"/>
          <w:color w:val="auto"/>
        </w:rPr>
      </w:pPr>
    </w:p>
    <w:p>
      <w:pPr>
        <w:ind w:left="-80" w:firstLine="464"/>
        <w:spacing w:after="0" w:line="253" w:lineRule="auto"/>
        <w:tabs>
          <w:tab w:leader="none" w:pos="55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Involuntary Termination of Employment Without Cause by the Company or Retirement by Employee</w:t>
      </w:r>
      <w:r>
        <w:rPr>
          <w:rFonts w:ascii="Arial" w:cs="Arial" w:eastAsia="Arial" w:hAnsi="Arial"/>
          <w:sz w:val="18"/>
          <w:szCs w:val="18"/>
          <w:color w:val="auto"/>
        </w:rPr>
        <w:t>. Upon either an involuntary Termination of Employment from the Company without Cause by the Company or a qualifying Retirement by Employee, Employee shall be entitled to receive the Performance Share Units and related Dividend Equivalents that Employee would have been entitled to if Employee had remained employed throughout the Performance Period, multiplied by the fraction which has as its numerator the total number of days that Employee was employed by the Company during the Performance Period and has as its denominator 1,096 (being the number of calendar days in the Performance Period). Unless further deferred pursuant to Employee’s deferral election, the delivery of shares of Common Stock in satisfaction of such Performance Share Units shall be made as soon as administratively feasible after the end of the Performance Period.</w:t>
      </w:r>
    </w:p>
    <w:p>
      <w:pPr>
        <w:spacing w:after="0" w:line="147" w:lineRule="exact"/>
        <w:rPr>
          <w:rFonts w:ascii="Arial" w:cs="Arial" w:eastAsia="Arial" w:hAnsi="Arial"/>
          <w:sz w:val="18"/>
          <w:szCs w:val="18"/>
          <w:color w:val="auto"/>
        </w:rPr>
      </w:pPr>
    </w:p>
    <w:p>
      <w:pPr>
        <w:ind w:left="-80" w:right="320" w:firstLine="464"/>
        <w:spacing w:after="0" w:line="259" w:lineRule="auto"/>
        <w:tabs>
          <w:tab w:leader="none" w:pos="55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for Any Other Reason.</w:t>
      </w:r>
      <w:r>
        <w:rPr>
          <w:rFonts w:ascii="Arial" w:cs="Arial" w:eastAsia="Arial" w:hAnsi="Arial"/>
          <w:sz w:val="18"/>
          <w:szCs w:val="18"/>
          <w:color w:val="auto"/>
        </w:rPr>
        <w:t xml:space="preserve"> Except as provided in Sections 5 and 6, Employee must be an employee of the Company continuously from the date of this Award throughout the entire Performance Period to be entitled to receive any shares of Common Stock with respect to any Performance Share Units that Employee may earn hereunder.</w:t>
      </w:r>
    </w:p>
    <w:p>
      <w:pPr>
        <w:spacing w:after="0" w:line="140" w:lineRule="exact"/>
        <w:rPr>
          <w:rFonts w:ascii="Arial" w:cs="Arial" w:eastAsia="Arial" w:hAnsi="Arial"/>
          <w:sz w:val="18"/>
          <w:szCs w:val="18"/>
          <w:color w:val="auto"/>
        </w:rPr>
      </w:pPr>
    </w:p>
    <w:p>
      <w:pPr>
        <w:ind w:left="560" w:hanging="176"/>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Repayment of Benefits Arising from Misconduct.</w:t>
      </w:r>
    </w:p>
    <w:p>
      <w:pPr>
        <w:spacing w:after="0" w:line="90" w:lineRule="exact"/>
        <w:rPr>
          <w:rFonts w:ascii="Arial" w:cs="Arial" w:eastAsia="Arial" w:hAnsi="Arial"/>
          <w:sz w:val="18"/>
          <w:szCs w:val="18"/>
          <w:color w:val="auto"/>
        </w:rPr>
      </w:pPr>
    </w:p>
    <w:p>
      <w:pPr>
        <w:jc w:val="both"/>
        <w:ind w:left="380" w:firstLine="443"/>
        <w:spacing w:after="0" w:line="259" w:lineRule="auto"/>
        <w:tabs>
          <w:tab w:leader="none" w:pos="1057"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Notwithstanding any other term of this Agreement to the contrary, in order to be eligible to vest in any portion of the Award, Employee must also have entered into an agreement containing restrictive covenants concerning limitations on Employee’s behavior following termination of employment that is satisfactory to the Company and its affiliates.</w:t>
      </w:r>
    </w:p>
    <w:p>
      <w:pPr>
        <w:spacing w:after="0" w:line="140" w:lineRule="exact"/>
        <w:rPr>
          <w:rFonts w:ascii="Arial" w:cs="Arial" w:eastAsia="Arial" w:hAnsi="Arial"/>
          <w:sz w:val="18"/>
          <w:szCs w:val="18"/>
          <w:color w:val="auto"/>
        </w:rPr>
      </w:pPr>
    </w:p>
    <w:p>
      <w:pPr>
        <w:ind w:left="380" w:right="500" w:firstLine="443"/>
        <w:spacing w:after="0" w:line="268" w:lineRule="auto"/>
        <w:tabs>
          <w:tab w:leader="none" w:pos="1067"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Notwithstanding any provision of this Agreement to the contrary, if it is determined by the Committee that Employee either engaged in or benefited from Misconduct, as defined below, then, to the extent permitted by law,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320" w:top="280" w:right="319" w:bottom="1440" w:gutter="0" w:footer="0" w:header="0"/>
        </w:sectPr>
      </w:pPr>
    </w:p>
    <w:bookmarkStart w:id="23" w:name="page24"/>
    <w:bookmarkEnd w:id="23"/>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 will refund to the Company any amounts, plus interest, received by Employee under this Agreement. For purposes of this Section, “Misconduct” means (i) any act or failure to act by any employee of the Company that (ii) caused or was intended to cause a violation of the Company’s policies, generally accepted accounting principles or any applicable laws in effect at the time of the act(s) or failure(s) to act in question and that (iii) materially increased the value of the payment or award received by Employee under this Agreement. Determination as to the existence of Misconduct shall be made by an independent third party (either a law firm or an accounting firm) appointed by the Committee.</w:t>
      </w:r>
    </w:p>
    <w:p>
      <w:pPr>
        <w:spacing w:after="0" w:line="116" w:lineRule="exact"/>
        <w:rPr>
          <w:sz w:val="20"/>
          <w:szCs w:val="20"/>
          <w:color w:val="auto"/>
        </w:rPr>
      </w:pPr>
    </w:p>
    <w:p>
      <w:pPr>
        <w:ind w:right="40" w:firstLine="443"/>
        <w:spacing w:after="0" w:line="289" w:lineRule="auto"/>
        <w:tabs>
          <w:tab w:leader="none" w:pos="677"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Following finding of Misconduct by such a third party, if Employee has been accused engaging in Misconduct may dispute the occurrence of Misconduct pursuant to binding arbitration. Individuals determined to have benefited from, but not engaged in, Misconduct will have no right to challenge the finding of Misconduct through arbitration. The Company and Employee hereby agree that any dispute arising out of or relating to a finding that Employee engaged in Misconduct shall be settled exclusively by final and binding arbitration, as governed by the Federal Arbitration Act (9 U.S.C. 1 </w:t>
      </w:r>
      <w:r>
        <w:rPr>
          <w:rFonts w:ascii="Arial" w:cs="Arial" w:eastAsia="Arial" w:hAnsi="Arial"/>
          <w:sz w:val="16"/>
          <w:szCs w:val="16"/>
          <w:i w:val="1"/>
          <w:iCs w:val="1"/>
          <w:color w:val="auto"/>
        </w:rPr>
        <w:t>et</w:t>
      </w:r>
      <w:r>
        <w:rPr>
          <w:rFonts w:ascii="Arial" w:cs="Arial" w:eastAsia="Arial" w:hAnsi="Arial"/>
          <w:sz w:val="16"/>
          <w:szCs w:val="16"/>
          <w:color w:val="auto"/>
        </w:rPr>
        <w:t xml:space="preserve"> </w:t>
      </w:r>
      <w:r>
        <w:rPr>
          <w:rFonts w:ascii="Arial" w:cs="Arial" w:eastAsia="Arial" w:hAnsi="Arial"/>
          <w:sz w:val="16"/>
          <w:szCs w:val="16"/>
          <w:i w:val="1"/>
          <w:iCs w:val="1"/>
          <w:color w:val="auto"/>
        </w:rPr>
        <w:t>seq</w:t>
      </w:r>
      <w:r>
        <w:rPr>
          <w:rFonts w:ascii="Arial" w:cs="Arial" w:eastAsia="Arial" w:hAnsi="Arial"/>
          <w:sz w:val="16"/>
          <w:szCs w:val="16"/>
          <w:color w:val="auto"/>
        </w:rPr>
        <w:t>.). The arbitration proceeding, including the rendering of an award, shall be administered by JAMS pursuant to its Employment Arbitration Rules and</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Procedures, which may be found on the JAMS web site www.jamsadr.com. All expenses associated with the arbitration shall be borne by Company. Such arbitration expenses will not include attorney fees incurred by the respective parties. The award of the arbitrator shall be final and binding upon the parties. Judgment on any arbitration award may be entered in any court having jurisdiction.</w:t>
      </w:r>
    </w:p>
    <w:p>
      <w:pPr>
        <w:spacing w:after="0" w:line="118" w:lineRule="exact"/>
        <w:rPr>
          <w:rFonts w:ascii="Arial" w:cs="Arial" w:eastAsia="Arial" w:hAnsi="Arial"/>
          <w:sz w:val="16"/>
          <w:szCs w:val="16"/>
          <w:color w:val="auto"/>
        </w:rPr>
      </w:pPr>
    </w:p>
    <w:p>
      <w:pPr>
        <w:ind w:right="200" w:firstLine="443"/>
        <w:spacing w:after="0" w:line="268" w:lineRule="auto"/>
        <w:tabs>
          <w:tab w:leader="none" w:pos="687"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Company must initiate any attempt at recovery pursuant to this Section within the earlier to occur of (i) one year after discovery of alleged Misconduct or (ii) the second anniversary of Employee’s termination of employment.</w:t>
      </w:r>
    </w:p>
    <w:p>
      <w:pPr>
        <w:spacing w:after="0" w:line="131" w:lineRule="exact"/>
        <w:rPr>
          <w:rFonts w:ascii="Arial" w:cs="Arial" w:eastAsia="Arial" w:hAnsi="Arial"/>
          <w:sz w:val="18"/>
          <w:szCs w:val="18"/>
          <w:color w:val="auto"/>
        </w:rPr>
      </w:pPr>
    </w:p>
    <w:p>
      <w:pPr>
        <w:ind w:right="100" w:firstLine="443"/>
        <w:spacing w:after="0" w:line="268" w:lineRule="auto"/>
        <w:tabs>
          <w:tab w:leader="none" w:pos="677"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provisions of this Section 8, without implication as to any other section hereof, shall survive the expiration or termination of this Agreement and of Employee’s employment.</w:t>
      </w:r>
    </w:p>
    <w:p>
      <w:pPr>
        <w:spacing w:after="0" w:line="131" w:lineRule="exact"/>
        <w:rPr>
          <w:rFonts w:ascii="Arial" w:cs="Arial" w:eastAsia="Arial" w:hAnsi="Arial"/>
          <w:sz w:val="18"/>
          <w:szCs w:val="18"/>
          <w:color w:val="auto"/>
        </w:rPr>
      </w:pPr>
    </w:p>
    <w:p>
      <w:pPr>
        <w:ind w:left="180" w:hanging="176"/>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Acceleration upon Change in Control.</w:t>
      </w:r>
    </w:p>
    <w:p>
      <w:pPr>
        <w:spacing w:after="0" w:line="90" w:lineRule="exact"/>
        <w:rPr>
          <w:rFonts w:ascii="Arial" w:cs="Arial" w:eastAsia="Arial" w:hAnsi="Arial"/>
          <w:sz w:val="18"/>
          <w:szCs w:val="18"/>
          <w:color w:val="auto"/>
        </w:rPr>
      </w:pPr>
    </w:p>
    <w:p>
      <w:pPr>
        <w:ind w:right="120" w:firstLine="443"/>
        <w:spacing w:after="0" w:line="268" w:lineRule="auto"/>
        <w:tabs>
          <w:tab w:leader="none" w:pos="677"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Notwithstanding anything to the contrary, if there is a Change in Control of Waste Management, Inc. prior to the end of the Performance Period, Employee will be entitled to immediately receive both (i) and (ii), as follows:</w:t>
      </w:r>
    </w:p>
    <w:p>
      <w:pPr>
        <w:spacing w:after="0" w:line="50" w:lineRule="exact"/>
        <w:rPr>
          <w:rFonts w:ascii="Arial" w:cs="Arial" w:eastAsia="Arial" w:hAnsi="Arial"/>
          <w:sz w:val="18"/>
          <w:szCs w:val="18"/>
          <w:color w:val="auto"/>
        </w:rPr>
      </w:pPr>
    </w:p>
    <w:p>
      <w:pPr>
        <w:ind w:left="460" w:right="60" w:firstLine="421"/>
        <w:spacing w:after="0" w:line="256" w:lineRule="auto"/>
        <w:tabs>
          <w:tab w:leader="none" w:pos="1089"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result of the equation with a numerator of: (x) the number of Performance Share Units that Employee would have otherwise received based upon achievement of Relative TSR of the Company after reducing the Performance Period so that it ends on the last trading day that immediately precedes the Change in Control (the “Early Measurement Date”), multiplied by (y) number of days occurring between the beginning of the Performance</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24" w:name="page25"/>
    <w:bookmarkEnd w:id="24"/>
    <w:p>
      <w:pPr>
        <w:ind w:right="5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Period and the Early Measurement Date, and; a denominator of 1,096, being the total number of days in the original Performance Period. The resulting value shall be converted into a cash payment equivalent to the number of Performance Share Units earned under such a calculation multiplied by the closing price of the Common Stock on the Early Measurement Date; and</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(ii) as a substitute award for the lost opportunity to earn Performance Share Units for the entire length of the original Performance Period:</w:t>
      </w:r>
    </w:p>
    <w:p>
      <w:pPr>
        <w:spacing w:after="0" w:line="194" w:lineRule="exact"/>
        <w:rPr>
          <w:sz w:val="20"/>
          <w:szCs w:val="20"/>
          <w:color w:val="auto"/>
        </w:rPr>
      </w:pPr>
    </w:p>
    <w:p>
      <w:pPr>
        <w:jc w:val="both"/>
        <w:ind w:firstLine="421"/>
        <w:spacing w:after="0" w:line="259" w:lineRule="auto"/>
        <w:tabs>
          <w:tab w:leader="none" w:pos="707"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successor entity was a publicly traded company as of the Early Measurement Date, an award of restricted stock units in the successor entity equal to the number of shares of common stock of the successor entity that could have been purchased on the Early Measurement Date with an amount of cash equal to the quotient obtained from the following equation:</w:t>
      </w:r>
    </w:p>
    <w:p>
      <w:pPr>
        <w:spacing w:after="0" w:line="134"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u w:val="single" w:color="auto"/>
          <w:color w:val="auto"/>
        </w:rPr>
        <w:t>TAP x (1096 - EMD) x CP</w:t>
      </w:r>
    </w:p>
    <w:p>
      <w:pPr>
        <w:spacing w:after="0" w:line="21"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1096</w:t>
      </w:r>
    </w:p>
    <w:p>
      <w:pPr>
        <w:spacing w:after="0" w:line="165" w:lineRule="exact"/>
        <w:rPr>
          <w:sz w:val="20"/>
          <w:szCs w:val="20"/>
          <w:color w:val="auto"/>
        </w:rPr>
      </w:pPr>
    </w:p>
    <w:p>
      <w:pPr>
        <w:ind w:right="320"/>
        <w:spacing w:after="0" w:line="344" w:lineRule="auto"/>
        <w:rPr>
          <w:sz w:val="20"/>
          <w:szCs w:val="20"/>
          <w:color w:val="auto"/>
        </w:rPr>
      </w:pPr>
      <w:r>
        <w:rPr>
          <w:rFonts w:ascii="Arial" w:cs="Arial" w:eastAsia="Arial" w:hAnsi="Arial"/>
          <w:sz w:val="18"/>
          <w:szCs w:val="18"/>
          <w:color w:val="auto"/>
        </w:rPr>
        <w:t>TAP = the number of Performance Share Units that could be earned for achievement of the original Target Performance specified in Section 3(a) EMD = the number of days occurring from the Grant Date to the Early Measurement Date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CP = the closing price of a share of Common Stock of Waste Management, Inc. on the Early Measurement Date</w:t>
      </w:r>
    </w:p>
    <w:p>
      <w:pPr>
        <w:spacing w:after="0" w:line="90"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Any stock units in the successor entity awarded under this Section 9(a)(ii)(A) will vest completely on or before December 31, 2014, provided that Employee remain continuously employed with the successor entity until such date. The foregoing notwithstanding, if there is an involuntary Termination of Employee for reason other than Cause during the Window Period, Employee will become immediately vested in full in the stock units in the successor entity awarded pursuant to this Section 9(a)(ii)(A).</w:t>
      </w:r>
    </w:p>
    <w:p>
      <w:pPr>
        <w:spacing w:after="0" w:line="32" w:lineRule="exact"/>
        <w:rPr>
          <w:sz w:val="20"/>
          <w:szCs w:val="20"/>
          <w:color w:val="auto"/>
        </w:rPr>
      </w:pPr>
    </w:p>
    <w:p>
      <w:pPr>
        <w:ind w:right="280" w:firstLine="421"/>
        <w:spacing w:after="0" w:line="268" w:lineRule="auto"/>
        <w:tabs>
          <w:tab w:leader="none" w:pos="698"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successor entity was not a publicly traded company as of the Early Measurement Date, a cash payment equal to quotient obtained from the following equation:</w:t>
      </w:r>
    </w:p>
    <w:p>
      <w:pPr>
        <w:spacing w:after="0" w:line="126"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u w:val="single" w:color="auto"/>
          <w:color w:val="auto"/>
        </w:rPr>
        <w:t>TAP x (1096 - EMD) x CP</w:t>
      </w:r>
    </w:p>
    <w:p>
      <w:pPr>
        <w:spacing w:after="0" w:line="21"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1096</w:t>
      </w:r>
    </w:p>
    <w:p>
      <w:pPr>
        <w:spacing w:after="0" w:line="165" w:lineRule="exact"/>
        <w:rPr>
          <w:sz w:val="20"/>
          <w:szCs w:val="20"/>
          <w:color w:val="auto"/>
        </w:rPr>
      </w:pPr>
    </w:p>
    <w:p>
      <w:pPr>
        <w:ind w:right="320"/>
        <w:spacing w:after="0" w:line="362" w:lineRule="auto"/>
        <w:rPr>
          <w:sz w:val="20"/>
          <w:szCs w:val="20"/>
          <w:color w:val="auto"/>
        </w:rPr>
      </w:pPr>
      <w:r>
        <w:rPr>
          <w:rFonts w:ascii="Arial" w:cs="Arial" w:eastAsia="Arial" w:hAnsi="Arial"/>
          <w:sz w:val="18"/>
          <w:szCs w:val="18"/>
          <w:color w:val="auto"/>
        </w:rPr>
        <w:t>TAP = the number of Performance Share Units that could be earned for achievement of the original Target Performance specified in Section 3(a) EMD = the number of days occurring from the Grant Date to the Early Measurement Date</w:t>
      </w:r>
    </w:p>
    <w:p>
      <w:pPr>
        <w:spacing w:after="0" w:line="3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80"/>
          </w:cols>
          <w:pgMar w:left="1160" w:top="280" w:right="259" w:bottom="1440" w:gutter="0" w:footer="0" w:header="0"/>
        </w:sectPr>
      </w:pPr>
    </w:p>
    <w:bookmarkStart w:id="25" w:name="page26"/>
    <w:bookmarkEnd w:id="25"/>
    <w:p>
      <w:pPr>
        <w:ind w:left="9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CP = the closing price of a share of Common Stock of Waste Management, Inc. on the Early Measurement Date</w:t>
      </w:r>
    </w:p>
    <w:p>
      <w:pPr>
        <w:spacing w:after="0" w:line="90" w:lineRule="exact"/>
        <w:rPr>
          <w:sz w:val="20"/>
          <w:szCs w:val="20"/>
          <w:color w:val="auto"/>
        </w:rPr>
      </w:pPr>
    </w:p>
    <w:p>
      <w:pPr>
        <w:ind w:left="912" w:right="40"/>
        <w:spacing w:after="0" w:line="256" w:lineRule="auto"/>
        <w:rPr>
          <w:sz w:val="20"/>
          <w:szCs w:val="20"/>
          <w:color w:val="auto"/>
        </w:rPr>
      </w:pPr>
      <w:r>
        <w:rPr>
          <w:rFonts w:ascii="Arial" w:cs="Arial" w:eastAsia="Arial" w:hAnsi="Arial"/>
          <w:sz w:val="18"/>
          <w:szCs w:val="18"/>
          <w:color w:val="auto"/>
        </w:rPr>
        <w:t>Any cash payment calculated under this Section 9(a)(ii)(B) will be paid to Employee on December 31, 2014, provided that Employee remain continuously employed with the successor entity until such date. The foregoing notwithstanding, if there is an involuntary Termination of Employee for reason other than Cause during the Window Period, Employee will be paid by the successor entity the amount determined pursuant to this Section 9(a)(ii)(B).</w:t>
      </w:r>
    </w:p>
    <w:p>
      <w:pPr>
        <w:spacing w:after="0" w:line="143" w:lineRule="exact"/>
        <w:rPr>
          <w:sz w:val="20"/>
          <w:szCs w:val="20"/>
          <w:color w:val="auto"/>
        </w:rPr>
      </w:pPr>
    </w:p>
    <w:p>
      <w:pPr>
        <w:ind w:left="452" w:right="600" w:firstLine="443"/>
        <w:spacing w:after="0" w:line="332" w:lineRule="auto"/>
        <w:tabs>
          <w:tab w:leader="none" w:pos="1139" w:val="left"/>
        </w:tabs>
        <w:numPr>
          <w:ilvl w:val="2"/>
          <w:numId w:val="38"/>
        </w:numPr>
        <w:rPr>
          <w:rFonts w:ascii="Arial" w:cs="Arial" w:eastAsia="Arial" w:hAnsi="Arial"/>
          <w:sz w:val="16"/>
          <w:szCs w:val="16"/>
          <w:color w:val="auto"/>
        </w:rPr>
      </w:pPr>
      <w:r>
        <w:rPr>
          <w:rFonts w:ascii="Arial" w:cs="Arial" w:eastAsia="Arial" w:hAnsi="Arial"/>
          <w:sz w:val="16"/>
          <w:szCs w:val="16"/>
          <w:color w:val="auto"/>
        </w:rPr>
        <w:t>Employee further agrees that, in consideration for the this Award, the equations detailed above in Section 9(a) shall be substituted for the corollary provisions in each prior award of performance share units previously granted to Employee by the Company.</w:t>
      </w:r>
    </w:p>
    <w:p>
      <w:pPr>
        <w:spacing w:after="0" w:line="85" w:lineRule="exact"/>
        <w:rPr>
          <w:rFonts w:ascii="Arial" w:cs="Arial" w:eastAsia="Arial" w:hAnsi="Arial"/>
          <w:sz w:val="16"/>
          <w:szCs w:val="16"/>
          <w:color w:val="auto"/>
        </w:rPr>
      </w:pPr>
    </w:p>
    <w:p>
      <w:pPr>
        <w:ind w:left="-8" w:right="40" w:firstLine="464"/>
        <w:spacing w:after="0" w:line="256" w:lineRule="auto"/>
        <w:tabs>
          <w:tab w:leader="none" w:pos="712"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Forfeiture of Award.</w:t>
      </w:r>
      <w:r>
        <w:rPr>
          <w:rFonts w:ascii="Arial" w:cs="Arial" w:eastAsia="Arial" w:hAnsi="Arial"/>
          <w:sz w:val="18"/>
          <w:szCs w:val="18"/>
          <w:color w:val="auto"/>
        </w:rPr>
        <w:t xml:space="preserve"> Upon Termination of Employment from the Company for any reason other than death, retirement, disability, involuntary termination by the Company without Cause, or Change in Control, Employee shall immediately forfeit the Award, without the payment of any consideration or further consideration by the Company. Upon forfeiture, neither Employee nor any successors, heirs, assigns, or legal representatives of Employee shall thereafter have any further rights or interest in the unvested portion of the Award.</w:t>
      </w:r>
    </w:p>
    <w:p>
      <w:pPr>
        <w:spacing w:after="0" w:line="143" w:lineRule="exact"/>
        <w:rPr>
          <w:rFonts w:ascii="Arial" w:cs="Arial" w:eastAsia="Arial" w:hAnsi="Arial"/>
          <w:sz w:val="18"/>
          <w:szCs w:val="18"/>
          <w:color w:val="auto"/>
        </w:rPr>
      </w:pPr>
    </w:p>
    <w:p>
      <w:pPr>
        <w:ind w:left="712" w:hanging="256"/>
        <w:spacing w:after="0"/>
        <w:tabs>
          <w:tab w:leader="none" w:pos="712"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No Dividend Equivalents will be paid on the Performance Share Units until such time as: (i) the Performance Period has ended;</w:t>
      </w:r>
    </w:p>
    <w:p>
      <w:pPr>
        <w:spacing w:after="0" w:line="38" w:lineRule="exact"/>
        <w:rPr>
          <w:rFonts w:ascii="Arial" w:cs="Arial" w:eastAsia="Arial" w:hAnsi="Arial"/>
          <w:sz w:val="16"/>
          <w:szCs w:val="16"/>
          <w:color w:val="auto"/>
        </w:rPr>
      </w:pPr>
    </w:p>
    <w:p>
      <w:pPr>
        <w:ind w:left="-8" w:firstLine="8"/>
        <w:spacing w:after="0" w:line="287" w:lineRule="auto"/>
        <w:tabs>
          <w:tab w:leader="none" w:pos="25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Employee has vested in the Award, and; (iii) the number of Performance Share Units earned under this Award has been certified by the Committee based on the actual performance of the Company during the Performance Period. Reasonably promptly after all such events have occurred, the Company will pay Employee a lump-sum cash amount in payment of Dividend Equivalents based on the number of Performance Share Units earned under the Award multiplied by the per share quarterly dividend payments made to shareholders of Company’s Common Stock during the Performance Period (without any interest or compounding). Notwithstanding the foregoing, any accumulated and unpaid Dividend Equivalents attributable to Performance Share Units that are cancelled or forfeited will not be paid and are immediately forfeited upon cancellation of the Performance Share Units. Following the end of the Performance Period, Dividend Equivalents will also be paid on vested Performance Share Units for which a valid deferral election has been made pursuant to Section 12. With respect to validly deferred and vested Performance Share Units, the Company will pay Dividend Equivalents in cash at such times as dividends are paid on the Company’s outstanding shares of Common Stock.</w:t>
      </w:r>
    </w:p>
    <w:p>
      <w:pPr>
        <w:spacing w:after="0" w:line="10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52"/>
          </w:cols>
          <w:pgMar w:left="248" w:top="280" w:right="299" w:bottom="1440" w:gutter="0" w:footer="0" w:header="0"/>
        </w:sectPr>
      </w:pPr>
    </w:p>
    <w:bookmarkStart w:id="26" w:name="page27"/>
    <w:bookmarkEnd w:id="26"/>
    <w:p>
      <w:pPr>
        <w:ind w:left="260" w:hanging="256"/>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Elective Deferrals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60" w:firstLine="443"/>
        <w:spacing w:after="0" w:line="289" w:lineRule="auto"/>
        <w:tabs>
          <w:tab w:leader="none" w:pos="677"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Committee may establish procedures pursuant to which Employee may elect to defer, until a time or times later than the vesting of a Performance Share Unit, receipt of all or a portion of the shares of Common Stock deliverable in respect of a Performance Share Unit, all on such terms and conditions as the Committee (or its designee) shall determine in its sole discretion. If any such deferrals are permitted for Employee, then notwithstanding any provision of this Agreement or the Plan to the contrary, an Employee who elects such deferral shall not have any rights as a stockholder with respect to any such deferred shares of Common Stock unless and until the date the deferral expires and certificates representing such shares are required to be delivered to Employee. The foregoing notwithstanding, no deferrals of Dividend Equivalents related to any Performance Share Units under this Award will be permitted. Moreover, the Committee further retains the authority and discretion to modify and/or terminate existing deferral elections, procedures and distribution options.</w:t>
      </w:r>
    </w:p>
    <w:p>
      <w:pPr>
        <w:spacing w:after="0" w:line="118" w:lineRule="exact"/>
        <w:rPr>
          <w:rFonts w:ascii="Arial" w:cs="Arial" w:eastAsia="Arial" w:hAnsi="Arial"/>
          <w:sz w:val="16"/>
          <w:szCs w:val="16"/>
          <w:color w:val="auto"/>
        </w:rPr>
      </w:pPr>
    </w:p>
    <w:p>
      <w:pPr>
        <w:ind w:right="40" w:firstLine="443"/>
        <w:spacing w:after="0" w:line="291" w:lineRule="auto"/>
        <w:tabs>
          <w:tab w:leader="none" w:pos="687" w:val="left"/>
        </w:tabs>
        <w:numPr>
          <w:ilvl w:val="1"/>
          <w:numId w:val="41"/>
        </w:numPr>
        <w:rPr>
          <w:rFonts w:ascii="Arial" w:cs="Arial" w:eastAsia="Arial" w:hAnsi="Arial"/>
          <w:sz w:val="16"/>
          <w:szCs w:val="16"/>
          <w:color w:val="auto"/>
        </w:rPr>
      </w:pPr>
      <w:r>
        <w:rPr>
          <w:rFonts w:ascii="Arial" w:cs="Arial" w:eastAsia="Arial" w:hAnsi="Arial"/>
          <w:sz w:val="16"/>
          <w:szCs w:val="16"/>
          <w:color w:val="auto"/>
        </w:rPr>
        <w:t>Notwithstanding any provision to the contrary in this Agreement, if deferral of Performance Share Units is permitted, each provision of this Agreement shall be interpreted to permit the deferral of compensation only as allowed in compliance with the requirements of Section 409A of the Internal Revenue Code and any provision that would conflict with such requirements shall not be valid or enforceable. Employee acknowledges, without limitation, and consents that application of Section 409A of the Internal Revenue Code to this Agreement may require additional delay of payments otherwise payable under this Agreement. Employee and the Company further hereby agree to execute such further instruments and take such further action as reasonably may be necessary to comply with Section 409A of the Internal Revenue Code.</w:t>
      </w:r>
    </w:p>
    <w:p>
      <w:pPr>
        <w:spacing w:after="0" w:line="120" w:lineRule="exact"/>
        <w:rPr>
          <w:rFonts w:ascii="Arial" w:cs="Arial" w:eastAsia="Arial" w:hAnsi="Arial"/>
          <w:sz w:val="16"/>
          <w:szCs w:val="16"/>
          <w:color w:val="auto"/>
        </w:rPr>
      </w:pPr>
    </w:p>
    <w:p>
      <w:pPr>
        <w:ind w:left="260" w:hanging="256"/>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p>
    <w:p>
      <w:pPr>
        <w:spacing w:after="0" w:line="90" w:lineRule="exact"/>
        <w:rPr>
          <w:rFonts w:ascii="Arial" w:cs="Arial" w:eastAsia="Arial" w:hAnsi="Arial"/>
          <w:sz w:val="18"/>
          <w:szCs w:val="18"/>
          <w:color w:val="auto"/>
        </w:rPr>
      </w:pPr>
    </w:p>
    <w:p>
      <w:pPr>
        <w:ind w:right="400" w:firstLine="443"/>
        <w:spacing w:after="0" w:line="306" w:lineRule="auto"/>
        <w:tabs>
          <w:tab w:leader="none" w:pos="677" w:val="left"/>
        </w:tabs>
        <w:numPr>
          <w:ilvl w:val="1"/>
          <w:numId w:val="41"/>
        </w:numPr>
        <w:rPr>
          <w:rFonts w:ascii="Arial" w:cs="Arial" w:eastAsia="Arial" w:hAnsi="Arial"/>
          <w:sz w:val="16"/>
          <w:szCs w:val="16"/>
          <w:color w:val="auto"/>
        </w:rPr>
      </w:pPr>
      <w:r>
        <w:rPr>
          <w:rFonts w:ascii="Arial" w:cs="Arial" w:eastAsia="Arial" w:hAnsi="Arial"/>
          <w:sz w:val="16"/>
          <w:szCs w:val="16"/>
          <w:color w:val="auto"/>
        </w:rPr>
        <w:t>Absent prior written consent of the Committee, the Award granted hereunder to Employee may not be sold, assigned, transferred, pledged or otherwise encumbered, whether voluntarily or involuntarily, by operation of law or otherwise; provided, however, that the transfer of any shares of Common Stock with respect to the Performance Share Units earned hereunder shall not be restricted by virtue of this Agreement.</w:t>
      </w:r>
    </w:p>
    <w:p>
      <w:pPr>
        <w:spacing w:after="0" w:line="106" w:lineRule="exact"/>
        <w:rPr>
          <w:rFonts w:ascii="Arial" w:cs="Arial" w:eastAsia="Arial" w:hAnsi="Arial"/>
          <w:sz w:val="16"/>
          <w:szCs w:val="16"/>
          <w:color w:val="auto"/>
        </w:rPr>
      </w:pPr>
    </w:p>
    <w:p>
      <w:pPr>
        <w:ind w:firstLine="443"/>
        <w:spacing w:after="0" w:line="255" w:lineRule="auto"/>
        <w:tabs>
          <w:tab w:leader="none" w:pos="687"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Consistent with the foregoing, except as contemplated by Section 14,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hereunder shall attempt to transfer,</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27" w:name="page28"/>
    <w:bookmarkEnd w:id="27"/>
    <w:p>
      <w:pPr>
        <w:ind w:left="40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anticipate, alienate, assign, sell, pledge, encumber or charge any right or benefit hereunder, other than as contemplated by Section 14, or if any creditor shall attempt to subject the same to a writ of garnishment, attachment, execution sequestration, or any other form of process or involuntary lien or seizure, then such attempt shall have no effect and shall be void.</w:t>
      </w:r>
    </w:p>
    <w:p>
      <w:pPr>
        <w:spacing w:after="0" w:line="140" w:lineRule="exact"/>
        <w:rPr>
          <w:sz w:val="20"/>
          <w:szCs w:val="20"/>
          <w:color w:val="auto"/>
        </w:rPr>
      </w:pPr>
    </w:p>
    <w:p>
      <w:pPr>
        <w:ind w:left="-60" w:firstLine="464"/>
        <w:spacing w:after="0" w:line="290"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Assignment and Transfers.</w:t>
      </w:r>
      <w:r>
        <w:rPr>
          <w:rFonts w:ascii="Arial" w:cs="Arial" w:eastAsia="Arial" w:hAnsi="Arial"/>
          <w:sz w:val="16"/>
          <w:szCs w:val="16"/>
          <w:color w:val="auto"/>
        </w:rPr>
        <w:t xml:space="preserve"> Prior to the end of the Performance Period and the delivery of the Common Stock with respect to any Performance Share Units earned, the Award is not transferable (either voluntarily or involuntarily), other than pursuant to a domestic relations order. Employee may designate a beneficiary or beneficiaries (the “Beneficiary”) to whom the Performance Share Units will pass upon Employee’s death and may change such designation from time to time by filing a written designation of beneficiary on such form as may be prescribed by the Company, provided that no such designation shall be effective until filed with the Company. Following Employee’s death, the Performance Share Units will pass to the designated Beneficiary and such person will be deemed Employee for purposes of any applicable provisions of this Agreement. If no such designation is made or if the designated Beneficiary does not survive Employee’s death, the Performance Share Units shall pass by will or, if none, then by the laws of descent and distribution.</w:t>
      </w:r>
    </w:p>
    <w:p>
      <w:pPr>
        <w:spacing w:after="0" w:line="118" w:lineRule="exact"/>
        <w:rPr>
          <w:rFonts w:ascii="Arial" w:cs="Arial" w:eastAsia="Arial" w:hAnsi="Arial"/>
          <w:sz w:val="16"/>
          <w:szCs w:val="16"/>
          <w:color w:val="auto"/>
        </w:rPr>
      </w:pPr>
    </w:p>
    <w:p>
      <w:pPr>
        <w:jc w:val="both"/>
        <w:ind w:left="-60" w:right="160" w:firstLine="464"/>
        <w:spacing w:after="0" w:line="294"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Withholding Tax.</w:t>
      </w:r>
      <w:r>
        <w:rPr>
          <w:rFonts w:ascii="Arial" w:cs="Arial" w:eastAsia="Arial" w:hAnsi="Arial"/>
          <w:sz w:val="16"/>
          <w:szCs w:val="16"/>
          <w:color w:val="auto"/>
        </w:rPr>
        <w:t xml:space="preserve"> To the extent that the receipt of this Award, vesting, or the delivery of the Common Stock with respect to any Performance Share Units earned results in a taxable event to Employee for federal or state tax purposes, Employee shall deliver to the Company at the time of such receipt, such amount of money or shares of Common Stock earned or owned by Employee, at Employee’s election, as the Company may require to meet its obligation under applicable tax laws or regulations, and, if Employee fails to do so, the Company is authorized to withhold from any cash or other form of remuneration then or thereafter payable to Employee any tax required to be withheld by reasons of such resulting taxation.</w:t>
      </w:r>
    </w:p>
    <w:p>
      <w:pPr>
        <w:spacing w:after="0" w:line="115" w:lineRule="exact"/>
        <w:rPr>
          <w:rFonts w:ascii="Arial" w:cs="Arial" w:eastAsia="Arial" w:hAnsi="Arial"/>
          <w:sz w:val="16"/>
          <w:szCs w:val="16"/>
          <w:color w:val="auto"/>
        </w:rPr>
      </w:pPr>
    </w:p>
    <w:p>
      <w:pPr>
        <w:ind w:left="-60" w:right="80" w:firstLine="464"/>
        <w:spacing w:after="0" w:line="259"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Changes in Capital Structure.</w:t>
      </w:r>
      <w:r>
        <w:rPr>
          <w:rFonts w:ascii="Arial" w:cs="Arial" w:eastAsia="Arial" w:hAnsi="Arial"/>
          <w:sz w:val="18"/>
          <w:szCs w:val="18"/>
          <w:color w:val="auto"/>
        </w:rPr>
        <w:t xml:space="preserve"> If the outstanding shares of Common Stock or other securities of Waste Management, Inc., or both, shall at any time be changed or exchanged by declaration of a stock dividend, stock split, combination of shares, or recapitalization, the number of Performance Share Units shall be appropriately and equitably adjusted so as to maintain the proportionate number of shares.</w:t>
      </w:r>
    </w:p>
    <w:p>
      <w:pPr>
        <w:spacing w:after="0" w:line="140" w:lineRule="exact"/>
        <w:rPr>
          <w:rFonts w:ascii="Arial" w:cs="Arial" w:eastAsia="Arial" w:hAnsi="Arial"/>
          <w:sz w:val="18"/>
          <w:szCs w:val="18"/>
          <w:color w:val="auto"/>
        </w:rPr>
      </w:pPr>
    </w:p>
    <w:p>
      <w:pPr>
        <w:ind w:left="-60" w:firstLine="464"/>
        <w:spacing w:after="0" w:line="255"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Compliance with Securities Laws.</w:t>
      </w:r>
      <w:r>
        <w:rPr>
          <w:rFonts w:ascii="Arial" w:cs="Arial" w:eastAsia="Arial" w:hAnsi="Arial"/>
          <w:sz w:val="18"/>
          <w:szCs w:val="18"/>
          <w:color w:val="auto"/>
        </w:rPr>
        <w:t xml:space="preserve"> The Company will not be required to deliver any shares of Common Stock pursuant to this Agreement, if, in the opinion of counsel for the Company, such issuance would violate the Securities Act of 1933 or any other applicable federal or state securities laws or regulations. Prior to the issuance of any shares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42" w:lineRule="exact"/>
        <w:rPr>
          <w:rFonts w:ascii="Arial" w:cs="Arial" w:eastAsia="Arial" w:hAnsi="Arial"/>
          <w:sz w:val="18"/>
          <w:szCs w:val="18"/>
          <w:color w:val="auto"/>
        </w:rPr>
      </w:pPr>
    </w:p>
    <w:p>
      <w:pPr>
        <w:jc w:val="both"/>
        <w:ind w:left="-60" w:right="120" w:firstLine="464"/>
        <w:spacing w:after="0" w:line="259"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Employee to Have no Rights as a Stockholder.</w:t>
      </w:r>
      <w:r>
        <w:rPr>
          <w:rFonts w:ascii="Arial" w:cs="Arial" w:eastAsia="Arial" w:hAnsi="Arial"/>
          <w:sz w:val="18"/>
          <w:szCs w:val="18"/>
          <w:color w:val="auto"/>
        </w:rPr>
        <w:t xml:space="preserve"> Employee shall have no rights as a stockholder with respect to any shares of Common Stock related to this Award prior to the date on which Employee is recorded as the holder of such shares of Common Stock on the records of the Company, including no right to dividends declared on the Common Stock underlying the Award.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300" w:top="280" w:right="299" w:bottom="1440" w:gutter="0" w:footer="0" w:header="0"/>
        </w:sectPr>
      </w:pPr>
    </w:p>
    <w:bookmarkStart w:id="28" w:name="page29"/>
    <w:bookmarkEnd w:id="28"/>
    <w:p>
      <w:pPr>
        <w:ind w:left="700" w:hanging="25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Successors and Assigns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40" w:firstLine="443"/>
        <w:spacing w:after="0" w:line="259" w:lineRule="auto"/>
        <w:tabs>
          <w:tab w:leader="none" w:pos="1117"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This Agreement shall bind and inure to the benefit of and be enforceable by Employee, the Company and their respective permitted successors or assigns (including personal representatives, heirs and legatees), except that Employee may not assign any rights or obligations under this Agreement except to the extent, and in the manner, expressly permitted herein.</w:t>
      </w:r>
    </w:p>
    <w:p>
      <w:pPr>
        <w:spacing w:after="0" w:line="140" w:lineRule="exact"/>
        <w:rPr>
          <w:rFonts w:ascii="Arial" w:cs="Arial" w:eastAsia="Arial" w:hAnsi="Arial"/>
          <w:sz w:val="18"/>
          <w:szCs w:val="18"/>
          <w:color w:val="auto"/>
        </w:rPr>
      </w:pPr>
    </w:p>
    <w:p>
      <w:pPr>
        <w:ind w:left="440" w:firstLine="443"/>
        <w:spacing w:after="0" w:line="259" w:lineRule="auto"/>
        <w:tabs>
          <w:tab w:leader="none" w:pos="1127"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w:t>
      </w:r>
    </w:p>
    <w:p>
      <w:pPr>
        <w:spacing w:after="0" w:line="140" w:lineRule="exact"/>
        <w:rPr>
          <w:rFonts w:ascii="Arial" w:cs="Arial" w:eastAsia="Arial" w:hAnsi="Arial"/>
          <w:sz w:val="18"/>
          <w:szCs w:val="18"/>
          <w:color w:val="auto"/>
        </w:rPr>
      </w:pPr>
    </w:p>
    <w:p>
      <w:pPr>
        <w:ind w:left="700" w:hanging="25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Limitation of Rights</w:t>
      </w:r>
      <w:r>
        <w:rPr>
          <w:rFonts w:ascii="Arial" w:cs="Arial" w:eastAsia="Arial" w:hAnsi="Arial"/>
          <w:sz w:val="18"/>
          <w:szCs w:val="18"/>
          <w:color w:val="auto"/>
        </w:rPr>
        <w:t>. Nothing in this Agreement or the Plan may be construed to:</w:t>
      </w:r>
    </w:p>
    <w:p>
      <w:pPr>
        <w:spacing w:after="0" w:line="90" w:lineRule="exact"/>
        <w:rPr>
          <w:rFonts w:ascii="Arial" w:cs="Arial" w:eastAsia="Arial" w:hAnsi="Arial"/>
          <w:sz w:val="18"/>
          <w:szCs w:val="18"/>
          <w:color w:val="auto"/>
        </w:rPr>
      </w:pPr>
    </w:p>
    <w:p>
      <w:pPr>
        <w:ind w:left="440" w:right="420" w:firstLine="443"/>
        <w:spacing w:after="0" w:line="268" w:lineRule="auto"/>
        <w:tabs>
          <w:tab w:leader="none" w:pos="1117" w:val="left"/>
        </w:tabs>
        <w:numPr>
          <w:ilvl w:val="1"/>
          <w:numId w:val="43"/>
        </w:numPr>
        <w:rPr>
          <w:rFonts w:ascii="Arial" w:cs="Arial" w:eastAsia="Arial" w:hAnsi="Arial"/>
          <w:sz w:val="18"/>
          <w:szCs w:val="18"/>
          <w:color w:val="auto"/>
        </w:rPr>
      </w:pPr>
      <w:r>
        <w:rPr>
          <w:rFonts w:ascii="Arial" w:cs="Arial" w:eastAsia="Arial" w:hAnsi="Arial"/>
          <w:sz w:val="18"/>
          <w:szCs w:val="18"/>
          <w:color w:val="auto"/>
        </w:rPr>
        <w:t>give Employee any right to be awarded any further Performance Share Units (or other form of stock incentive awards) other than in the sole discretion of the Committee;</w:t>
      </w:r>
    </w:p>
    <w:p>
      <w:pPr>
        <w:spacing w:after="0" w:line="131" w:lineRule="exact"/>
        <w:rPr>
          <w:rFonts w:ascii="Arial" w:cs="Arial" w:eastAsia="Arial" w:hAnsi="Arial"/>
          <w:sz w:val="18"/>
          <w:szCs w:val="18"/>
          <w:color w:val="auto"/>
        </w:rPr>
      </w:pPr>
    </w:p>
    <w:p>
      <w:pPr>
        <w:ind w:left="440" w:right="660" w:firstLine="443"/>
        <w:spacing w:after="0" w:line="268" w:lineRule="auto"/>
        <w:tabs>
          <w:tab w:leader="none" w:pos="1127" w:val="left"/>
        </w:tabs>
        <w:numPr>
          <w:ilvl w:val="1"/>
          <w:numId w:val="43"/>
        </w:numPr>
        <w:rPr>
          <w:rFonts w:ascii="Arial" w:cs="Arial" w:eastAsia="Arial" w:hAnsi="Arial"/>
          <w:sz w:val="18"/>
          <w:szCs w:val="18"/>
          <w:color w:val="auto"/>
        </w:rPr>
      </w:pPr>
      <w:r>
        <w:rPr>
          <w:rFonts w:ascii="Arial" w:cs="Arial" w:eastAsia="Arial" w:hAnsi="Arial"/>
          <w:sz w:val="18"/>
          <w:szCs w:val="18"/>
          <w:color w:val="auto"/>
        </w:rPr>
        <w:t>give Employee or any other person any interest in any fund or in any specified asset or assets of the Company (other than the Award and applicable Common Stock following the vesting of such Award); or</w:t>
      </w:r>
    </w:p>
    <w:p>
      <w:pPr>
        <w:spacing w:after="0" w:line="131" w:lineRule="exact"/>
        <w:rPr>
          <w:rFonts w:ascii="Arial" w:cs="Arial" w:eastAsia="Arial" w:hAnsi="Arial"/>
          <w:sz w:val="18"/>
          <w:szCs w:val="18"/>
          <w:color w:val="auto"/>
        </w:rPr>
      </w:pPr>
    </w:p>
    <w:p>
      <w:pPr>
        <w:ind w:left="1120" w:hanging="237"/>
        <w:spacing w:after="0"/>
        <w:tabs>
          <w:tab w:leader="none" w:pos="11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confer upon Employee the right to continue in the employment or service of the Company.</w:t>
      </w:r>
    </w:p>
    <w:p>
      <w:pPr>
        <w:spacing w:after="0" w:line="171" w:lineRule="exact"/>
        <w:rPr>
          <w:rFonts w:ascii="Arial" w:cs="Arial" w:eastAsia="Arial" w:hAnsi="Arial"/>
          <w:sz w:val="18"/>
          <w:szCs w:val="18"/>
          <w:color w:val="auto"/>
        </w:rPr>
      </w:pPr>
    </w:p>
    <w:p>
      <w:pPr>
        <w:ind w:left="-20" w:right="260" w:firstLine="464"/>
        <w:spacing w:after="0" w:line="268"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Texas, without reference to principles of conflict of laws.</w:t>
      </w:r>
    </w:p>
    <w:p>
      <w:pPr>
        <w:spacing w:after="0" w:line="131" w:lineRule="exact"/>
        <w:rPr>
          <w:rFonts w:ascii="Arial" w:cs="Arial" w:eastAsia="Arial" w:hAnsi="Arial"/>
          <w:sz w:val="18"/>
          <w:szCs w:val="18"/>
          <w:color w:val="auto"/>
        </w:rPr>
      </w:pPr>
    </w:p>
    <w:p>
      <w:pPr>
        <w:ind w:left="-20" w:right="120" w:firstLine="464"/>
        <w:spacing w:after="0" w:line="268"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w:t>
      </w:r>
    </w:p>
    <w:p>
      <w:pPr>
        <w:spacing w:after="0" w:line="131" w:lineRule="exact"/>
        <w:rPr>
          <w:rFonts w:ascii="Arial" w:cs="Arial" w:eastAsia="Arial" w:hAnsi="Arial"/>
          <w:sz w:val="18"/>
          <w:szCs w:val="18"/>
          <w:color w:val="auto"/>
        </w:rPr>
      </w:pPr>
    </w:p>
    <w:p>
      <w:pPr>
        <w:jc w:val="both"/>
        <w:ind w:left="-20" w:right="140" w:firstLine="464"/>
        <w:spacing w:after="0" w:line="259"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Employee or the Company to insist upon strict compliance with any provision of this Agreement or the failure to assert any right Employee or the Company may have under this Agreement shall not be deemed to be a waiver of such provision or right or any other provision or right of this Agreement.</w:t>
      </w:r>
    </w:p>
    <w:p>
      <w:pPr>
        <w:spacing w:after="0" w:line="140" w:lineRule="exact"/>
        <w:rPr>
          <w:rFonts w:ascii="Arial" w:cs="Arial" w:eastAsia="Arial" w:hAnsi="Arial"/>
          <w:sz w:val="18"/>
          <w:szCs w:val="18"/>
          <w:color w:val="auto"/>
        </w:rPr>
      </w:pPr>
    </w:p>
    <w:p>
      <w:pPr>
        <w:ind w:left="-20" w:right="20" w:firstLine="464"/>
        <w:spacing w:after="0" w:line="259"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in this Agreement and not otherwise defined herein shall have the meanings set forth in the Plan. Certain other terms used herein have definitions given to them in the first place in which they are used. In addition, the following terms shall have the meanings set forth in this Section 24.</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80" w:right="259" w:bottom="1440" w:gutter="0" w:footer="0" w:header="0"/>
        </w:sectPr>
      </w:pPr>
    </w:p>
    <w:bookmarkStart w:id="29" w:name="page30"/>
    <w:bookmarkEnd w:id="29"/>
    <w:p>
      <w:pPr>
        <w:ind w:right="740" w:firstLine="443"/>
        <w:spacing w:after="0" w:line="332" w:lineRule="auto"/>
        <w:tabs>
          <w:tab w:leader="none" w:pos="677" w:val="left"/>
        </w:tabs>
        <w:numPr>
          <w:ilvl w:val="0"/>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“Beginning Price” means the average per share closing price, as reported by the Reporting Service, of a share or share equivalent on the applicable stock exchange for the period of 20 trading days immediately preceding the first day of the Performance Period.</w:t>
      </w:r>
    </w:p>
    <w:p>
      <w:pPr>
        <w:spacing w:after="0" w:line="85" w:lineRule="exact"/>
        <w:rPr>
          <w:rFonts w:ascii="Arial" w:cs="Arial" w:eastAsia="Arial" w:hAnsi="Arial"/>
          <w:sz w:val="16"/>
          <w:szCs w:val="16"/>
          <w:color w:val="auto"/>
        </w:rPr>
      </w:pPr>
    </w:p>
    <w:p>
      <w:pPr>
        <w:ind w:left="700" w:hanging="257"/>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“Board” means the Board of Directors of Waste Management, Inc.</w:t>
      </w:r>
    </w:p>
    <w:p>
      <w:pPr>
        <w:spacing w:after="0" w:line="171" w:lineRule="exact"/>
        <w:rPr>
          <w:rFonts w:ascii="Arial" w:cs="Arial" w:eastAsia="Arial" w:hAnsi="Arial"/>
          <w:sz w:val="18"/>
          <w:szCs w:val="18"/>
          <w:color w:val="auto"/>
        </w:rPr>
      </w:pPr>
    </w:p>
    <w:p>
      <w:pPr>
        <w:ind w:firstLine="443"/>
        <w:spacing w:after="0" w:line="289" w:lineRule="auto"/>
        <w:tabs>
          <w:tab w:leader="none" w:pos="677"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“Cause” means any of the following: (i) willful or deliberate and continual refusal to materially perform Employee’s employment duties reasonably requested by the Company after receipt of written notice to Employee of such failure to perform, specifying such failure (other than as a result of Employee’s sickness, illness, injury, death or disability) and Employee fails to cure such nonperformance within ten (10) days of receipt of said written notice; (ii) breach of any statutory or common law duty of loyalty to the Company; (iii) Employee has been convicted of, or pleaded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to, any felony; (iv) Employee willfully or intentionally caused material injury to the Company, its property, or its assets; (v) Employee disclosed to unauthorized person(s) proprietary or confidential information of the Company that causes a material injury to the Company; (vi) any material violation or a repeated and willful violation of the Company’s policies or procedures, including but not limited to, the Company’s Code of Business Conduct and Ethics (or any successor policy) then in effect.</w:t>
      </w:r>
    </w:p>
    <w:p>
      <w:pPr>
        <w:spacing w:after="0" w:line="118" w:lineRule="exact"/>
        <w:rPr>
          <w:rFonts w:ascii="Arial" w:cs="Arial" w:eastAsia="Arial" w:hAnsi="Arial"/>
          <w:sz w:val="16"/>
          <w:szCs w:val="16"/>
          <w:color w:val="auto"/>
        </w:rPr>
      </w:pPr>
    </w:p>
    <w:p>
      <w:pPr>
        <w:ind w:left="700" w:hanging="257"/>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 in Control” means the first to occur on or after the Grant Date of any of the following events:</w:t>
      </w:r>
    </w:p>
    <w:p>
      <w:pPr>
        <w:spacing w:after="0" w:line="90" w:lineRule="exact"/>
        <w:rPr>
          <w:rFonts w:ascii="Arial" w:cs="Arial" w:eastAsia="Arial" w:hAnsi="Arial"/>
          <w:sz w:val="18"/>
          <w:szCs w:val="18"/>
          <w:color w:val="auto"/>
        </w:rPr>
      </w:pPr>
    </w:p>
    <w:p>
      <w:pPr>
        <w:ind w:left="460" w:right="100" w:firstLine="421"/>
        <w:spacing w:after="0" w:line="306" w:lineRule="auto"/>
        <w:tabs>
          <w:tab w:leader="none" w:pos="1089"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any Person, or Persons acting as a group (within the meaning of Section 409A), acquires, directly or indirectly, including by purchase, merger, consolidation or otherwise, ownership of securities of the Company that, together with securities held by such Person or Persons, represents fifty percent (50%) or more of the total voting power or total fair market value of the Company’s then outstanding securities;</w:t>
      </w:r>
    </w:p>
    <w:p>
      <w:pPr>
        <w:spacing w:after="0" w:line="106" w:lineRule="exact"/>
        <w:rPr>
          <w:rFonts w:ascii="Arial" w:cs="Arial" w:eastAsia="Arial" w:hAnsi="Arial"/>
          <w:sz w:val="16"/>
          <w:szCs w:val="16"/>
          <w:color w:val="auto"/>
        </w:rPr>
      </w:pPr>
    </w:p>
    <w:p>
      <w:pPr>
        <w:ind w:left="460" w:right="180" w:firstLine="421"/>
        <w:spacing w:after="0" w:line="256" w:lineRule="auto"/>
        <w:tabs>
          <w:tab w:leader="none" w:pos="113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Person, or Persons acting as a group (within the meaning of Section 409A), acquires (or has acquired during the 12-month period ending on the date of the most recent acquisition by such Person or Persons), directly or indirectly, including by purchase, merger, consolidation or otherwise, ownership of securities of the Company that represents thirty percent (30%) or more of the total voting power of the Company’s then outstanding voting securities;</w:t>
      </w:r>
    </w:p>
    <w:p>
      <w:pPr>
        <w:spacing w:after="0" w:line="143" w:lineRule="exact"/>
        <w:rPr>
          <w:rFonts w:ascii="Arial" w:cs="Arial" w:eastAsia="Arial" w:hAnsi="Arial"/>
          <w:sz w:val="18"/>
          <w:szCs w:val="18"/>
          <w:color w:val="auto"/>
        </w:rPr>
      </w:pPr>
    </w:p>
    <w:p>
      <w:pPr>
        <w:jc w:val="both"/>
        <w:ind w:left="460" w:right="380" w:firstLine="421"/>
        <w:spacing w:after="0" w:line="259" w:lineRule="auto"/>
        <w:tabs>
          <w:tab w:leader="none" w:pos="1187"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then serving: individuals who, at the Grant Date, constitute the Board and any new director (other than a director whose initial assumption of office is in connection with an actual or threatened election contest, including but not limited to a consent solicitation,</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30" w:name="page31"/>
    <w:bookmarkEnd w:id="30"/>
    <w:p>
      <w:pPr>
        <w:ind w:left="460"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relating or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 or</w:t>
      </w:r>
    </w:p>
    <w:p>
      <w:pPr>
        <w:spacing w:after="0" w:line="140" w:lineRule="exact"/>
        <w:rPr>
          <w:sz w:val="20"/>
          <w:szCs w:val="20"/>
          <w:color w:val="auto"/>
        </w:rPr>
      </w:pPr>
    </w:p>
    <w:p>
      <w:pPr>
        <w:ind w:left="460" w:right="80" w:firstLine="421"/>
        <w:spacing w:after="0" w:line="312" w:lineRule="auto"/>
        <w:tabs>
          <w:tab w:leader="none" w:pos="1177"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stockholders of the Company approve a plan of complete liquidation of the Company and such liquidation is actually commenced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 For purposes hereof, a “sale or other disposition by the Company of all or substantially all of the Company’s assets” will not be deemed to have occurred if the sale involves assets having a total gross fair market value of less than forty percent (40%) of the total gross fair market value of all assets of the Company immediately prior to such sale.</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 purposes of this definition, the following terms shall have the following meanings:</w:t>
      </w:r>
    </w:p>
    <w:p>
      <w:pPr>
        <w:spacing w:after="0" w:line="90" w:lineRule="exact"/>
        <w:rPr>
          <w:sz w:val="20"/>
          <w:szCs w:val="20"/>
          <w:color w:val="auto"/>
        </w:rPr>
      </w:pPr>
    </w:p>
    <w:p>
      <w:pPr>
        <w:ind w:left="1720" w:hanging="291"/>
        <w:spacing w:after="0"/>
        <w:tabs>
          <w:tab w:leader="none" w:pos="17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“Exchange Act” means the Securities and Exchange Act of 1934, as amended from time to time;</w:t>
      </w:r>
    </w:p>
    <w:p>
      <w:pPr>
        <w:spacing w:after="0" w:line="171" w:lineRule="exact"/>
        <w:rPr>
          <w:rFonts w:ascii="Arial" w:cs="Arial" w:eastAsia="Arial" w:hAnsi="Arial"/>
          <w:sz w:val="18"/>
          <w:szCs w:val="18"/>
          <w:color w:val="auto"/>
        </w:rPr>
      </w:pPr>
    </w:p>
    <w:p>
      <w:pPr>
        <w:jc w:val="both"/>
        <w:ind w:left="1040" w:firstLine="389"/>
        <w:spacing w:after="0" w:line="255" w:lineRule="auto"/>
        <w:tabs>
          <w:tab w:leader="none" w:pos="1715" w:val="left"/>
        </w:tabs>
        <w:numPr>
          <w:ilvl w:val="1"/>
          <w:numId w:val="46"/>
        </w:numPr>
        <w:rPr>
          <w:rFonts w:ascii="Arial" w:cs="Arial" w:eastAsia="Arial" w:hAnsi="Arial"/>
          <w:sz w:val="18"/>
          <w:szCs w:val="18"/>
          <w:color w:val="auto"/>
        </w:rPr>
      </w:pPr>
      <w:r>
        <w:rPr>
          <w:rFonts w:ascii="Arial" w:cs="Arial" w:eastAsia="Arial" w:hAnsi="Arial"/>
          <w:sz w:val="18"/>
          <w:szCs w:val="18"/>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142" w:lineRule="exact"/>
        <w:rPr>
          <w:rFonts w:ascii="Arial" w:cs="Arial" w:eastAsia="Arial" w:hAnsi="Arial"/>
          <w:sz w:val="18"/>
          <w:szCs w:val="18"/>
          <w:color w:val="auto"/>
        </w:rPr>
      </w:pPr>
    </w:p>
    <w:p>
      <w:pPr>
        <w:ind w:right="420" w:firstLine="443"/>
        <w:spacing w:after="0" w:line="268" w:lineRule="auto"/>
        <w:tabs>
          <w:tab w:leader="none" w:pos="677"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“Committee” means the Management Development and Compensation Committee of the Board or such other committee of the Board as the Board may designate from time to time.</w:t>
      </w:r>
    </w:p>
    <w:p>
      <w:pPr>
        <w:spacing w:after="0" w:line="131" w:lineRule="exact"/>
        <w:rPr>
          <w:rFonts w:ascii="Arial" w:cs="Arial" w:eastAsia="Arial" w:hAnsi="Arial"/>
          <w:sz w:val="18"/>
          <w:szCs w:val="18"/>
          <w:color w:val="auto"/>
        </w:rPr>
      </w:pPr>
    </w:p>
    <w:p>
      <w:pPr>
        <w:ind w:right="520" w:firstLine="443"/>
        <w:spacing w:after="0" w:line="268" w:lineRule="auto"/>
        <w:tabs>
          <w:tab w:leader="none" w:pos="657"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“Dividend Equivalent” means an amount of cash equal to all dividends and other distributions (or the economic equivalent thereof) that are payable by the Company on one share of Common Stock to stockholders of record.</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80" w:right="239" w:bottom="1440" w:gutter="0" w:footer="0" w:header="0"/>
        </w:sectPr>
      </w:pPr>
    </w:p>
    <w:bookmarkStart w:id="31" w:name="page32"/>
    <w:bookmarkEnd w:id="31"/>
    <w:p>
      <w:pPr>
        <w:ind w:right="160" w:firstLine="443"/>
        <w:spacing w:after="0" w:line="332" w:lineRule="auto"/>
        <w:tabs>
          <w:tab w:leader="none" w:pos="687" w:val="left"/>
        </w:tabs>
        <w:numPr>
          <w:ilvl w:val="0"/>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“Ending Price” means the average per share closing price, as reported by the Reporting Service, of a share or share equivalent on the applicable stock exchange for the period of 20 trading days immediately preceding and including the final day of the Performance Period.</w:t>
      </w:r>
    </w:p>
    <w:p>
      <w:pPr>
        <w:spacing w:after="0" w:line="85" w:lineRule="exact"/>
        <w:rPr>
          <w:rFonts w:ascii="Arial" w:cs="Arial" w:eastAsia="Arial" w:hAnsi="Arial"/>
          <w:sz w:val="16"/>
          <w:szCs w:val="16"/>
          <w:color w:val="auto"/>
        </w:rPr>
      </w:pPr>
    </w:p>
    <w:p>
      <w:pPr>
        <w:ind w:left="700" w:hanging="257"/>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“Misconduct” has the meaning assigned in Section 8.</w:t>
      </w:r>
    </w:p>
    <w:p>
      <w:pPr>
        <w:spacing w:after="0" w:line="171" w:lineRule="exact"/>
        <w:rPr>
          <w:rFonts w:ascii="Arial" w:cs="Arial" w:eastAsia="Arial" w:hAnsi="Arial"/>
          <w:sz w:val="18"/>
          <w:szCs w:val="18"/>
          <w:color w:val="auto"/>
        </w:rPr>
      </w:pPr>
    </w:p>
    <w:p>
      <w:pPr>
        <w:ind w:right="660" w:firstLine="443"/>
        <w:spacing w:after="0" w:line="268"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“Relative TSR Percentile Rank” means the percentile performance of the Company as compared to the S&amp;P 500 Companies and shall be determined by the following formula:</w:t>
      </w:r>
    </w:p>
    <w:p>
      <w:pPr>
        <w:spacing w:after="0" w:line="13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 = R / N</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 represents the percentile performance of the Company.</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 represents the number of entities within the S&amp;P 500 Companies.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 represents the Company’s ranking versus the other companies in the S&amp;P 500 Index, as described in Section 3(a).</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(j) “Reporting Service” means Bloomberg L.P. (or any other publicly available reporting service that the Committee may designate from time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65" w:lineRule="exact"/>
        <w:rPr>
          <w:sz w:val="20"/>
          <w:szCs w:val="20"/>
          <w:color w:val="auto"/>
        </w:rPr>
      </w:pPr>
    </w:p>
    <w:p>
      <w:pPr>
        <w:ind w:right="120" w:firstLine="443"/>
        <w:spacing w:after="0" w:line="259" w:lineRule="auto"/>
        <w:tabs>
          <w:tab w:leader="none" w:pos="687"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“Retirement” means the voluntary resignation of employment by Employee, after Employee: (i) has attained the age of 55 or greater; (ii) has a sum of age plus full years of Service with the Company equal to 65 or greater; and, (iii) has completed at least 5 consecutive full years of Service with the Company during the 5 year period immediately preceding the resignation.</w:t>
      </w:r>
    </w:p>
    <w:p>
      <w:pPr>
        <w:spacing w:after="0" w:line="140" w:lineRule="exact"/>
        <w:rPr>
          <w:rFonts w:ascii="Arial" w:cs="Arial" w:eastAsia="Arial" w:hAnsi="Arial"/>
          <w:sz w:val="18"/>
          <w:szCs w:val="18"/>
          <w:color w:val="auto"/>
        </w:rPr>
      </w:pPr>
    </w:p>
    <w:p>
      <w:pPr>
        <w:ind w:firstLine="443"/>
        <w:spacing w:after="0" w:line="259"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“S&amp;P 500 Companies” means all of the entities that are listed on the Standard &amp; Poor’s 500 Composite Index, including the Company, on the date which is 30 trading days prior to the commencement of the Performance Period and which remain continuously listed on the Standard &amp; Poor’s 500 Composite Index through the entire Performance Period.</w:t>
      </w:r>
    </w:p>
    <w:p>
      <w:pPr>
        <w:spacing w:after="0" w:line="140" w:lineRule="exact"/>
        <w:rPr>
          <w:rFonts w:ascii="Arial" w:cs="Arial" w:eastAsia="Arial" w:hAnsi="Arial"/>
          <w:sz w:val="18"/>
          <w:szCs w:val="18"/>
          <w:color w:val="auto"/>
        </w:rPr>
      </w:pPr>
    </w:p>
    <w:p>
      <w:pPr>
        <w:ind w:right="160" w:firstLine="443"/>
        <w:spacing w:after="0" w:line="291" w:lineRule="auto"/>
        <w:tabs>
          <w:tab w:leader="none" w:pos="736" w:val="left"/>
        </w:tabs>
        <w:numPr>
          <w:ilvl w:val="0"/>
          <w:numId w:val="49"/>
        </w:numPr>
        <w:rPr>
          <w:rFonts w:ascii="Arial" w:cs="Arial" w:eastAsia="Arial" w:hAnsi="Arial"/>
          <w:sz w:val="16"/>
          <w:szCs w:val="16"/>
          <w:color w:val="auto"/>
        </w:rPr>
      </w:pPr>
      <w:r>
        <w:rPr>
          <w:rFonts w:ascii="Arial" w:cs="Arial" w:eastAsia="Arial" w:hAnsi="Arial"/>
          <w:sz w:val="16"/>
          <w:szCs w:val="16"/>
          <w:color w:val="auto"/>
        </w:rPr>
        <w:t>“Service” is measured from Employee’s original date of hire by the Company, except as provided below. In the case of a break of employment by Employee from the Company of one year or more in length, Employee’s service before the break of employment shall not be included in his or her Service hereunder. In the case of service with an entity acquired by the Company, Employee’s service with such entity shall be considered Service hereunder, so long as Employee remained continuously employed with such predecessor company(ies) and the Company. In the case of a break of employment between a predecessor company and the Company of any length, Employee’s Service shall be measured from the original date of hire by the Company and shall not include any service with any predecessor company.</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80" w:right="259" w:bottom="1440" w:gutter="0" w:footer="0" w:header="0"/>
        </w:sectPr>
      </w:pPr>
    </w:p>
    <w:bookmarkStart w:id="32" w:name="page33"/>
    <w:bookmarkEnd w:id="32"/>
    <w:p>
      <w:pPr>
        <w:ind w:right="20" w:firstLine="443"/>
        <w:spacing w:after="0" w:line="256" w:lineRule="auto"/>
        <w:tabs>
          <w:tab w:leader="none" w:pos="687" w:val="left"/>
        </w:tabs>
        <w:numPr>
          <w:ilvl w:val="1"/>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Employment” means the termination of Employee’s employment with the Company. Temporary absences from employment because of illness, vacation or leave of absence and transfers among Waste Management, Inc. and its Subsidiaries and Affiliates will not be considered a Termination of Employment. Any questions as to whether and when there has been a Termination of Employment, and the cause of such termination, shall be determined by the Committee, and its determination will be final.</w:t>
      </w:r>
    </w:p>
    <w:p>
      <w:pPr>
        <w:spacing w:after="0" w:line="143" w:lineRule="exact"/>
        <w:rPr>
          <w:rFonts w:ascii="Arial" w:cs="Arial" w:eastAsia="Arial" w:hAnsi="Arial"/>
          <w:sz w:val="18"/>
          <w:szCs w:val="18"/>
          <w:color w:val="auto"/>
        </w:rPr>
      </w:pPr>
    </w:p>
    <w:p>
      <w:pPr>
        <w:ind w:right="60" w:firstLine="443"/>
        <w:spacing w:after="0" w:line="291" w:lineRule="auto"/>
        <w:tabs>
          <w:tab w:leader="none" w:pos="687" w:val="left"/>
        </w:tabs>
        <w:numPr>
          <w:ilvl w:val="1"/>
          <w:numId w:val="50"/>
        </w:numPr>
        <w:rPr>
          <w:rFonts w:ascii="Arial" w:cs="Arial" w:eastAsia="Arial" w:hAnsi="Arial"/>
          <w:sz w:val="16"/>
          <w:szCs w:val="16"/>
          <w:color w:val="auto"/>
        </w:rPr>
      </w:pPr>
      <w:r>
        <w:rPr>
          <w:rFonts w:ascii="Arial" w:cs="Arial" w:eastAsia="Arial" w:hAnsi="Arial"/>
          <w:sz w:val="16"/>
          <w:szCs w:val="16"/>
          <w:color w:val="auto"/>
        </w:rPr>
        <w:t>“Total Shareholder Return” means the result of dividing (i) the sum of the cumulative value of an entity’s dividends for the Performance Period, plus the entity’s Ending Price, minus the Beginning Price, by (ii) the Beginning Price. For purposes of determining the cumulative value of an entity’s dividends during the Performance Period, it will be assumed that all dividends declared and paid with respect to a particular entity during the Performance Period were reinvested in such entity at the ex-dividend date, using the closing price on such date . The aggregate shares, or fractional shares thereof, that will be assumed to be purchased as part of the reinvestment calculation will be multiplied by the Ending Price to determine the cumulative value of an entity’s dividends for the Performance Period.</w:t>
      </w:r>
    </w:p>
    <w:p>
      <w:pPr>
        <w:spacing w:after="0" w:line="120" w:lineRule="exact"/>
        <w:rPr>
          <w:rFonts w:ascii="Arial" w:cs="Arial" w:eastAsia="Arial" w:hAnsi="Arial"/>
          <w:sz w:val="16"/>
          <w:szCs w:val="16"/>
          <w:color w:val="auto"/>
        </w:rPr>
      </w:pPr>
    </w:p>
    <w:p>
      <w:pPr>
        <w:ind w:right="520" w:firstLine="443"/>
        <w:spacing w:after="0" w:line="268" w:lineRule="auto"/>
        <w:tabs>
          <w:tab w:leader="none" w:pos="687" w:val="left"/>
        </w:tabs>
        <w:numPr>
          <w:ilvl w:val="1"/>
          <w:numId w:val="50"/>
        </w:numPr>
        <w:rPr>
          <w:rFonts w:ascii="Arial" w:cs="Arial" w:eastAsia="Arial" w:hAnsi="Arial"/>
          <w:sz w:val="18"/>
          <w:szCs w:val="18"/>
          <w:color w:val="auto"/>
        </w:rPr>
      </w:pPr>
      <w:r>
        <w:rPr>
          <w:rFonts w:ascii="Arial" w:cs="Arial" w:eastAsia="Arial" w:hAnsi="Arial"/>
          <w:sz w:val="18"/>
          <w:szCs w:val="18"/>
          <w:color w:val="auto"/>
        </w:rPr>
        <w:t>“Window Period” means the period commencing on the date occurring six (6) months immediately prior to the date on which a Change in Control first occurs and ending the second anniversary of the date on which a Change in Control occurs.</w:t>
      </w:r>
    </w:p>
    <w:p>
      <w:pPr>
        <w:spacing w:after="0" w:line="131" w:lineRule="exact"/>
        <w:rPr>
          <w:rFonts w:ascii="Arial" w:cs="Arial" w:eastAsia="Arial" w:hAnsi="Arial"/>
          <w:sz w:val="18"/>
          <w:szCs w:val="18"/>
          <w:color w:val="auto"/>
        </w:rPr>
      </w:pPr>
    </w:p>
    <w:p>
      <w:pPr>
        <w:ind w:left="260" w:hanging="256"/>
        <w:spacing w:after="0"/>
        <w:tabs>
          <w:tab w:leader="none" w:pos="2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400" w:firstLine="443"/>
        <w:spacing w:after="0" w:line="256" w:lineRule="auto"/>
        <w:tabs>
          <w:tab w:leader="none" w:pos="677" w:val="left"/>
        </w:tabs>
        <w:numPr>
          <w:ilvl w:val="1"/>
          <w:numId w:val="51"/>
        </w:numPr>
        <w:rPr>
          <w:rFonts w:ascii="Arial" w:cs="Arial" w:eastAsia="Arial" w:hAnsi="Arial"/>
          <w:sz w:val="18"/>
          <w:szCs w:val="18"/>
          <w:color w:val="auto"/>
        </w:rPr>
      </w:pPr>
      <w:r>
        <w:rPr>
          <w:rFonts w:ascii="Arial" w:cs="Arial" w:eastAsia="Arial" w:hAnsi="Arial"/>
          <w:sz w:val="18"/>
          <w:szCs w:val="18"/>
          <w:color w:val="auto"/>
        </w:rPr>
        <w:t>Employee hereby acknowledges that Employee has received, reviewed and accepted the terms and conditions applicable to this Agreement. Employee hereby accepts such terms and conditions, subject to the provisions of the Plan and administrative interpretations thereof including the attainment of the Incentive Formula described therein. Employee further agrees that such terms and conditions will control this Agreement, notwithstanding any provisions in any employment agreement or in any prior awards.</w:t>
      </w:r>
    </w:p>
    <w:p>
      <w:pPr>
        <w:spacing w:after="0" w:line="143" w:lineRule="exact"/>
        <w:rPr>
          <w:rFonts w:ascii="Arial" w:cs="Arial" w:eastAsia="Arial" w:hAnsi="Arial"/>
          <w:sz w:val="18"/>
          <w:szCs w:val="18"/>
          <w:color w:val="auto"/>
        </w:rPr>
      </w:pPr>
    </w:p>
    <w:p>
      <w:pPr>
        <w:ind w:firstLine="443"/>
        <w:spacing w:after="0" w:line="268" w:lineRule="auto"/>
        <w:tabs>
          <w:tab w:leader="none" w:pos="687" w:val="left"/>
        </w:tabs>
        <w:numPr>
          <w:ilvl w:val="1"/>
          <w:numId w:val="51"/>
        </w:numPr>
        <w:rPr>
          <w:rFonts w:ascii="Arial" w:cs="Arial" w:eastAsia="Arial" w:hAnsi="Arial"/>
          <w:sz w:val="18"/>
          <w:szCs w:val="18"/>
          <w:color w:val="auto"/>
        </w:rPr>
      </w:pPr>
      <w:r>
        <w:rPr>
          <w:rFonts w:ascii="Arial" w:cs="Arial" w:eastAsia="Arial" w:hAnsi="Arial"/>
          <w:sz w:val="18"/>
          <w:szCs w:val="18"/>
          <w:color w:val="auto"/>
        </w:rPr>
        <w:t>Employee hereby acknowledges that Employee is to consult with and rely upon only Employee’s own tax, legal, and financial advisors regarding the consequences and risks of this Agreement and the award of Performance Share Units.</w:t>
      </w:r>
    </w:p>
    <w:p>
      <w:pPr>
        <w:spacing w:after="0" w:line="131" w:lineRule="exact"/>
        <w:rPr>
          <w:rFonts w:ascii="Arial" w:cs="Arial" w:eastAsia="Arial" w:hAnsi="Arial"/>
          <w:sz w:val="18"/>
          <w:szCs w:val="18"/>
          <w:color w:val="auto"/>
        </w:rPr>
      </w:pPr>
    </w:p>
    <w:p>
      <w:pPr>
        <w:ind w:right="20" w:firstLine="443"/>
        <w:spacing w:after="0" w:line="332" w:lineRule="auto"/>
        <w:tabs>
          <w:tab w:leader="none" w:pos="677"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This Agreement may not be amended or modified except by a written agreement executed by the parties hereto or their respective successors and legal representatives. The captions of this Agreement are not part of the provisions hereof and shall have no force or effect.</w:t>
      </w:r>
    </w:p>
    <w:p>
      <w:pPr>
        <w:spacing w:after="0" w:line="7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700" w:top="280" w:right="299" w:bottom="1440" w:gutter="0" w:footer="0" w:header="0"/>
        </w:sectPr>
      </w:pPr>
    </w:p>
    <w:bookmarkStart w:id="33" w:name="page34"/>
    <w:bookmarkEnd w:id="33"/>
    <w:p>
      <w:pPr>
        <w:ind w:right="20" w:firstLine="464"/>
        <w:spacing w:after="0" w:line="254"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Compliance with Code Section 409A</w:t>
      </w:r>
      <w:r>
        <w:rPr>
          <w:rFonts w:ascii="Arial" w:cs="Arial" w:eastAsia="Arial" w:hAnsi="Arial"/>
          <w:sz w:val="18"/>
          <w:szCs w:val="18"/>
          <w:color w:val="auto"/>
        </w:rPr>
        <w:t>. It is the intention of the Company and Employee that his Agreement not result in an unfavorable tax consequences to Employee under Code Section 409A. Accordingly, Employee consents to any amendment of this Agreement as the Company may reasonably make in furtherance of such intention, and the Company shall promptly provide, or make available to, Employee a copy of such amendment. Any such amendments shall be made in a manner that preserves to the maximum extent possible the intended benefits to Employee. This Section 26 does not create an obligation on the part of Company to modify this Agreement and does not guarantee that the amounts or benefits owed under the Agreement will not be subject to interest and penalties under Code Section 409A.</w:t>
      </w:r>
    </w:p>
    <w:p>
      <w:pPr>
        <w:spacing w:after="0" w:line="144" w:lineRule="exact"/>
        <w:rPr>
          <w:rFonts w:ascii="Arial" w:cs="Arial" w:eastAsia="Arial" w:hAnsi="Arial"/>
          <w:sz w:val="18"/>
          <w:szCs w:val="18"/>
          <w:color w:val="auto"/>
        </w:rPr>
      </w:pPr>
    </w:p>
    <w:p>
      <w:pPr>
        <w:ind w:right="20" w:firstLine="464"/>
        <w:spacing w:after="0" w:line="287" w:lineRule="auto"/>
        <w:tabs>
          <w:tab w:leader="none" w:pos="720"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Use of Personal Data</w:t>
      </w:r>
      <w:r>
        <w:rPr>
          <w:rFonts w:ascii="Arial" w:cs="Arial" w:eastAsia="Arial" w:hAnsi="Arial"/>
          <w:sz w:val="16"/>
          <w:szCs w:val="16"/>
          <w:color w:val="auto"/>
        </w:rPr>
        <w:t>. By executing this Agreement, Employee acknowledges and agrees to the collection, use, processing and transfer of certain personal data, including his or her name, salary, nationality, job title, position, social security number (or other tax identification number) and details of all past Awards and current Awards outstanding under the Plan (“Data”), for the purpose of managing and administering the Plan. The Employee is not obliged to consent to such collection, use, processing and transfer of personal data, but a refusal to provide such consent may affect his or her ability to participate in the Plan. The Company, or its Subsidiaries, may transfer Data among themselves or to third parties as necessary for the purpose of implementation, administration and management of the Plan. These various recipients of Data may be located elsewhere throughout the world. The Employee authorizes these various recipients of Data to receive, possess, use, retain and transfer the Data, in electronic or other form, for the purposes of implementing, administering and managing the Plan. The Employee may, at any time, review Data with respect to the Employee and require any necessary amendments to such Data. The Participant may withdraw his or her consent to use Data herein by notifying the Company in writing; however, the Participant understands that by withdrawing his or her consent to use Data, the Participant may affect his or her ability to participate in the Plan.</w:t>
      </w:r>
    </w:p>
    <w:p>
      <w:pPr>
        <w:spacing w:after="0" w:line="122" w:lineRule="exact"/>
        <w:rPr>
          <w:rFonts w:ascii="Arial" w:cs="Arial" w:eastAsia="Arial" w:hAnsi="Arial"/>
          <w:sz w:val="16"/>
          <w:szCs w:val="16"/>
          <w:color w:val="auto"/>
        </w:rPr>
      </w:pPr>
    </w:p>
    <w:p>
      <w:pPr>
        <w:ind w:firstLine="464"/>
        <w:spacing w:after="0" w:line="306" w:lineRule="auto"/>
        <w:tabs>
          <w:tab w:leader="none" w:pos="720"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which either party hereto may be required or permitted to give the other shall be in writing and may be delivered personally or by mail, postage prepaid, addressed to the Secretary of the Company, at its then corporate headquarters, and the Employee at the Employee’s address as shown on the Company’s records, or to such other address as Employee, by notice to the Company, may designate in writing from time to time.</w:t>
      </w:r>
    </w:p>
    <w:p>
      <w:pPr>
        <w:spacing w:after="0" w:line="106" w:lineRule="exact"/>
        <w:rPr>
          <w:rFonts w:ascii="Arial" w:cs="Arial" w:eastAsia="Arial" w:hAnsi="Arial"/>
          <w:sz w:val="16"/>
          <w:szCs w:val="16"/>
          <w:color w:val="auto"/>
        </w:rPr>
      </w:pPr>
    </w:p>
    <w:p>
      <w:pPr>
        <w:jc w:val="both"/>
        <w:ind w:right="160" w:firstLine="464"/>
        <w:spacing w:after="0" w:line="298" w:lineRule="auto"/>
        <w:tabs>
          <w:tab w:leader="none" w:pos="720"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Electronic Delivery</w:t>
      </w:r>
      <w:r>
        <w:rPr>
          <w:rFonts w:ascii="Arial" w:cs="Arial" w:eastAsia="Arial" w:hAnsi="Arial"/>
          <w:sz w:val="16"/>
          <w:szCs w:val="16"/>
          <w:color w:val="auto"/>
        </w:rPr>
        <w:t>. The Company may, in its sole discretion, deliver any documents related to the Performance Share Units awarded under this Agreement or the Plan by electronic means or request Employee’s consent to participate in the administration of this Agreement and the Plan by electronic means. Employee hereby consents to receive such documents by electronic delivery and agrees to participate in the Plan through an on-line or electronic system established and maintained by the Company or another third party designated by the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34" w:name="page35"/>
    <w:bookmarkEnd w:id="3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which together shall constitute one and the same original.</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WITNESS WHEREOF, Waste Management, Inc. has caused this Agreement to be duly executed by one of its officers thereunto duly authorized and Employee has executed this Agreement, effective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2898775" cy="4629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E. Trevathan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302895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w:t>
      </w:r>
    </w:p>
    <w:p>
      <w:pPr>
        <w:spacing w:after="0" w:line="9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Accepted by electronic confirmation</w:t>
      </w:r>
    </w:p>
    <w:p>
      <w:pPr>
        <w:spacing w:after="0" w:line="17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240" w:top="280" w:right="5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AWARD AGREEMENT</w:t>
      </w:r>
    </w:p>
    <w:p>
      <w:pPr>
        <w:spacing w:after="0" w:line="177"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 xml:space="preserve">This Stock Option Award Agreement (“Agreement”) is entered into effective as of March 9, 2012, (the “Grant Date”), by and between Waste Management, Inc., a Delaware corporation (together with its Subsidiaries and Affiliates, the “Company”), and you, (the “Employee”), pursuant to the Waste Management, Inc. 2009 Stock Incentive Plan (the “Plan”). Employee agrees that the terms and conditions of this Agreement will govern Employee’s rights with respect to the Award exclusively, notwithstanding any contrary provisions in any employment agreement or prior award. Employee and the Company agree to execute such further instruments and to take such further action as may reasonably be necessary to carry out the intent of this Agreement. </w:t>
      </w:r>
      <w:r>
        <w:rPr>
          <w:rFonts w:ascii="Arial" w:cs="Arial" w:eastAsia="Arial" w:hAnsi="Arial"/>
          <w:sz w:val="16"/>
          <w:szCs w:val="16"/>
          <w:b w:val="1"/>
          <w:bCs w:val="1"/>
          <w:color w:val="auto"/>
        </w:rPr>
        <w:t>The terms and conditions of this</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color w:val="auto"/>
        </w:rPr>
        <w:t>Agreement as offered herein must be accepted by Employee prior to April 23, 2012. Failure to timely accept the terms by such time will result in the immediate and irrevocable cancellation of the Award offered.</w:t>
      </w:r>
    </w:p>
    <w:p>
      <w:pPr>
        <w:spacing w:after="0" w:line="138" w:lineRule="exact"/>
        <w:rPr>
          <w:sz w:val="20"/>
          <w:szCs w:val="20"/>
          <w:color w:val="auto"/>
        </w:rPr>
      </w:pPr>
    </w:p>
    <w:p>
      <w:pPr>
        <w:ind w:right="40" w:firstLine="464"/>
        <w:spacing w:after="0" w:line="254" w:lineRule="auto"/>
        <w:tabs>
          <w:tab w:leader="none" w:pos="63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In accordance with, and subject to, the terms of the Plan, the Company hereby grants to Employee a stock option award (the “Award”) subject to the terms and conditions set forth herein. This Award of stock options grants you the right to purchase the shares of common stock of Waste Management, Inc., $.01 par value, (“Common Stock”) set forth below at the Grant Price set forth below (the “Grant Price”), subject to the conditions and restrictions on exercise and transferability set forth below and in the Plan. The number of shares subject to option under this Award is the number of announced to Employee on March 9, 2012. The Grant Price is the Fair Market Value of a share of Common Stock on the Grant Date. The maximum term of the Award is the 10</w:t>
      </w:r>
      <w:r>
        <w:rPr>
          <w:rFonts w:ascii="Arial" w:cs="Arial" w:eastAsia="Arial" w:hAnsi="Arial"/>
          <w:sz w:val="11"/>
          <w:szCs w:val="11"/>
          <w:color w:val="auto"/>
        </w:rPr>
        <w:t>th</w:t>
      </w:r>
      <w:r>
        <w:rPr>
          <w:rFonts w:ascii="Arial" w:cs="Arial" w:eastAsia="Arial" w:hAnsi="Arial"/>
          <w:sz w:val="18"/>
          <w:szCs w:val="18"/>
          <w:color w:val="auto"/>
        </w:rPr>
        <w:t xml:space="preserve"> anniversary of the Grant Date.</w:t>
      </w:r>
    </w:p>
    <w:p>
      <w:pPr>
        <w:spacing w:after="0" w:line="144" w:lineRule="exact"/>
        <w:rPr>
          <w:rFonts w:ascii="Arial" w:cs="Arial" w:eastAsia="Arial" w:hAnsi="Arial"/>
          <w:sz w:val="18"/>
          <w:szCs w:val="18"/>
          <w:color w:val="auto"/>
        </w:rPr>
      </w:pPr>
    </w:p>
    <w:p>
      <w:pPr>
        <w:ind w:left="640" w:hanging="17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General Rule</w:t>
      </w:r>
      <w:r>
        <w:rPr>
          <w:rFonts w:ascii="Arial" w:cs="Arial" w:eastAsia="Arial" w:hAnsi="Arial"/>
          <w:sz w:val="18"/>
          <w:szCs w:val="18"/>
          <w:color w:val="auto"/>
        </w:rPr>
        <w:t>. Except as provided in the remainder of this Section, the Award shall become exercisable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00" w:type="dxa"/>
            <w:vAlign w:val="bottom"/>
            <w:gridSpan w:val="3"/>
          </w:tcPr>
          <w:p>
            <w:pPr>
              <w:spacing w:after="0"/>
              <w:rPr>
                <w:sz w:val="20"/>
                <w:szCs w:val="20"/>
                <w:color w:val="auto"/>
              </w:rPr>
            </w:pPr>
            <w:r>
              <w:rPr>
                <w:rFonts w:ascii="Arial" w:cs="Arial" w:eastAsia="Arial" w:hAnsi="Arial"/>
                <w:sz w:val="14"/>
                <w:szCs w:val="14"/>
                <w:b w:val="1"/>
                <w:bCs w:val="1"/>
                <w:color w:val="auto"/>
              </w:rPr>
              <w:t>Exercise Date</w:t>
            </w:r>
          </w:p>
        </w:tc>
        <w:tc>
          <w:tcPr>
            <w:tcW w:w="31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Percentage of Option Exercisable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to the first anniversary of the Grant Date</w:t>
            </w:r>
          </w:p>
        </w:tc>
        <w:tc>
          <w:tcPr>
            <w:tcW w:w="3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On or after the first anniversary of the Grant Date</w:t>
            </w:r>
          </w:p>
        </w:tc>
        <w:tc>
          <w:tcPr>
            <w:tcW w:w="316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or after the second anniversary of the Grant Date</w:t>
            </w:r>
          </w:p>
        </w:tc>
        <w:tc>
          <w:tcPr>
            <w:tcW w:w="3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On or after the third anniversary of the Grant Date</w:t>
            </w:r>
          </w:p>
        </w:tc>
        <w:tc>
          <w:tcPr>
            <w:tcW w:w="316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provided, however, except as otherwise provided for under this Agreement, the Employee must remain employed by the Company continuously through the applicable exercise dates.</w:t>
      </w:r>
    </w:p>
    <w:p>
      <w:pPr>
        <w:sectPr>
          <w:pgSz w:w="11900" w:h="16838" w:orient="portrait"/>
          <w:cols w:equalWidth="0" w:num="1">
            <w:col w:w="11420"/>
          </w:cols>
          <w:pgMar w:left="240" w:top="125" w:right="239" w:bottom="1440" w:gutter="0" w:footer="0" w:header="0"/>
        </w:sectPr>
      </w:pPr>
    </w:p>
    <w:bookmarkStart w:id="36" w:name="page37"/>
    <w:bookmarkEnd w:id="36"/>
    <w:p>
      <w:pPr>
        <w:ind w:left="-464" w:right="40" w:firstLine="464"/>
        <w:spacing w:after="0" w:line="256" w:lineRule="auto"/>
        <w:tabs>
          <w:tab w:leader="none" w:pos="241"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Retirement</w:t>
      </w:r>
      <w:r>
        <w:rPr>
          <w:rFonts w:ascii="Arial" w:cs="Arial" w:eastAsia="Arial" w:hAnsi="Arial"/>
          <w:sz w:val="18"/>
          <w:szCs w:val="18"/>
          <w:color w:val="auto"/>
        </w:rPr>
        <w:t>. Upon the Employee’s termination of employment from the Company due to Retirement, the Options subject to the Award shall continue to become exercisable following the schedule under paragraph (a) above for three years following the Employee’s Retirement and once exercisable shall remain exercisable for the three year period following the Employee’s Retirement; provided, however, in no event will the Award be exercisable beyond the original term of the Award.</w:t>
      </w:r>
    </w:p>
    <w:p>
      <w:pPr>
        <w:spacing w:after="0" w:line="143" w:lineRule="exact"/>
        <w:rPr>
          <w:rFonts w:ascii="Arial" w:cs="Arial" w:eastAsia="Arial" w:hAnsi="Arial"/>
          <w:sz w:val="18"/>
          <w:szCs w:val="18"/>
          <w:color w:val="auto"/>
        </w:rPr>
      </w:pPr>
    </w:p>
    <w:p>
      <w:pPr>
        <w:ind w:left="-464" w:right="60" w:firstLine="464"/>
        <w:spacing w:after="0" w:line="291" w:lineRule="auto"/>
        <w:tabs>
          <w:tab w:leader="none" w:pos="231"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Death or Disability</w:t>
      </w:r>
      <w:r>
        <w:rPr>
          <w:rFonts w:ascii="Arial" w:cs="Arial" w:eastAsia="Arial" w:hAnsi="Arial"/>
          <w:sz w:val="16"/>
          <w:szCs w:val="16"/>
          <w:color w:val="auto"/>
        </w:rPr>
        <w:t>. Upon termination of employment from the Company by reason of Employee’s death or disability (as determined by the Committee), Employee (or in the case of Employee’s death, Employee’s beneficiary) shall be entitled to exercise all of the options then outstanding under the Award (whether or not previously exercisable under paragraph (a) above) for one year following the Employee’s termination of employment due to death or disability, as the case may be; provided, however, in no event will the Award be exercisable beyond the original term of the Award. Notwithstanding the foregoing, in the event Employee was eligible for Retirement at the time of his death or disability, the Award will remain exercisable for three years following the termination of employment; provided, however, in no event with the Award be exercisable beyond the original term of the Award.</w:t>
      </w:r>
    </w:p>
    <w:p>
      <w:pPr>
        <w:spacing w:after="0" w:line="120" w:lineRule="exact"/>
        <w:rPr>
          <w:rFonts w:ascii="Arial" w:cs="Arial" w:eastAsia="Arial" w:hAnsi="Arial"/>
          <w:sz w:val="16"/>
          <w:szCs w:val="16"/>
          <w:color w:val="auto"/>
        </w:rPr>
      </w:pPr>
    </w:p>
    <w:p>
      <w:pPr>
        <w:ind w:left="-464" w:firstLine="464"/>
        <w:spacing w:after="0" w:line="306" w:lineRule="auto"/>
        <w:tabs>
          <w:tab w:leader="none" w:pos="241"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Involuntary Termination of Employment Without Cause</w:t>
      </w:r>
      <w:r>
        <w:rPr>
          <w:rFonts w:ascii="Arial" w:cs="Arial" w:eastAsia="Arial" w:hAnsi="Arial"/>
          <w:sz w:val="16"/>
          <w:szCs w:val="16"/>
          <w:color w:val="auto"/>
        </w:rPr>
        <w:t>. Upon an involuntary termination of employment without Cause by the Company, Employee shall be entitled to exercise all of the options then outstanding and exercisable under the Award immediately prior to termination of employment for a period of 90 days following the Employee’s termination of employment; provided, however, in no event will the Award be exercisable beyond the original term of the Award.</w:t>
      </w:r>
    </w:p>
    <w:p>
      <w:pPr>
        <w:spacing w:after="0" w:line="106" w:lineRule="exact"/>
        <w:rPr>
          <w:rFonts w:ascii="Arial" w:cs="Arial" w:eastAsia="Arial" w:hAnsi="Arial"/>
          <w:sz w:val="16"/>
          <w:szCs w:val="16"/>
          <w:color w:val="auto"/>
        </w:rPr>
      </w:pPr>
    </w:p>
    <w:p>
      <w:pPr>
        <w:ind w:left="-464" w:right="60" w:firstLine="464"/>
        <w:spacing w:after="0" w:line="306" w:lineRule="auto"/>
        <w:tabs>
          <w:tab w:leader="none" w:pos="231"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Upon a termination of employment by the Company with Cause, Employee shall forfeit all options under the Award, whether or not previously exercisable, without the payment of any consideration or further consideration by the Company. Upon forfeiture, neither Employee nor any successors, heirs, assigns, or legal representatives of Employee shall thereafter have any further rights or interest in the unvested portion of the Award.</w:t>
      </w:r>
    </w:p>
    <w:p>
      <w:pPr>
        <w:spacing w:after="0" w:line="106" w:lineRule="exact"/>
        <w:rPr>
          <w:rFonts w:ascii="Arial" w:cs="Arial" w:eastAsia="Arial" w:hAnsi="Arial"/>
          <w:sz w:val="16"/>
          <w:szCs w:val="16"/>
          <w:color w:val="auto"/>
        </w:rPr>
      </w:pPr>
    </w:p>
    <w:p>
      <w:pPr>
        <w:ind w:left="-464" w:right="20" w:firstLine="464"/>
        <w:spacing w:after="0" w:line="287" w:lineRule="auto"/>
        <w:tabs>
          <w:tab w:leader="none" w:pos="211"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Involuntary Termination by Company or Resignation by Employee for Good Reason following a Change in Control</w:t>
      </w:r>
      <w:r>
        <w:rPr>
          <w:rFonts w:ascii="Arial" w:cs="Arial" w:eastAsia="Arial" w:hAnsi="Arial"/>
          <w:sz w:val="16"/>
          <w:szCs w:val="16"/>
          <w:color w:val="auto"/>
        </w:rPr>
        <w:t>. In the event of an involuntary termination of employment without Cause or a resignation from employment by the Employee for Good Reason that, in either case, occurs on or before the second anniversary of the occurrence of a Change in Control, the Award shall become exercisable immediately (whether or not previously exercisable under paragraph (a) above). For purposes of this Section 2(f), “Good Reason” has the meaning assigned in Employee’s written employment agreement, as in effect on the Grant Date; in the event there is no such agreement or definition provided, then “Good Reason” means the initial existence of one or more of the following conditions, arising without the consent of Employee: (1) a material diminution in Employee’s base compensation; (2) a material diminution in the service provider’s authority, duties, or responsibilities, so as to effectively cause Employee to no longer be performing the duties of his position; (3) a material diminution in the authority, duties, or responsibilities of the supervisor to whom Employee is required to report. Upon an the occurrence of such a termination of employment or resignation, the Options subject to the Award shall remain exercisable for the three (3) year period following the termination of employment; provided, however, in no event will the Award be exercisable beyond the original term of the Award.</w:t>
      </w:r>
    </w:p>
    <w:p>
      <w:pPr>
        <w:spacing w:after="0" w:line="109" w:lineRule="exact"/>
        <w:rPr>
          <w:rFonts w:ascii="Arial" w:cs="Arial" w:eastAsia="Arial" w:hAnsi="Arial"/>
          <w:sz w:val="16"/>
          <w:szCs w:val="16"/>
          <w:color w:val="auto"/>
        </w:rPr>
      </w:pPr>
    </w:p>
    <w:p>
      <w:pPr>
        <w:ind w:left="5216" w:hanging="112"/>
        <w:spacing w:after="0"/>
        <w:tabs>
          <w:tab w:leader="none" w:pos="5216" w:val="left"/>
        </w:tabs>
        <w:numPr>
          <w:ilvl w:val="1"/>
          <w:numId w:val="54"/>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56"/>
          </w:cols>
          <w:pgMar w:left="704" w:top="280" w:right="239" w:bottom="1440" w:gutter="0" w:footer="0" w:header="0"/>
        </w:sectPr>
      </w:pPr>
    </w:p>
    <w:bookmarkStart w:id="37" w:name="page38"/>
    <w:bookmarkEnd w:id="37"/>
    <w:p>
      <w:pPr>
        <w:ind w:left="-464" w:right="160" w:firstLine="464"/>
        <w:spacing w:after="0" w:line="259" w:lineRule="auto"/>
        <w:tabs>
          <w:tab w:leader="none" w:pos="241"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Restrictive Covenants</w:t>
      </w:r>
      <w:r>
        <w:rPr>
          <w:rFonts w:ascii="Arial" w:cs="Arial" w:eastAsia="Arial" w:hAnsi="Arial"/>
          <w:sz w:val="18"/>
          <w:szCs w:val="18"/>
          <w:color w:val="auto"/>
        </w:rPr>
        <w:t>. Notwithstanding any other term of this Agreement to the contrary, in order to be eligible to exercise any portion of the Award, Employee must also have entered into an agreement containing restrictive covenants concerning limitations on Employee’s behavior following termination of employment that is satisfactory to the Company and its affiliates.</w:t>
      </w:r>
    </w:p>
    <w:p>
      <w:pPr>
        <w:spacing w:after="0" w:line="140" w:lineRule="exact"/>
        <w:rPr>
          <w:sz w:val="20"/>
          <w:szCs w:val="20"/>
          <w:color w:val="auto"/>
        </w:rPr>
      </w:pPr>
    </w:p>
    <w:p>
      <w:pPr>
        <w:ind w:left="176" w:hanging="176"/>
        <w:spacing w:after="0"/>
        <w:tabs>
          <w:tab w:leader="none" w:pos="17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90" w:lineRule="exact"/>
        <w:rPr>
          <w:sz w:val="20"/>
          <w:szCs w:val="20"/>
          <w:color w:val="auto"/>
        </w:rPr>
      </w:pPr>
    </w:p>
    <w:p>
      <w:pPr>
        <w:ind w:left="-464" w:right="120" w:firstLine="464"/>
        <w:spacing w:after="0" w:line="332" w:lineRule="auto"/>
        <w:tabs>
          <w:tab w:leader="none" w:pos="231"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Manner of Exercise</w:t>
      </w:r>
      <w:r>
        <w:rPr>
          <w:rFonts w:ascii="Arial" w:cs="Arial" w:eastAsia="Arial" w:hAnsi="Arial"/>
          <w:sz w:val="16"/>
          <w:szCs w:val="16"/>
          <w:color w:val="auto"/>
        </w:rPr>
        <w:t>. To the extent exercisable under Section 3, the Employee may exercise his or her Award, in whole or in part, by delivering written notice to the Company in accordance with Section 22 and in such form as the Company may require from time to time. Such notice of exercise shall:</w:t>
      </w:r>
    </w:p>
    <w:p>
      <w:pPr>
        <w:spacing w:after="0" w:line="4" w:lineRule="exact"/>
        <w:rPr>
          <w:rFonts w:ascii="Arial" w:cs="Arial" w:eastAsia="Arial" w:hAnsi="Arial"/>
          <w:sz w:val="16"/>
          <w:szCs w:val="16"/>
          <w:color w:val="auto"/>
        </w:rPr>
      </w:pPr>
    </w:p>
    <w:p>
      <w:pPr>
        <w:ind w:left="676" w:hanging="219"/>
        <w:spacing w:after="0"/>
        <w:tabs>
          <w:tab w:leader="none" w:pos="676" w:val="left"/>
        </w:tabs>
        <w:numPr>
          <w:ilvl w:val="1"/>
          <w:numId w:val="57"/>
        </w:numPr>
        <w:rPr>
          <w:rFonts w:ascii="Arial" w:cs="Arial" w:eastAsia="Arial" w:hAnsi="Arial"/>
          <w:sz w:val="18"/>
          <w:szCs w:val="18"/>
          <w:color w:val="auto"/>
        </w:rPr>
      </w:pPr>
      <w:r>
        <w:rPr>
          <w:rFonts w:ascii="Arial" w:cs="Arial" w:eastAsia="Arial" w:hAnsi="Arial"/>
          <w:sz w:val="18"/>
          <w:szCs w:val="18"/>
          <w:color w:val="auto"/>
        </w:rPr>
        <w:t>specify the number of Common Shares subject to the Option to be purchased;</w:t>
      </w:r>
    </w:p>
    <w:p>
      <w:pPr>
        <w:spacing w:after="0" w:line="171" w:lineRule="exact"/>
        <w:rPr>
          <w:rFonts w:ascii="Arial" w:cs="Arial" w:eastAsia="Arial" w:hAnsi="Arial"/>
          <w:sz w:val="18"/>
          <w:szCs w:val="18"/>
          <w:color w:val="auto"/>
        </w:rPr>
      </w:pPr>
    </w:p>
    <w:p>
      <w:pPr>
        <w:ind w:left="716" w:hanging="259"/>
        <w:spacing w:after="0"/>
        <w:tabs>
          <w:tab w:leader="none" w:pos="716" w:val="left"/>
        </w:tabs>
        <w:numPr>
          <w:ilvl w:val="1"/>
          <w:numId w:val="57"/>
        </w:numPr>
        <w:rPr>
          <w:rFonts w:ascii="Arial" w:cs="Arial" w:eastAsia="Arial" w:hAnsi="Arial"/>
          <w:sz w:val="18"/>
          <w:szCs w:val="18"/>
          <w:color w:val="auto"/>
        </w:rPr>
      </w:pPr>
      <w:r>
        <w:rPr>
          <w:rFonts w:ascii="Arial" w:cs="Arial" w:eastAsia="Arial" w:hAnsi="Arial"/>
          <w:sz w:val="18"/>
          <w:szCs w:val="18"/>
          <w:color w:val="auto"/>
        </w:rPr>
        <w:t>specify the aggregate Grant Price for such Common Shares;</w:t>
      </w:r>
    </w:p>
    <w:p>
      <w:pPr>
        <w:spacing w:after="0" w:line="171" w:lineRule="exact"/>
        <w:rPr>
          <w:rFonts w:ascii="Arial" w:cs="Arial" w:eastAsia="Arial" w:hAnsi="Arial"/>
          <w:sz w:val="18"/>
          <w:szCs w:val="18"/>
          <w:color w:val="auto"/>
        </w:rPr>
      </w:pPr>
    </w:p>
    <w:p>
      <w:pPr>
        <w:ind w:left="756" w:hanging="299"/>
        <w:spacing w:after="0"/>
        <w:tabs>
          <w:tab w:leader="none" w:pos="756" w:val="left"/>
        </w:tabs>
        <w:numPr>
          <w:ilvl w:val="1"/>
          <w:numId w:val="57"/>
        </w:numPr>
        <w:rPr>
          <w:rFonts w:ascii="Arial" w:cs="Arial" w:eastAsia="Arial" w:hAnsi="Arial"/>
          <w:sz w:val="18"/>
          <w:szCs w:val="18"/>
          <w:color w:val="auto"/>
        </w:rPr>
      </w:pPr>
      <w:r>
        <w:rPr>
          <w:rFonts w:ascii="Arial" w:cs="Arial" w:eastAsia="Arial" w:hAnsi="Arial"/>
          <w:sz w:val="18"/>
          <w:szCs w:val="18"/>
          <w:color w:val="auto"/>
        </w:rPr>
        <w:t>be accompanied by payment in full of such aggregate Grant Price.</w:t>
      </w:r>
    </w:p>
    <w:p>
      <w:pPr>
        <w:spacing w:after="0" w:line="171" w:lineRule="exact"/>
        <w:rPr>
          <w:sz w:val="20"/>
          <w:szCs w:val="20"/>
          <w:color w:val="auto"/>
        </w:rPr>
      </w:pPr>
    </w:p>
    <w:p>
      <w:pPr>
        <w:ind w:left="696" w:hanging="239"/>
        <w:spacing w:after="0"/>
        <w:tabs>
          <w:tab w:leader="none" w:pos="696"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Payment of Grant Price</w:t>
      </w:r>
      <w:r>
        <w:rPr>
          <w:rFonts w:ascii="Arial" w:cs="Arial" w:eastAsia="Arial" w:hAnsi="Arial"/>
          <w:sz w:val="18"/>
          <w:szCs w:val="18"/>
          <w:color w:val="auto"/>
        </w:rPr>
        <w:t>. The Grant Price shall be payable to the Company in full by either:</w:t>
      </w:r>
    </w:p>
    <w:p>
      <w:pPr>
        <w:spacing w:after="0" w:line="90" w:lineRule="exact"/>
        <w:rPr>
          <w:rFonts w:ascii="Arial" w:cs="Arial" w:eastAsia="Arial" w:hAnsi="Arial"/>
          <w:sz w:val="18"/>
          <w:szCs w:val="18"/>
          <w:color w:val="auto"/>
        </w:rPr>
      </w:pPr>
    </w:p>
    <w:p>
      <w:pPr>
        <w:ind w:left="676" w:hanging="219"/>
        <w:spacing w:after="0"/>
        <w:tabs>
          <w:tab w:leader="none" w:pos="676"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cash or its equivalent;</w:t>
      </w:r>
    </w:p>
    <w:p>
      <w:pPr>
        <w:spacing w:after="0" w:line="171" w:lineRule="exact"/>
        <w:rPr>
          <w:sz w:val="20"/>
          <w:szCs w:val="20"/>
          <w:color w:val="auto"/>
        </w:rPr>
      </w:pPr>
    </w:p>
    <w:p>
      <w:pPr>
        <w:ind w:left="456" w:right="40" w:firstLine="1"/>
        <w:spacing w:after="0" w:line="268" w:lineRule="auto"/>
        <w:tabs>
          <w:tab w:leader="none" w:pos="714" w:val="left"/>
        </w:tabs>
        <w:numPr>
          <w:ilvl w:val="0"/>
          <w:numId w:val="60"/>
        </w:numPr>
        <w:rPr>
          <w:rFonts w:ascii="Arial" w:cs="Arial" w:eastAsia="Arial" w:hAnsi="Arial"/>
          <w:sz w:val="18"/>
          <w:szCs w:val="18"/>
          <w:color w:val="auto"/>
        </w:rPr>
      </w:pPr>
      <w:r>
        <w:rPr>
          <w:rFonts w:ascii="Arial" w:cs="Arial" w:eastAsia="Arial" w:hAnsi="Arial"/>
          <w:sz w:val="18"/>
          <w:szCs w:val="18"/>
          <w:color w:val="auto"/>
        </w:rPr>
        <w:t>by tendering previously acquired Common Stock that has been held for at least six months and having an aggregate fair market value at the time of exercise equal to the aggregate Grant Price; or</w:t>
      </w:r>
    </w:p>
    <w:p>
      <w:pPr>
        <w:spacing w:after="0" w:line="131" w:lineRule="exact"/>
        <w:rPr>
          <w:rFonts w:ascii="Arial" w:cs="Arial" w:eastAsia="Arial" w:hAnsi="Arial"/>
          <w:sz w:val="18"/>
          <w:szCs w:val="18"/>
          <w:color w:val="auto"/>
        </w:rPr>
      </w:pPr>
    </w:p>
    <w:p>
      <w:pPr>
        <w:ind w:left="756" w:hanging="299"/>
        <w:spacing w:after="0"/>
        <w:tabs>
          <w:tab w:leader="none" w:pos="756"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combination of sub-paragraphs (i) and (ii).</w:t>
      </w:r>
    </w:p>
    <w:p>
      <w:pPr>
        <w:spacing w:after="0" w:line="171" w:lineRule="exact"/>
        <w:rPr>
          <w:sz w:val="20"/>
          <w:szCs w:val="20"/>
          <w:color w:val="auto"/>
        </w:rPr>
      </w:pPr>
    </w:p>
    <w:p>
      <w:pPr>
        <w:ind w:left="456"/>
        <w:spacing w:after="0" w:line="268" w:lineRule="auto"/>
        <w:rPr>
          <w:sz w:val="20"/>
          <w:szCs w:val="20"/>
          <w:color w:val="auto"/>
        </w:rPr>
      </w:pPr>
      <w:r>
        <w:rPr>
          <w:rFonts w:ascii="Arial" w:cs="Arial" w:eastAsia="Arial" w:hAnsi="Arial"/>
          <w:sz w:val="18"/>
          <w:szCs w:val="18"/>
          <w:color w:val="auto"/>
        </w:rPr>
        <w:t>In addition, payment of the Grant Price may be made by one or more of the following methods either upon written consent from the Committee or if one or more of the following methods will not result in a charge to earnings for financial reporting purposes:</w:t>
      </w:r>
    </w:p>
    <w:p>
      <w:pPr>
        <w:spacing w:after="0" w:line="51" w:lineRule="exact"/>
        <w:rPr>
          <w:sz w:val="20"/>
          <w:szCs w:val="20"/>
          <w:color w:val="auto"/>
        </w:rPr>
      </w:pPr>
    </w:p>
    <w:p>
      <w:pPr>
        <w:ind w:left="456" w:firstLine="1"/>
        <w:spacing w:after="0" w:line="268" w:lineRule="auto"/>
        <w:tabs>
          <w:tab w:leader="none" w:pos="7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by withholding Common Stock that otherwise would be acquired on exercise having an aggregate fair market value at the time of exercise equal to the aggregate Grant Price;</w:t>
      </w:r>
    </w:p>
    <w:p>
      <w:pPr>
        <w:spacing w:after="0" w:line="131" w:lineRule="exact"/>
        <w:rPr>
          <w:rFonts w:ascii="Arial" w:cs="Arial" w:eastAsia="Arial" w:hAnsi="Arial"/>
          <w:sz w:val="18"/>
          <w:szCs w:val="18"/>
          <w:color w:val="auto"/>
        </w:rPr>
      </w:pPr>
    </w:p>
    <w:p>
      <w:pPr>
        <w:ind w:left="696" w:hanging="239"/>
        <w:spacing w:after="0"/>
        <w:tabs>
          <w:tab w:leader="none" w:pos="696" w:val="left"/>
        </w:tabs>
        <w:numPr>
          <w:ilvl w:val="0"/>
          <w:numId w:val="61"/>
        </w:numPr>
        <w:rPr>
          <w:rFonts w:ascii="Arial" w:cs="Arial" w:eastAsia="Arial" w:hAnsi="Arial"/>
          <w:sz w:val="18"/>
          <w:szCs w:val="18"/>
          <w:color w:val="auto"/>
        </w:rPr>
      </w:pPr>
      <w:r>
        <w:rPr>
          <w:rFonts w:ascii="Arial" w:cs="Arial" w:eastAsia="Arial" w:hAnsi="Arial"/>
          <w:sz w:val="18"/>
          <w:szCs w:val="18"/>
          <w:color w:val="auto"/>
        </w:rPr>
        <w:t>by tendering other Awards payable under the Plan;</w:t>
      </w:r>
    </w:p>
    <w:p>
      <w:pPr>
        <w:spacing w:after="0" w:line="171" w:lineRule="exact"/>
        <w:rPr>
          <w:rFonts w:ascii="Arial" w:cs="Arial" w:eastAsia="Arial" w:hAnsi="Arial"/>
          <w:sz w:val="18"/>
          <w:szCs w:val="18"/>
          <w:color w:val="auto"/>
        </w:rPr>
      </w:pPr>
    </w:p>
    <w:p>
      <w:pPr>
        <w:ind w:left="756" w:hanging="299"/>
        <w:spacing w:after="0"/>
        <w:tabs>
          <w:tab w:leader="none" w:pos="756" w:val="left"/>
        </w:tabs>
        <w:numPr>
          <w:ilvl w:val="0"/>
          <w:numId w:val="61"/>
        </w:numPr>
        <w:rPr>
          <w:rFonts w:ascii="Arial" w:cs="Arial" w:eastAsia="Arial" w:hAnsi="Arial"/>
          <w:sz w:val="16"/>
          <w:szCs w:val="16"/>
          <w:color w:val="auto"/>
        </w:rPr>
      </w:pPr>
      <w:r>
        <w:rPr>
          <w:rFonts w:ascii="Arial" w:cs="Arial" w:eastAsia="Arial" w:hAnsi="Arial"/>
          <w:sz w:val="16"/>
          <w:szCs w:val="16"/>
          <w:color w:val="auto"/>
        </w:rPr>
        <w:t>by cashless exercise through delivery of irrevocable instructions to a broker to promptly deliver to the Company the amount of proceeds from</w:t>
      </w:r>
    </w:p>
    <w:p>
      <w:pPr>
        <w:spacing w:after="0" w:line="180" w:lineRule="exact"/>
        <w:rPr>
          <w:rFonts w:ascii="Arial" w:cs="Arial" w:eastAsia="Arial" w:hAnsi="Arial"/>
          <w:sz w:val="16"/>
          <w:szCs w:val="16"/>
          <w:color w:val="auto"/>
        </w:rPr>
      </w:pPr>
    </w:p>
    <w:p>
      <w:pPr>
        <w:ind w:left="5216" w:hanging="112"/>
        <w:spacing w:after="0"/>
        <w:tabs>
          <w:tab w:leader="none" w:pos="5216" w:val="left"/>
        </w:tabs>
        <w:numPr>
          <w:ilvl w:val="1"/>
          <w:numId w:val="61"/>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896"/>
          </w:cols>
          <w:pgMar w:left="704" w:top="280" w:right="299" w:bottom="1440" w:gutter="0" w:footer="0" w:header="0"/>
        </w:sectPr>
      </w:pPr>
    </w:p>
    <w:bookmarkStart w:id="38" w:name="page39"/>
    <w:bookmarkEnd w:id="38"/>
    <w:p>
      <w:pPr>
        <w:ind w:left="456"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sale of shares having a fair market value equal to the Grant Price, provided that such broker is (A) an approved designee of the Company for these purposes and (B) such instructions are delivered by no later than close of the New York Stock Exchange on the last Trading Day prior to the 10</w:t>
      </w:r>
      <w:r>
        <w:rPr>
          <w:rFonts w:ascii="Arial" w:cs="Arial" w:eastAsia="Arial" w:hAnsi="Arial"/>
          <w:sz w:val="11"/>
          <w:szCs w:val="11"/>
          <w:color w:val="auto"/>
        </w:rPr>
        <w:t>th</w:t>
      </w:r>
      <w:r>
        <w:rPr>
          <w:rFonts w:ascii="Arial" w:cs="Arial" w:eastAsia="Arial" w:hAnsi="Arial"/>
          <w:sz w:val="18"/>
          <w:szCs w:val="18"/>
          <w:color w:val="auto"/>
        </w:rPr>
        <w:t xml:space="preserve"> anniversary of the Grant Date. Payment by cashless exercise shall not be considered to have occurred until such time as such broker has issued confirmation of the transaction;</w:t>
      </w:r>
    </w:p>
    <w:p>
      <w:pPr>
        <w:spacing w:after="0" w:line="143" w:lineRule="exact"/>
        <w:rPr>
          <w:sz w:val="20"/>
          <w:szCs w:val="20"/>
          <w:color w:val="auto"/>
        </w:rPr>
      </w:pPr>
    </w:p>
    <w:p>
      <w:pPr>
        <w:ind w:left="796" w:hanging="339"/>
        <w:spacing w:after="0"/>
        <w:tabs>
          <w:tab w:leader="none" w:pos="796"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combination of sub-paragraphs (iv) through (vi).</w:t>
      </w:r>
    </w:p>
    <w:p>
      <w:pPr>
        <w:spacing w:after="0" w:line="171" w:lineRule="exact"/>
        <w:rPr>
          <w:rFonts w:ascii="Arial" w:cs="Arial" w:eastAsia="Arial" w:hAnsi="Arial"/>
          <w:sz w:val="18"/>
          <w:szCs w:val="18"/>
          <w:color w:val="auto"/>
        </w:rPr>
      </w:pPr>
    </w:p>
    <w:p>
      <w:pPr>
        <w:ind w:left="236" w:hanging="236"/>
        <w:spacing w:after="0"/>
        <w:tabs>
          <w:tab w:leader="none" w:pos="236"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The Company shall not be required to issue any fractional shares of Common Stock.</w:t>
      </w:r>
    </w:p>
    <w:p>
      <w:pPr>
        <w:spacing w:after="0" w:line="171" w:lineRule="exact"/>
        <w:rPr>
          <w:sz w:val="20"/>
          <w:szCs w:val="20"/>
          <w:color w:val="auto"/>
        </w:rPr>
      </w:pPr>
    </w:p>
    <w:p>
      <w:pPr>
        <w:ind w:left="176" w:hanging="176"/>
        <w:spacing w:after="0"/>
        <w:tabs>
          <w:tab w:leader="none" w:pos="176"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Repayment of Benefits Arising from Misconduct.</w:t>
      </w:r>
    </w:p>
    <w:p>
      <w:pPr>
        <w:spacing w:after="0" w:line="90" w:lineRule="exact"/>
        <w:rPr>
          <w:sz w:val="20"/>
          <w:szCs w:val="20"/>
          <w:color w:val="auto"/>
        </w:rPr>
      </w:pPr>
    </w:p>
    <w:p>
      <w:pPr>
        <w:ind w:left="-464" w:right="300" w:firstLine="464"/>
        <w:spacing w:after="0" w:line="259" w:lineRule="auto"/>
        <w:tabs>
          <w:tab w:leader="none" w:pos="231"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Notwithstanding any provision of this Agreement to the contrary, if it is determined by the Committee that Employee either engaged in or benefited from Misconduct, then, to the extent permitted by law, Employee will refund to the Company any amounts, plus interest, received by Employee under this Agreement.</w:t>
      </w:r>
    </w:p>
    <w:p>
      <w:pPr>
        <w:spacing w:after="0" w:line="140" w:lineRule="exact"/>
        <w:rPr>
          <w:rFonts w:ascii="Arial" w:cs="Arial" w:eastAsia="Arial" w:hAnsi="Arial"/>
          <w:sz w:val="18"/>
          <w:szCs w:val="18"/>
          <w:color w:val="auto"/>
        </w:rPr>
      </w:pPr>
    </w:p>
    <w:p>
      <w:pPr>
        <w:ind w:left="-464" w:firstLine="464"/>
        <w:spacing w:after="0" w:line="290" w:lineRule="auto"/>
        <w:tabs>
          <w:tab w:leader="none" w:pos="241"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Following a finding of Misconduct of the Employee, the Employee may dispute the occurrence of Misconduct pursuant to binding arbitration. Individuals determined to have benefited from, but not engaged in, Misconduct will have no right to challenge the finding of Misconduct through arbitration. The Company and Employee hereby agree that any dispute arising out of or relating to a finding that Employee engaged in Misconduct shall be settled exclusively by final and binding arbitration, as governed by the Federal Arbitration Act (9 U.S.C. 1 </w:t>
      </w:r>
      <w:r>
        <w:rPr>
          <w:rFonts w:ascii="Arial" w:cs="Arial" w:eastAsia="Arial" w:hAnsi="Arial"/>
          <w:sz w:val="16"/>
          <w:szCs w:val="16"/>
          <w:i w:val="1"/>
          <w:iCs w:val="1"/>
          <w:color w:val="auto"/>
        </w:rPr>
        <w:t>et seq</w:t>
      </w:r>
      <w:r>
        <w:rPr>
          <w:rFonts w:ascii="Arial" w:cs="Arial" w:eastAsia="Arial" w:hAnsi="Arial"/>
          <w:sz w:val="16"/>
          <w:szCs w:val="16"/>
          <w:color w:val="auto"/>
        </w:rPr>
        <w:t>.). The arbitration proceeding, including the rendering of an award, shall be administered by JAMS pursuant to its Employment Arbitration Rules and Procedures, which may be found on the JAMS web site www.jamsadr.com. All expenses associated with the arbitration shall be borne by Company. Such arbitration expenses will not include attorney fees incurred by the respective parties. The award of the arbitrator shall be final and binding upon the parties. Judgment on any arbitration award may be entered in any court having jurisdiction.</w:t>
      </w:r>
    </w:p>
    <w:p>
      <w:pPr>
        <w:spacing w:after="0" w:line="118" w:lineRule="exact"/>
        <w:rPr>
          <w:rFonts w:ascii="Arial" w:cs="Arial" w:eastAsia="Arial" w:hAnsi="Arial"/>
          <w:sz w:val="16"/>
          <w:szCs w:val="16"/>
          <w:color w:val="auto"/>
        </w:rPr>
      </w:pPr>
    </w:p>
    <w:p>
      <w:pPr>
        <w:ind w:left="-464" w:right="640" w:firstLine="464"/>
        <w:spacing w:after="0" w:line="268" w:lineRule="auto"/>
        <w:tabs>
          <w:tab w:leader="none" w:pos="23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must initiate any attempt at recovery pursuant to this Section within the earlier to occur of (i) one year after discovery of alleged Misconduct or (ii) the second anniversary of Employee’s termination of employment.</w:t>
      </w:r>
    </w:p>
    <w:p>
      <w:pPr>
        <w:spacing w:after="0" w:line="131" w:lineRule="exact"/>
        <w:rPr>
          <w:rFonts w:ascii="Arial" w:cs="Arial" w:eastAsia="Arial" w:hAnsi="Arial"/>
          <w:sz w:val="18"/>
          <w:szCs w:val="18"/>
          <w:color w:val="auto"/>
        </w:rPr>
      </w:pPr>
    </w:p>
    <w:p>
      <w:pPr>
        <w:ind w:left="-464" w:right="20" w:firstLine="464"/>
        <w:spacing w:after="0" w:line="268" w:lineRule="auto"/>
        <w:tabs>
          <w:tab w:leader="none" w:pos="24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provisions of this Section 5, without implication as to any other section hereof, shall survive the expiration or termination of this Agreement and of Employee’s employment.</w:t>
      </w:r>
    </w:p>
    <w:p>
      <w:pPr>
        <w:spacing w:after="0" w:line="132" w:lineRule="exact"/>
        <w:rPr>
          <w:sz w:val="20"/>
          <w:szCs w:val="20"/>
          <w:color w:val="auto"/>
        </w:rPr>
      </w:pPr>
    </w:p>
    <w:p>
      <w:pPr>
        <w:ind w:left="176" w:hanging="176"/>
        <w:spacing w:after="0"/>
        <w:tabs>
          <w:tab w:leader="none" w:pos="17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p>
    <w:p>
      <w:pPr>
        <w:spacing w:after="0" w:line="90" w:lineRule="exact"/>
        <w:rPr>
          <w:sz w:val="20"/>
          <w:szCs w:val="20"/>
          <w:color w:val="auto"/>
        </w:rPr>
      </w:pPr>
    </w:p>
    <w:p>
      <w:pPr>
        <w:ind w:left="-464" w:right="80" w:firstLine="464"/>
        <w:spacing w:after="0" w:line="306" w:lineRule="auto"/>
        <w:tabs>
          <w:tab w:leader="none" w:pos="231" w:val="left"/>
        </w:tabs>
        <w:numPr>
          <w:ilvl w:val="0"/>
          <w:numId w:val="67"/>
        </w:numPr>
        <w:rPr>
          <w:rFonts w:ascii="Arial" w:cs="Arial" w:eastAsia="Arial" w:hAnsi="Arial"/>
          <w:sz w:val="16"/>
          <w:szCs w:val="16"/>
          <w:color w:val="auto"/>
        </w:rPr>
      </w:pPr>
      <w:r>
        <w:rPr>
          <w:rFonts w:ascii="Arial" w:cs="Arial" w:eastAsia="Arial" w:hAnsi="Arial"/>
          <w:sz w:val="16"/>
          <w:szCs w:val="16"/>
          <w:color w:val="auto"/>
        </w:rPr>
        <w:t>Absent prior written consent of the Committee, the Award granted hereunder to Employee may not be sold, assigned, transferred, pledged or otherwise encumbered, whether voluntarily or involuntarily, by operation of law or otherwise; provided, however, that the transfer of any shares of Common Stock with respect to the Award purchased upon exercise hereunder shall not be restricted by virtue of this Agreement.</w:t>
      </w:r>
    </w:p>
    <w:p>
      <w:pPr>
        <w:spacing w:after="0" w:line="93" w:lineRule="exact"/>
        <w:rPr>
          <w:rFonts w:ascii="Arial" w:cs="Arial" w:eastAsia="Arial" w:hAnsi="Arial"/>
          <w:sz w:val="16"/>
          <w:szCs w:val="16"/>
          <w:color w:val="auto"/>
        </w:rPr>
      </w:pPr>
    </w:p>
    <w:p>
      <w:pPr>
        <w:ind w:left="5216" w:hanging="112"/>
        <w:spacing w:after="0"/>
        <w:tabs>
          <w:tab w:leader="none" w:pos="5216" w:val="left"/>
        </w:tabs>
        <w:numPr>
          <w:ilvl w:val="1"/>
          <w:numId w:val="67"/>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16"/>
          </w:cols>
          <w:pgMar w:left="704" w:top="280" w:right="279" w:bottom="1440" w:gutter="0" w:footer="0" w:header="0"/>
        </w:sectPr>
      </w:pPr>
    </w:p>
    <w:bookmarkStart w:id="39" w:name="page40"/>
    <w:bookmarkEnd w:id="39"/>
    <w:p>
      <w:pPr>
        <w:ind w:left="-454" w:firstLine="464"/>
        <w:spacing w:after="0" w:line="290" w:lineRule="auto"/>
        <w:tabs>
          <w:tab w:leader="none" w:pos="251" w:val="left"/>
        </w:tabs>
        <w:numPr>
          <w:ilvl w:val="0"/>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Consistent with the foregoing, except as contemplated by Section 7,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hereunder shall attempt to transfer, anticipate, alienate, assign, sell, pledge, encumber or charge any right or benefit hereunder, other than as contemplated by Section 7, or if any creditor shall attempt to subject the same to a writ of garnishment, attachment, execution sequestration, or any other form of process or involuntary lien or seizure, then such attempt shall have no effect and shall be void.</w:t>
      </w:r>
    </w:p>
    <w:p>
      <w:pPr>
        <w:spacing w:after="0" w:line="118" w:lineRule="exact"/>
        <w:rPr>
          <w:sz w:val="20"/>
          <w:szCs w:val="20"/>
          <w:color w:val="auto"/>
        </w:rPr>
      </w:pPr>
    </w:p>
    <w:p>
      <w:pPr>
        <w:ind w:left="-454" w:right="120" w:firstLine="464"/>
        <w:spacing w:after="0" w:line="290" w:lineRule="auto"/>
        <w:tabs>
          <w:tab w:leader="none" w:pos="178"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Assignment and Transfers.</w:t>
      </w:r>
      <w:r>
        <w:rPr>
          <w:rFonts w:ascii="Arial" w:cs="Arial" w:eastAsia="Arial" w:hAnsi="Arial"/>
          <w:sz w:val="16"/>
          <w:szCs w:val="16"/>
          <w:color w:val="auto"/>
        </w:rPr>
        <w:t xml:space="preserve"> Prior to the exercise of the Award and the delivery of the Common Stock with respect to the Award, the Award is not transferable (either voluntarily or involuntarily), other than pursuant to a domestic relations order. Employee may designate a beneficiary or beneficiaries (the “Beneficiary”) to whom the Award will pass upon Employee’s death and may change such designation from time to time by filing a written designation of beneficiary on such form as may be prescribed by the Company, provided that no such designation shall be effective until filed with the Company. Following Employee’s death, the Award will pass to the designated Beneficiary and such person will be deemed Employee for purposes of any applicable provisions of this Agreement. If no such designation is made or if the designated Beneficiary does not survive Employee’s death, the Award shall pass by will or, if none, then by the laws of descent and distribution.</w:t>
      </w:r>
    </w:p>
    <w:p>
      <w:pPr>
        <w:spacing w:after="0" w:line="118" w:lineRule="exact"/>
        <w:rPr>
          <w:rFonts w:ascii="Arial" w:cs="Arial" w:eastAsia="Arial" w:hAnsi="Arial"/>
          <w:sz w:val="16"/>
          <w:szCs w:val="16"/>
          <w:color w:val="auto"/>
        </w:rPr>
      </w:pPr>
    </w:p>
    <w:p>
      <w:pPr>
        <w:ind w:left="-454" w:right="140" w:firstLine="464"/>
        <w:spacing w:after="0" w:line="291" w:lineRule="auto"/>
        <w:tabs>
          <w:tab w:leader="none" w:pos="178"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Withholding Tax.</w:t>
      </w:r>
      <w:r>
        <w:rPr>
          <w:rFonts w:ascii="Arial" w:cs="Arial" w:eastAsia="Arial" w:hAnsi="Arial"/>
          <w:sz w:val="16"/>
          <w:szCs w:val="16"/>
          <w:color w:val="auto"/>
        </w:rPr>
        <w:t xml:space="preserve"> The Employee acknowledges and agrees that the Employee is responsible for the tax consequences associated with the grant of the Award and its exercise. To the extent that the receipt of this Award, exercise, or the delivery of the Common Stock with respect to any Award results in a taxable event to Employee for federal or state tax purposes, Employee shall deliver to the Company at such time, such amount of money or shares of Common Stock earned or owned by Employee, at Employee’s election, as the Company may require to meet its obligation under applicable tax laws or regulations, and, if Employee fails to do so, the Company is authorized to withhold from any cash or other form of remuneration then or thereafter payable to Employee any tax required to be withheld by reasons of such resulting taxation.</w:t>
      </w:r>
    </w:p>
    <w:p>
      <w:pPr>
        <w:spacing w:after="0" w:line="120" w:lineRule="exact"/>
        <w:rPr>
          <w:rFonts w:ascii="Arial" w:cs="Arial" w:eastAsia="Arial" w:hAnsi="Arial"/>
          <w:sz w:val="16"/>
          <w:szCs w:val="16"/>
          <w:color w:val="auto"/>
        </w:rPr>
      </w:pPr>
    </w:p>
    <w:p>
      <w:pPr>
        <w:jc w:val="both"/>
        <w:ind w:left="-454" w:right="260" w:firstLine="464"/>
        <w:spacing w:after="0" w:line="259" w:lineRule="auto"/>
        <w:tabs>
          <w:tab w:leader="none" w:pos="178"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Changes in Capital Structure</w:t>
      </w:r>
      <w:r>
        <w:rPr>
          <w:rFonts w:ascii="Arial" w:cs="Arial" w:eastAsia="Arial" w:hAnsi="Arial"/>
          <w:sz w:val="18"/>
          <w:szCs w:val="18"/>
          <w:color w:val="auto"/>
        </w:rPr>
        <w:t>. As may be determined to be appropriate and equitable by the Committee, in its complete and sole discretion, to prevent dilution or enlargement of rights, the Committee shall make or authorize to be made an adjustment in the number and class of Common Stock and/or the Grant Price to prevent dilution or enlargement of rights, as a result of the following:</w:t>
      </w:r>
    </w:p>
    <w:p>
      <w:pPr>
        <w:spacing w:after="0" w:line="59" w:lineRule="exact"/>
        <w:rPr>
          <w:sz w:val="20"/>
          <w:szCs w:val="20"/>
          <w:color w:val="auto"/>
        </w:rPr>
      </w:pPr>
    </w:p>
    <w:p>
      <w:pPr>
        <w:ind w:left="446" w:hanging="446"/>
        <w:spacing w:after="0"/>
        <w:tabs>
          <w:tab w:leader="none" w:pos="446"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adjustment, recapitalization, reorganization or other changes in the Company’s capital structure or its business;</w:t>
      </w:r>
    </w:p>
    <w:p>
      <w:pPr>
        <w:spacing w:after="0" w:line="157" w:lineRule="exact"/>
        <w:rPr>
          <w:rFonts w:ascii="Arial" w:cs="Arial" w:eastAsia="Arial" w:hAnsi="Arial"/>
          <w:sz w:val="18"/>
          <w:szCs w:val="18"/>
          <w:color w:val="auto"/>
        </w:rPr>
      </w:pPr>
    </w:p>
    <w:p>
      <w:pPr>
        <w:ind w:left="5226" w:hanging="112"/>
        <w:spacing w:after="0"/>
        <w:tabs>
          <w:tab w:leader="none" w:pos="5226" w:val="left"/>
        </w:tabs>
        <w:numPr>
          <w:ilvl w:val="1"/>
          <w:numId w:val="70"/>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966"/>
          </w:cols>
          <w:pgMar w:left="694" w:top="280" w:right="239" w:bottom="1440" w:gutter="0" w:footer="0" w:header="0"/>
        </w:sectPr>
      </w:pPr>
    </w:p>
    <w:bookmarkStart w:id="40" w:name="page41"/>
    <w:bookmarkEnd w:id="40"/>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merger or consolidation of the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issuance of bonds, debentures, preferred or prior preference stock ahead of or affecting the Company’s Common Stock or the rights thereof;</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dissolution or liquidation of the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sale or transfer of all or any part of the Company’s assets or business;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other corporate act or proceeding, whether of a similar character or otherwise.</w:t>
      </w:r>
    </w:p>
    <w:p>
      <w:pPr>
        <w:spacing w:after="0" w:line="171" w:lineRule="exact"/>
        <w:rPr>
          <w:rFonts w:ascii="Arial" w:cs="Arial" w:eastAsia="Arial" w:hAnsi="Arial"/>
          <w:sz w:val="18"/>
          <w:szCs w:val="18"/>
          <w:color w:val="auto"/>
        </w:rPr>
      </w:pPr>
    </w:p>
    <w:p>
      <w:pPr>
        <w:ind w:firstLine="464"/>
        <w:spacing w:after="0" w:line="253" w:lineRule="auto"/>
        <w:tabs>
          <w:tab w:leader="none" w:pos="720"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xml:space="preserve"> The Company reserves the right to delay the Employee’s exercise of the Award and will not be required to deliver any shares of Common Stock pursuant to this Agreement, if, in the opinion of counsel for the Company, such issuance would violate the Securities Act of 1933 or any other applicable federal or state securities laws or regulations. Prior to the issuance of any shares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 including an agreement (in such form as the Committee may specify) in which Employee represents that the shares of Common Stock acquired by him or her upon exercise are being acquired for investment and not with a view to the sale or distribution thereof.</w:t>
      </w:r>
    </w:p>
    <w:p>
      <w:pPr>
        <w:spacing w:after="0" w:line="14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may postpone issuing and delivering any Common Stock for so long as the Company reasonably determines to be necessary to satisfy the following conditions:</w:t>
      </w:r>
    </w:p>
    <w:p>
      <w:pPr>
        <w:spacing w:after="0" w:line="51" w:lineRule="exact"/>
        <w:rPr>
          <w:sz w:val="20"/>
          <w:szCs w:val="20"/>
          <w:color w:val="auto"/>
        </w:rPr>
      </w:pPr>
    </w:p>
    <w:p>
      <w:pPr>
        <w:ind w:left="900" w:right="28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its completing or amending any securities registration or qualification of the Common Stock or it of the Employee satisfying any exemption from registration under any federal or state law, rule or regulation;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its receiving proof it considers satisfactory that a person seeking to exercise the Award after the Employee’s death is entitled to do so;</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Employee complying with any requests for representations under the Plan;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Employee complying with any federal, state or local tax withholding obligations.</w:t>
      </w:r>
    </w:p>
    <w:p>
      <w:pPr>
        <w:spacing w:after="0" w:line="171" w:lineRule="exact"/>
        <w:rPr>
          <w:rFonts w:ascii="Arial" w:cs="Arial" w:eastAsia="Arial" w:hAnsi="Arial"/>
          <w:sz w:val="18"/>
          <w:szCs w:val="18"/>
          <w:color w:val="auto"/>
        </w:rPr>
      </w:pPr>
    </w:p>
    <w:p>
      <w:pPr>
        <w:ind w:right="160" w:firstLine="464"/>
        <w:spacing w:after="0" w:line="306" w:lineRule="auto"/>
        <w:tabs>
          <w:tab w:leader="none" w:pos="713"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Employee to Have no Rights as a Stockholder.</w:t>
      </w:r>
      <w:r>
        <w:rPr>
          <w:rFonts w:ascii="Arial" w:cs="Arial" w:eastAsia="Arial" w:hAnsi="Arial"/>
          <w:sz w:val="16"/>
          <w:szCs w:val="16"/>
          <w:color w:val="auto"/>
        </w:rPr>
        <w:t xml:space="preserve"> Employee shall have no rights as a stockholder with respect to any shares of Common Stock subject to this Award prior to the date on which he or she is recorded as the holder of such shares of Common Stock on the records of the Company, including no right to dividends declared on the Common Stock underlying the Award.</w:t>
      </w:r>
    </w:p>
    <w:p>
      <w:pPr>
        <w:spacing w:after="0" w:line="93" w:lineRule="exact"/>
        <w:rPr>
          <w:rFonts w:ascii="Arial" w:cs="Arial" w:eastAsia="Arial" w:hAnsi="Arial"/>
          <w:sz w:val="16"/>
          <w:szCs w:val="16"/>
          <w:color w:val="auto"/>
        </w:rPr>
      </w:pPr>
    </w:p>
    <w:p>
      <w:pPr>
        <w:ind w:left="5680" w:hanging="112"/>
        <w:spacing w:after="0"/>
        <w:tabs>
          <w:tab w:leader="none" w:pos="5680" w:val="left"/>
        </w:tabs>
        <w:numPr>
          <w:ilvl w:val="2"/>
          <w:numId w:val="72"/>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00"/>
          </w:cols>
          <w:pgMar w:left="240" w:top="280" w:right="259" w:bottom="1440" w:gutter="0" w:footer="0" w:header="0"/>
        </w:sectPr>
      </w:pPr>
    </w:p>
    <w:bookmarkStart w:id="41" w:name="page42"/>
    <w:bookmarkEnd w:id="41"/>
    <w:p>
      <w:pPr>
        <w:ind w:left="680" w:hanging="256"/>
        <w:spacing w:after="0"/>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Successors and Assigns</w:t>
      </w:r>
      <w:r>
        <w:rPr>
          <w:rFonts w:ascii="Arial" w:cs="Arial" w:eastAsia="Arial" w:hAnsi="Arial"/>
          <w:sz w:val="18"/>
          <w:szCs w:val="18"/>
          <w:color w:val="auto"/>
        </w:rPr>
        <w:t>.</w:t>
      </w:r>
    </w:p>
    <w:p>
      <w:pPr>
        <w:spacing w:after="0" w:line="90" w:lineRule="exact"/>
        <w:rPr>
          <w:sz w:val="20"/>
          <w:szCs w:val="20"/>
          <w:color w:val="auto"/>
        </w:rPr>
      </w:pPr>
    </w:p>
    <w:p>
      <w:pPr>
        <w:ind w:left="-40" w:firstLine="464"/>
        <w:spacing w:after="0" w:line="259"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This Agreement shall bind and inure to the benefit of and be enforceable by Employee, the Company and their respective permitted successors or assigns (including personal representatives, heirs and legatees), except that Employee may not assign any rights or obligations under this Agreement except to the extent, and in the manner, expressly permitted herein.</w:t>
      </w:r>
    </w:p>
    <w:p>
      <w:pPr>
        <w:spacing w:after="0" w:line="140" w:lineRule="exact"/>
        <w:rPr>
          <w:rFonts w:ascii="Arial" w:cs="Arial" w:eastAsia="Arial" w:hAnsi="Arial"/>
          <w:sz w:val="18"/>
          <w:szCs w:val="18"/>
          <w:color w:val="auto"/>
        </w:rPr>
      </w:pPr>
    </w:p>
    <w:p>
      <w:pPr>
        <w:ind w:left="-40" w:right="160" w:firstLine="464"/>
        <w:spacing w:after="0" w:line="259" w:lineRule="auto"/>
        <w:tabs>
          <w:tab w:leader="none" w:pos="66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Limitation of Rights</w:t>
      </w:r>
      <w:r>
        <w:rPr>
          <w:rFonts w:ascii="Arial" w:cs="Arial" w:eastAsia="Arial" w:hAnsi="Arial"/>
          <w:sz w:val="18"/>
          <w:szCs w:val="18"/>
          <w:color w:val="auto"/>
        </w:rPr>
        <w:t>. Nothing in this Agreement or the Plan may be construed to:</w:t>
      </w:r>
    </w:p>
    <w:p>
      <w:pPr>
        <w:spacing w:after="0" w:line="90" w:lineRule="exact"/>
        <w:rPr>
          <w:sz w:val="20"/>
          <w:szCs w:val="20"/>
          <w:color w:val="auto"/>
        </w:rPr>
      </w:pPr>
    </w:p>
    <w:p>
      <w:pPr>
        <w:ind w:left="660" w:hanging="236"/>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give Employee any right to be awarded any further Options (or other form of stock incentive awards) other than in the sole discretion of the Committee;</w:t>
      </w:r>
    </w:p>
    <w:p>
      <w:pPr>
        <w:spacing w:after="0" w:line="194" w:lineRule="exact"/>
        <w:rPr>
          <w:rFonts w:ascii="Arial" w:cs="Arial" w:eastAsia="Arial" w:hAnsi="Arial"/>
          <w:sz w:val="16"/>
          <w:szCs w:val="16"/>
          <w:color w:val="auto"/>
        </w:rPr>
      </w:pPr>
    </w:p>
    <w:p>
      <w:pPr>
        <w:ind w:left="-40" w:right="320" w:firstLine="464"/>
        <w:spacing w:after="0" w:line="268" w:lineRule="auto"/>
        <w:tabs>
          <w:tab w:leader="none" w:pos="665" w:val="left"/>
        </w:tabs>
        <w:numPr>
          <w:ilvl w:val="0"/>
          <w:numId w:val="75"/>
        </w:numPr>
        <w:rPr>
          <w:rFonts w:ascii="Arial" w:cs="Arial" w:eastAsia="Arial" w:hAnsi="Arial"/>
          <w:sz w:val="18"/>
          <w:szCs w:val="18"/>
          <w:color w:val="auto"/>
        </w:rPr>
      </w:pPr>
      <w:r>
        <w:rPr>
          <w:rFonts w:ascii="Arial" w:cs="Arial" w:eastAsia="Arial" w:hAnsi="Arial"/>
          <w:sz w:val="18"/>
          <w:szCs w:val="18"/>
          <w:color w:val="auto"/>
        </w:rPr>
        <w:t>give Employee or any other person any interest in any fund or in any specified asset or assets of the Company (other than the Award and applicable Common Stock following the exercise of such Award); or</w:t>
      </w:r>
    </w:p>
    <w:p>
      <w:pPr>
        <w:spacing w:after="0" w:line="131" w:lineRule="exact"/>
        <w:rPr>
          <w:rFonts w:ascii="Arial" w:cs="Arial" w:eastAsia="Arial" w:hAnsi="Arial"/>
          <w:sz w:val="18"/>
          <w:szCs w:val="18"/>
          <w:color w:val="auto"/>
        </w:rPr>
      </w:pPr>
    </w:p>
    <w:p>
      <w:pPr>
        <w:ind w:left="660" w:hanging="236"/>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confer upon Employee the right to continue in the employment or service of the Company.</w:t>
      </w:r>
    </w:p>
    <w:p>
      <w:pPr>
        <w:spacing w:after="0" w:line="171" w:lineRule="exact"/>
        <w:rPr>
          <w:sz w:val="20"/>
          <w:szCs w:val="20"/>
          <w:color w:val="auto"/>
        </w:rPr>
      </w:pPr>
    </w:p>
    <w:p>
      <w:pPr>
        <w:ind w:left="-40" w:right="240" w:firstLine="464"/>
        <w:spacing w:after="0" w:line="268" w:lineRule="auto"/>
        <w:tabs>
          <w:tab w:leader="none" w:pos="68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Texas, without reference to principles of conflict of laws.</w:t>
      </w:r>
    </w:p>
    <w:p>
      <w:pPr>
        <w:spacing w:after="0" w:line="131" w:lineRule="exact"/>
        <w:rPr>
          <w:rFonts w:ascii="Arial" w:cs="Arial" w:eastAsia="Arial" w:hAnsi="Arial"/>
          <w:sz w:val="18"/>
          <w:szCs w:val="18"/>
          <w:color w:val="auto"/>
        </w:rPr>
      </w:pPr>
    </w:p>
    <w:p>
      <w:pPr>
        <w:ind w:left="-40" w:right="100" w:firstLine="464"/>
        <w:spacing w:after="0" w:line="268" w:lineRule="auto"/>
        <w:tabs>
          <w:tab w:leader="none" w:pos="68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w:t>
      </w:r>
    </w:p>
    <w:p>
      <w:pPr>
        <w:spacing w:after="0" w:line="131" w:lineRule="exact"/>
        <w:rPr>
          <w:rFonts w:ascii="Arial" w:cs="Arial" w:eastAsia="Arial" w:hAnsi="Arial"/>
          <w:sz w:val="18"/>
          <w:szCs w:val="18"/>
          <w:color w:val="auto"/>
        </w:rPr>
      </w:pPr>
    </w:p>
    <w:p>
      <w:pPr>
        <w:jc w:val="both"/>
        <w:ind w:left="-40" w:right="120" w:firstLine="464"/>
        <w:spacing w:after="0" w:line="259" w:lineRule="auto"/>
        <w:tabs>
          <w:tab w:leader="none" w:pos="68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Employee or the Company to insist upon strict compliance with any provision of this Agreement or the failure to assert any right Employee or the Company may have under this Agreement shall not be deemed to be a waiver of such provision or right or any other provision or right of this Agreement.</w:t>
      </w:r>
    </w:p>
    <w:p>
      <w:pPr>
        <w:spacing w:after="0" w:line="140" w:lineRule="exact"/>
        <w:rPr>
          <w:rFonts w:ascii="Arial" w:cs="Arial" w:eastAsia="Arial" w:hAnsi="Arial"/>
          <w:sz w:val="18"/>
          <w:szCs w:val="18"/>
          <w:color w:val="auto"/>
        </w:rPr>
      </w:pPr>
    </w:p>
    <w:p>
      <w:pPr>
        <w:ind w:left="-40" w:firstLine="464"/>
        <w:spacing w:after="0" w:line="259" w:lineRule="auto"/>
        <w:tabs>
          <w:tab w:leader="none" w:pos="68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in this Agreement and not otherwise defined herein shall have the meanings set forth in the Plan. Certain other terms used herein have definitions given to them in the first place in which they are used. In addition, the following terms shall have the meanings set forth in this Section 17.</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“Board” means the Board of Directors of Waste Management,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40"/>
          </w:cols>
          <w:pgMar w:left="280" w:top="280" w:right="279" w:bottom="1440" w:gutter="0" w:footer="0" w:header="0"/>
        </w:sectPr>
      </w:pPr>
    </w:p>
    <w:bookmarkStart w:id="42" w:name="page43"/>
    <w:bookmarkEnd w:id="42"/>
    <w:p>
      <w:pPr>
        <w:ind w:left="-454" w:right="160" w:firstLine="464"/>
        <w:spacing w:after="0" w:line="290" w:lineRule="auto"/>
        <w:tabs>
          <w:tab w:leader="none" w:pos="251" w:val="left"/>
        </w:tabs>
        <w:numPr>
          <w:ilvl w:val="1"/>
          <w:numId w:val="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“Cause” means any of the following: (i) willful or deliberate and continual refusal to materially perform Employee’s employment duties reasonably requested by the Company after receipt of written notice to Employee of such failure to perform, specifying such failure (other than as a result of Employee’s sickness, illness, injury, death or disability) and Employee fails to cure such nonperformance within ten (10) days of receipt of said written notice; (ii) breach of any statutory or common law duty of loyalty to the Company; (iii) Employee has been convicted of, or pleaded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to, any felony; (iv) Employee willfully or intentionally caused material injury to the Company, its property, or its assets; (v) Employee disclosed to unauthorized person(s) proprietary or confidential information of the Company that causes a material injury to the Company; (vi) any material violation or a repeated and willful violation of the Company’s policies or procedures, including but not limited to, the Company’s Code of Business Conduct and Ethics (or any successor policy) then in effect.</w:t>
      </w:r>
    </w:p>
    <w:p>
      <w:pPr>
        <w:spacing w:after="0" w:line="118" w:lineRule="exact"/>
        <w:rPr>
          <w:rFonts w:ascii="Arial" w:cs="Arial" w:eastAsia="Arial" w:hAnsi="Arial"/>
          <w:sz w:val="16"/>
          <w:szCs w:val="16"/>
          <w:color w:val="auto"/>
        </w:rPr>
      </w:pPr>
    </w:p>
    <w:p>
      <w:pPr>
        <w:ind w:left="246" w:hanging="236"/>
        <w:spacing w:after="0"/>
        <w:tabs>
          <w:tab w:leader="none" w:pos="246" w:val="left"/>
        </w:tabs>
        <w:numPr>
          <w:ilvl w:val="1"/>
          <w:numId w:val="77"/>
        </w:numPr>
        <w:rPr>
          <w:rFonts w:ascii="Arial" w:cs="Arial" w:eastAsia="Arial" w:hAnsi="Arial"/>
          <w:sz w:val="18"/>
          <w:szCs w:val="18"/>
          <w:color w:val="auto"/>
        </w:rPr>
      </w:pPr>
      <w:r>
        <w:rPr>
          <w:rFonts w:ascii="Arial" w:cs="Arial" w:eastAsia="Arial" w:hAnsi="Arial"/>
          <w:sz w:val="18"/>
          <w:szCs w:val="18"/>
          <w:color w:val="auto"/>
        </w:rPr>
        <w:t>“Change in Control” means the first to occur on or after the Grant Date of any of the following events:</w:t>
      </w:r>
    </w:p>
    <w:p>
      <w:pPr>
        <w:spacing w:after="0" w:line="90" w:lineRule="exact"/>
        <w:rPr>
          <w:rFonts w:ascii="Arial" w:cs="Arial" w:eastAsia="Arial" w:hAnsi="Arial"/>
          <w:sz w:val="18"/>
          <w:szCs w:val="18"/>
          <w:color w:val="auto"/>
        </w:rPr>
      </w:pPr>
    </w:p>
    <w:p>
      <w:pPr>
        <w:ind w:left="446" w:right="340" w:hanging="446"/>
        <w:spacing w:after="0" w:line="306" w:lineRule="auto"/>
        <w:tabs>
          <w:tab w:leader="none" w:pos="446"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any Person, or Persons acting as a group (within the meaning of Section 409A), acquires, directly or indirectly, including by purchase, merger, consolidation or otherwise, ownership of securities of the Company that, together with securities held by such Person or Persons, represents fifty percent (50%) or more of the total voting power or total fair market value of the Company’s then outstanding securities;</w:t>
      </w:r>
    </w:p>
    <w:p>
      <w:pPr>
        <w:spacing w:after="0" w:line="25" w:lineRule="exact"/>
        <w:rPr>
          <w:rFonts w:ascii="Arial" w:cs="Arial" w:eastAsia="Arial" w:hAnsi="Arial"/>
          <w:sz w:val="16"/>
          <w:szCs w:val="16"/>
          <w:color w:val="auto"/>
        </w:rPr>
      </w:pPr>
    </w:p>
    <w:p>
      <w:pPr>
        <w:ind w:left="446" w:right="120" w:hanging="446"/>
        <w:spacing w:after="0" w:line="256" w:lineRule="auto"/>
        <w:tabs>
          <w:tab w:leader="none" w:pos="4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Person, or Persons acting as a group (within the meaning of Section 409A), acquires (or has acquired during the 12-month period ending on the date of the most recent acquisition by such Person or Persons), directly or indirectly, including by purchase, merger, consolidation or otherwise, ownership of securities of the Company that represents thirty percent (30%) or more of the total voting power of the Company’s then outstanding voting securities;</w:t>
      </w:r>
    </w:p>
    <w:p>
      <w:pPr>
        <w:spacing w:after="0" w:line="62" w:lineRule="exact"/>
        <w:rPr>
          <w:rFonts w:ascii="Arial" w:cs="Arial" w:eastAsia="Arial" w:hAnsi="Arial"/>
          <w:sz w:val="18"/>
          <w:szCs w:val="18"/>
          <w:color w:val="auto"/>
        </w:rPr>
      </w:pPr>
    </w:p>
    <w:p>
      <w:pPr>
        <w:ind w:left="446" w:hanging="446"/>
        <w:spacing w:after="0" w:line="254" w:lineRule="auto"/>
        <w:tabs>
          <w:tab w:leader="none" w:pos="4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then serving: individuals who, at the Grant Date, constitute the Board and any new director (other than a director whose initial assumption of office is in connection with an actual or threatened election contest, including but not limited to a consent solicitation, relating or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 or</w:t>
      </w:r>
    </w:p>
    <w:p>
      <w:pPr>
        <w:spacing w:after="0" w:line="63" w:lineRule="exact"/>
        <w:rPr>
          <w:rFonts w:ascii="Arial" w:cs="Arial" w:eastAsia="Arial" w:hAnsi="Arial"/>
          <w:sz w:val="18"/>
          <w:szCs w:val="18"/>
          <w:color w:val="auto"/>
        </w:rPr>
      </w:pPr>
    </w:p>
    <w:p>
      <w:pPr>
        <w:ind w:left="446" w:hanging="446"/>
        <w:spacing w:after="0" w:line="259" w:lineRule="auto"/>
        <w:tabs>
          <w:tab w:leader="none" w:pos="4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and such liquidation is actually commenced or there is consummated an agreement for the sale or disposition by the Company of all or substantially all of the Company’s assets (or any transaction having a similar effect), other than a sale or disposition by the Company of all or</w:t>
      </w:r>
    </w:p>
    <w:p>
      <w:pPr>
        <w:spacing w:after="0" w:line="126" w:lineRule="exact"/>
        <w:rPr>
          <w:rFonts w:ascii="Arial" w:cs="Arial" w:eastAsia="Arial" w:hAnsi="Arial"/>
          <w:sz w:val="18"/>
          <w:szCs w:val="18"/>
          <w:color w:val="auto"/>
        </w:rPr>
      </w:pPr>
    </w:p>
    <w:p>
      <w:pPr>
        <w:ind w:left="5226" w:hanging="112"/>
        <w:spacing w:after="0"/>
        <w:tabs>
          <w:tab w:leader="none" w:pos="5226" w:val="left"/>
        </w:tabs>
        <w:numPr>
          <w:ilvl w:val="2"/>
          <w:numId w:val="78"/>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946"/>
          </w:cols>
          <w:pgMar w:left="694" w:top="280" w:right="259" w:bottom="1440" w:gutter="0" w:footer="0" w:header="0"/>
        </w:sectPr>
      </w:pPr>
    </w:p>
    <w:bookmarkStart w:id="43" w:name="page44"/>
    <w:bookmarkEnd w:id="43"/>
    <w:p>
      <w:pPr>
        <w:jc w:val="both"/>
        <w:ind w:left="46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 For purposes hereof, a “sale or other disposition by the Company of all or substantially all of the Company’s assets” will not be deemed to have occurred if the sale involves assets having a total gross fair market value of less than forty percent (40%) of the total gross fair market value of all assets of the Company immediately prior to such sale.</w:t>
      </w:r>
    </w:p>
    <w:p>
      <w:pPr>
        <w:spacing w:after="0" w:line="143" w:lineRule="exact"/>
        <w:rPr>
          <w:sz w:val="20"/>
          <w:szCs w:val="20"/>
          <w:color w:val="auto"/>
        </w:rPr>
      </w:pPr>
    </w:p>
    <w:p>
      <w:pPr>
        <w:ind w:left="6"/>
        <w:spacing w:after="0"/>
        <w:rPr>
          <w:sz w:val="20"/>
          <w:szCs w:val="20"/>
          <w:color w:val="auto"/>
        </w:rPr>
      </w:pPr>
      <w:r>
        <w:rPr>
          <w:rFonts w:ascii="Arial" w:cs="Arial" w:eastAsia="Arial" w:hAnsi="Arial"/>
          <w:sz w:val="18"/>
          <w:szCs w:val="18"/>
          <w:color w:val="auto"/>
        </w:rPr>
        <w:t>For purposes of this definition, the following terms shall have the following meanings:</w:t>
      </w:r>
    </w:p>
    <w:p>
      <w:pPr>
        <w:spacing w:after="0" w:line="90" w:lineRule="exact"/>
        <w:rPr>
          <w:sz w:val="20"/>
          <w:szCs w:val="20"/>
          <w:color w:val="auto"/>
        </w:rPr>
      </w:pPr>
    </w:p>
    <w:p>
      <w:pPr>
        <w:ind w:left="446" w:hanging="446"/>
        <w:spacing w:after="0"/>
        <w:tabs>
          <w:tab w:leader="none" w:pos="446"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“Exchange Act” means the Securities and Exchange Act of 1934, as amended from time to time;</w:t>
      </w:r>
    </w:p>
    <w:p>
      <w:pPr>
        <w:spacing w:after="0" w:line="211" w:lineRule="exact"/>
        <w:rPr>
          <w:rFonts w:ascii="Arial" w:cs="Arial" w:eastAsia="Arial" w:hAnsi="Arial"/>
          <w:sz w:val="18"/>
          <w:szCs w:val="18"/>
          <w:color w:val="auto"/>
        </w:rPr>
      </w:pPr>
    </w:p>
    <w:p>
      <w:pPr>
        <w:ind w:left="446" w:right="120" w:hanging="446"/>
        <w:spacing w:after="0" w:line="305" w:lineRule="auto"/>
        <w:tabs>
          <w:tab w:leader="none" w:pos="446" w:val="left"/>
        </w:tabs>
        <w:numPr>
          <w:ilvl w:val="0"/>
          <w:numId w:val="79"/>
        </w:numPr>
        <w:rPr>
          <w:rFonts w:ascii="Arial" w:cs="Arial" w:eastAsia="Arial" w:hAnsi="Arial"/>
          <w:sz w:val="15"/>
          <w:szCs w:val="15"/>
          <w:color w:val="auto"/>
        </w:rPr>
      </w:pPr>
      <w:r>
        <w:rPr>
          <w:rFonts w:ascii="Arial" w:cs="Arial" w:eastAsia="Arial" w:hAnsi="Arial"/>
          <w:sz w:val="15"/>
          <w:szCs w:val="15"/>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w:t>
      </w:r>
    </w:p>
    <w:p>
      <w:pPr>
        <w:ind w:left="446" w:right="200"/>
        <w:spacing w:after="0" w:line="255" w:lineRule="auto"/>
        <w:rPr>
          <w:rFonts w:ascii="Arial" w:cs="Arial" w:eastAsia="Arial" w:hAnsi="Arial"/>
          <w:sz w:val="15"/>
          <w:szCs w:val="15"/>
          <w:color w:val="auto"/>
        </w:rPr>
      </w:pPr>
      <w:r>
        <w:rPr>
          <w:rFonts w:ascii="Arial" w:cs="Arial" w:eastAsia="Arial" w:hAnsi="Arial"/>
          <w:sz w:val="18"/>
          <w:szCs w:val="18"/>
          <w:color w:val="auto"/>
        </w:rPr>
        <w:t>(3)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144" w:lineRule="exact"/>
        <w:rPr>
          <w:sz w:val="20"/>
          <w:szCs w:val="20"/>
          <w:color w:val="auto"/>
        </w:rPr>
      </w:pPr>
    </w:p>
    <w:p>
      <w:pPr>
        <w:ind w:left="-454" w:right="20" w:firstLine="464"/>
        <w:spacing w:after="0" w:line="268" w:lineRule="auto"/>
        <w:tabs>
          <w:tab w:leader="none" w:pos="251"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“Committee” means the Management Development and Compensation Committee of the Board or such other committee of the Board as the Board may designate from time to time.</w:t>
      </w:r>
    </w:p>
    <w:p>
      <w:pPr>
        <w:spacing w:after="0" w:line="131" w:lineRule="exact"/>
        <w:rPr>
          <w:rFonts w:ascii="Arial" w:cs="Arial" w:eastAsia="Arial" w:hAnsi="Arial"/>
          <w:sz w:val="18"/>
          <w:szCs w:val="18"/>
          <w:color w:val="auto"/>
        </w:rPr>
      </w:pPr>
    </w:p>
    <w:p>
      <w:pPr>
        <w:ind w:left="-454" w:right="100" w:firstLine="464"/>
        <w:spacing w:after="0" w:line="332" w:lineRule="auto"/>
        <w:tabs>
          <w:tab w:leader="none" w:pos="241" w:val="left"/>
        </w:tabs>
        <w:numPr>
          <w:ilvl w:val="0"/>
          <w:numId w:val="80"/>
        </w:numPr>
        <w:rPr>
          <w:rFonts w:ascii="Arial" w:cs="Arial" w:eastAsia="Arial" w:hAnsi="Arial"/>
          <w:sz w:val="16"/>
          <w:szCs w:val="16"/>
          <w:color w:val="auto"/>
        </w:rPr>
      </w:pPr>
      <w:r>
        <w:rPr>
          <w:rFonts w:ascii="Arial" w:cs="Arial" w:eastAsia="Arial" w:hAnsi="Arial"/>
          <w:sz w:val="16"/>
          <w:szCs w:val="16"/>
          <w:color w:val="auto"/>
        </w:rPr>
        <w:t>“Fair Market Value” means the average of the highest and lowest sales price per share of Common Stock as of a particular date on the New York Stock Exchange, or if there shall have been no such sale so reported on that date, on the last preceding date on which such a sale was so reported.</w:t>
      </w:r>
    </w:p>
    <w:p>
      <w:pPr>
        <w:spacing w:after="0" w:line="85" w:lineRule="exact"/>
        <w:rPr>
          <w:rFonts w:ascii="Arial" w:cs="Arial" w:eastAsia="Arial" w:hAnsi="Arial"/>
          <w:sz w:val="16"/>
          <w:szCs w:val="16"/>
          <w:color w:val="auto"/>
        </w:rPr>
      </w:pPr>
    </w:p>
    <w:p>
      <w:pPr>
        <w:ind w:left="-454" w:firstLine="464"/>
        <w:spacing w:after="0" w:line="298" w:lineRule="auto"/>
        <w:tabs>
          <w:tab w:leader="none" w:pos="222" w:val="left"/>
        </w:tabs>
        <w:numPr>
          <w:ilvl w:val="0"/>
          <w:numId w:val="80"/>
        </w:numPr>
        <w:rPr>
          <w:rFonts w:ascii="Arial" w:cs="Arial" w:eastAsia="Arial" w:hAnsi="Arial"/>
          <w:sz w:val="16"/>
          <w:szCs w:val="16"/>
          <w:color w:val="auto"/>
        </w:rPr>
      </w:pPr>
      <w:r>
        <w:rPr>
          <w:rFonts w:ascii="Arial" w:cs="Arial" w:eastAsia="Arial" w:hAnsi="Arial"/>
          <w:sz w:val="16"/>
          <w:szCs w:val="16"/>
          <w:color w:val="auto"/>
        </w:rPr>
        <w:t>“Misconduct” means (i) any act or failure to act by any employee of the Company that (ii) caused or was intended to cause a violation of the Company’s policies, generally accepted accounting principles or any applicable laws in effect at the time of the act(s) or failure(s) to act in question and that (iii) materially increased the value of the payment or award received by Employee under this Agreement. Determination as to the existence of Misconduct shall be made by an independent third party (either a law firm or an accounting firm) appointed by the Committee.</w:t>
      </w:r>
    </w:p>
    <w:p>
      <w:pPr>
        <w:spacing w:after="0" w:line="112" w:lineRule="exact"/>
        <w:rPr>
          <w:rFonts w:ascii="Arial" w:cs="Arial" w:eastAsia="Arial" w:hAnsi="Arial"/>
          <w:sz w:val="16"/>
          <w:szCs w:val="16"/>
          <w:color w:val="auto"/>
        </w:rPr>
      </w:pPr>
    </w:p>
    <w:p>
      <w:pPr>
        <w:ind w:left="-454" w:right="160" w:firstLine="464"/>
        <w:spacing w:after="0" w:line="259" w:lineRule="auto"/>
        <w:tabs>
          <w:tab w:leader="none" w:pos="251"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“Retirement” means the voluntary resignation of employment by Employee, after Employee: (i) has attained the age of 55 or greater; (ii) has a sum of age plus full years of Service with the Company equal to 65 or greater; and, (iii) has completed at least 5 consecutive full years of Service with the Company during the 5 year period immediately preceding the resignation.</w:t>
      </w:r>
    </w:p>
    <w:p>
      <w:pPr>
        <w:spacing w:after="0" w:line="126" w:lineRule="exact"/>
        <w:rPr>
          <w:rFonts w:ascii="Arial" w:cs="Arial" w:eastAsia="Arial" w:hAnsi="Arial"/>
          <w:sz w:val="18"/>
          <w:szCs w:val="18"/>
          <w:color w:val="auto"/>
        </w:rPr>
      </w:pPr>
    </w:p>
    <w:p>
      <w:pPr>
        <w:ind w:left="5226" w:hanging="112"/>
        <w:spacing w:after="0"/>
        <w:tabs>
          <w:tab w:leader="none" w:pos="5226" w:val="left"/>
        </w:tabs>
        <w:numPr>
          <w:ilvl w:val="1"/>
          <w:numId w:val="80"/>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946"/>
          </w:cols>
          <w:pgMar w:left="694" w:top="280" w:right="259" w:bottom="1440" w:gutter="0" w:footer="0" w:header="0"/>
        </w:sectPr>
      </w:pPr>
    </w:p>
    <w:bookmarkStart w:id="44" w:name="page45"/>
    <w:bookmarkEnd w:id="44"/>
    <w:p>
      <w:pPr>
        <w:jc w:val="both"/>
        <w:ind w:left="-464" w:right="40" w:firstLine="464"/>
        <w:spacing w:after="0" w:line="254" w:lineRule="auto"/>
        <w:tabs>
          <w:tab w:leader="none" w:pos="241"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“Service” is measured from Employee’s original date of hire by the Company, except as provided below. In the case of a break of employment by Employee from the Company of one year or more in length, Employee’s service before the break of employment shall not be included in his or her Service hereunder. In the case of service with an entity acquired by the Company, Employee’s service with such entity shall be considered Service hereunder, so long as Employee remained continuously employed with such predecessor company(ies) and the Company. In the case of a break of employment between a predecessor company and the Company of any length, Employee’s Service shall be measured from the original date of hire by the Company and shall not include any service with any predecessor company.</w:t>
      </w:r>
    </w:p>
    <w:p>
      <w:pPr>
        <w:spacing w:after="0" w:line="144" w:lineRule="exact"/>
        <w:rPr>
          <w:rFonts w:ascii="Arial" w:cs="Arial" w:eastAsia="Arial" w:hAnsi="Arial"/>
          <w:sz w:val="18"/>
          <w:szCs w:val="18"/>
          <w:color w:val="auto"/>
        </w:rPr>
      </w:pPr>
    </w:p>
    <w:p>
      <w:pPr>
        <w:ind w:left="-464" w:firstLine="464"/>
        <w:spacing w:after="0" w:line="256" w:lineRule="auto"/>
        <w:tabs>
          <w:tab w:leader="none" w:pos="20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“Termination of Employment” means the termination of Employee’s employment with the Company. Temporary absences from employment because of illness, vacation or leave of absence and transfers among Waste Management, Inc. and its Subsidiaries and Affiliates will not be considered a Termination of Employment. Any questions as to whether and when there has been a Termination of Employment, and the cause of such termination, shall be determined by the Committee, and its determination will be final.</w:t>
      </w:r>
    </w:p>
    <w:p>
      <w:pPr>
        <w:spacing w:after="0" w:line="143" w:lineRule="exact"/>
        <w:rPr>
          <w:rFonts w:ascii="Arial" w:cs="Arial" w:eastAsia="Arial" w:hAnsi="Arial"/>
          <w:sz w:val="18"/>
          <w:szCs w:val="18"/>
          <w:color w:val="auto"/>
        </w:rPr>
      </w:pPr>
    </w:p>
    <w:p>
      <w:pPr>
        <w:ind w:left="216" w:hanging="216"/>
        <w:spacing w:after="0"/>
        <w:tabs>
          <w:tab w:leader="none" w:pos="21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“Trading Day” means a day on which the New York Stock Exchange is open for trading for its regular trading sessions.</w:t>
      </w:r>
    </w:p>
    <w:p>
      <w:pPr>
        <w:spacing w:after="0" w:line="171" w:lineRule="exact"/>
        <w:rPr>
          <w:sz w:val="20"/>
          <w:szCs w:val="20"/>
          <w:color w:val="auto"/>
        </w:rPr>
      </w:pPr>
    </w:p>
    <w:p>
      <w:pPr>
        <w:ind w:left="256" w:hanging="256"/>
        <w:spacing w:after="0"/>
        <w:tabs>
          <w:tab w:leader="none" w:pos="256"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w:t>
      </w:r>
    </w:p>
    <w:p>
      <w:pPr>
        <w:spacing w:after="0" w:line="90" w:lineRule="exact"/>
        <w:rPr>
          <w:sz w:val="20"/>
          <w:szCs w:val="20"/>
          <w:color w:val="auto"/>
        </w:rPr>
      </w:pPr>
    </w:p>
    <w:p>
      <w:pPr>
        <w:ind w:left="-464" w:firstLine="464"/>
        <w:spacing w:after="0" w:line="291" w:lineRule="auto"/>
        <w:tabs>
          <w:tab w:leader="none" w:pos="231" w:val="left"/>
        </w:tabs>
        <w:numPr>
          <w:ilvl w:val="0"/>
          <w:numId w:val="83"/>
        </w:numPr>
        <w:rPr>
          <w:rFonts w:ascii="Arial" w:cs="Arial" w:eastAsia="Arial" w:hAnsi="Arial"/>
          <w:sz w:val="16"/>
          <w:szCs w:val="16"/>
          <w:color w:val="auto"/>
        </w:rPr>
      </w:pPr>
      <w:r>
        <w:rPr>
          <w:rFonts w:ascii="Arial" w:cs="Arial" w:eastAsia="Arial" w:hAnsi="Arial"/>
          <w:sz w:val="16"/>
          <w:szCs w:val="16"/>
          <w:color w:val="auto"/>
        </w:rPr>
        <w:t>Employee understands that the Options have been granted pursuant to the terms of the Plan, and the Award and this Agreement are in all respect governed by the Plan and subject to all of the terms and provisions thereof, whether such terms and provisions are incorporated in this Agreement by reference or are expressly cited. Any inconsistency between the Agreement and the Plan shall be resolved in favor of the Plan. Employee hereby acknowledges that he has received, reviewed and accepted the terms and conditions applicable to this Agreement. Employee hereby accepts such terms and conditions, subject to the provisions of the Plan and administrative interpretations. Employee further agrees that such terms and conditions will control this Agreement, notwithstanding any provisions in any employment agreement or in any prior awards.</w:t>
      </w:r>
    </w:p>
    <w:p>
      <w:pPr>
        <w:spacing w:after="0" w:line="120" w:lineRule="exact"/>
        <w:rPr>
          <w:rFonts w:ascii="Arial" w:cs="Arial" w:eastAsia="Arial" w:hAnsi="Arial"/>
          <w:sz w:val="16"/>
          <w:szCs w:val="16"/>
          <w:color w:val="auto"/>
        </w:rPr>
      </w:pPr>
    </w:p>
    <w:p>
      <w:pPr>
        <w:ind w:left="-464" w:right="740" w:firstLine="464"/>
        <w:spacing w:after="0" w:line="268" w:lineRule="auto"/>
        <w:tabs>
          <w:tab w:leader="none" w:pos="241" w:val="left"/>
        </w:tabs>
        <w:numPr>
          <w:ilvl w:val="0"/>
          <w:numId w:val="83"/>
        </w:numPr>
        <w:rPr>
          <w:rFonts w:ascii="Arial" w:cs="Arial" w:eastAsia="Arial" w:hAnsi="Arial"/>
          <w:sz w:val="18"/>
          <w:szCs w:val="18"/>
          <w:color w:val="auto"/>
        </w:rPr>
      </w:pPr>
      <w:r>
        <w:rPr>
          <w:rFonts w:ascii="Arial" w:cs="Arial" w:eastAsia="Arial" w:hAnsi="Arial"/>
          <w:sz w:val="18"/>
          <w:szCs w:val="18"/>
          <w:color w:val="auto"/>
        </w:rPr>
        <w:t>Employee hereby acknowledges that he is to consult with and rely upon only Employee’s own tax, legal, and financial advisors regarding the consequences and risks of this Agreement and the Award of Options.</w:t>
      </w:r>
    </w:p>
    <w:p>
      <w:pPr>
        <w:spacing w:after="0" w:line="131" w:lineRule="exact"/>
        <w:rPr>
          <w:rFonts w:ascii="Arial" w:cs="Arial" w:eastAsia="Arial" w:hAnsi="Arial"/>
          <w:sz w:val="18"/>
          <w:szCs w:val="18"/>
          <w:color w:val="auto"/>
        </w:rPr>
      </w:pPr>
    </w:p>
    <w:p>
      <w:pPr>
        <w:ind w:left="-464" w:right="80" w:firstLine="464"/>
        <w:spacing w:after="0" w:line="268" w:lineRule="auto"/>
        <w:tabs>
          <w:tab w:leader="none" w:pos="231"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This Agreement may not be amended or modified except by a written agreement executed by the parties hereto or their respective successors and legal representatives. The captions of this Agreement are not part of the provisions hereof and shall have no force or effect.</w:t>
      </w:r>
    </w:p>
    <w:p>
      <w:pPr>
        <w:spacing w:after="0" w:line="132" w:lineRule="exact"/>
        <w:rPr>
          <w:sz w:val="20"/>
          <w:szCs w:val="20"/>
          <w:color w:val="auto"/>
        </w:rPr>
      </w:pPr>
    </w:p>
    <w:p>
      <w:pPr>
        <w:ind w:left="-464" w:right="280" w:firstLine="464"/>
        <w:spacing w:after="0" w:line="268" w:lineRule="auto"/>
        <w:tabs>
          <w:tab w:leader="none" w:pos="25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It is the intention of the Company and Employee that the Award of Options hereunder not be subject to Code Section 409A and that this Agreement not result in an unfavorable tax consequences to Employee under</w:t>
      </w:r>
    </w:p>
    <w:p>
      <w:pPr>
        <w:spacing w:after="0" w:line="118" w:lineRule="exact"/>
        <w:rPr>
          <w:rFonts w:ascii="Arial" w:cs="Arial" w:eastAsia="Arial" w:hAnsi="Arial"/>
          <w:sz w:val="18"/>
          <w:szCs w:val="18"/>
          <w:color w:val="auto"/>
        </w:rPr>
      </w:pPr>
    </w:p>
    <w:p>
      <w:pPr>
        <w:ind w:left="5156" w:hanging="96"/>
        <w:spacing w:after="0"/>
        <w:tabs>
          <w:tab w:leader="none" w:pos="5156" w:val="left"/>
        </w:tabs>
        <w:numPr>
          <w:ilvl w:val="1"/>
          <w:numId w:val="84"/>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896"/>
          </w:cols>
          <w:pgMar w:left="704" w:top="280" w:right="299" w:bottom="1440" w:gutter="0" w:footer="0" w:header="0"/>
        </w:sectPr>
      </w:pPr>
    </w:p>
    <w:bookmarkStart w:id="45" w:name="page46"/>
    <w:bookmarkEnd w:id="4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Code Section 409A. Accordingly, Employee consents to any amendment of this Agreement as the Company may reasonably make in furtherance of such intention, and the Company shall promptly provide, or make available to, Employee a copy of such amendment. Any such amendments shall be made in a manner that preserves to the maximum extent possible the intended benefits to Employee. This paragraph 19 does not create an obligation on the part of Company to modify this Agreement and does not guarantee that the amounts or benefits owed under the Agreement will not be subject to interest and penalties under Code Section 409A.</w:t>
      </w:r>
    </w:p>
    <w:p>
      <w:pPr>
        <w:spacing w:after="0" w:line="143" w:lineRule="exact"/>
        <w:rPr>
          <w:sz w:val="20"/>
          <w:szCs w:val="20"/>
          <w:color w:val="auto"/>
        </w:rPr>
      </w:pPr>
    </w:p>
    <w:p>
      <w:pPr>
        <w:ind w:right="40" w:firstLine="464"/>
        <w:spacing w:after="0" w:line="256" w:lineRule="auto"/>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The Company may, in its sole discretion, deliver any documents related to the Options awarded under this Agreement or the Plan by electronic means or request Employee’s consent to participate in the administration of this Agreement and the Plan by electronic means. Employee hereby consents to receive such documents by electronic delivery and agrees to participate in the Plan through an on-line or electronic system established and maintained by the Company or another third party designated by the Company.</w:t>
      </w:r>
    </w:p>
    <w:p>
      <w:pPr>
        <w:spacing w:after="0" w:line="143" w:lineRule="exact"/>
        <w:rPr>
          <w:rFonts w:ascii="Arial" w:cs="Arial" w:eastAsia="Arial" w:hAnsi="Arial"/>
          <w:sz w:val="18"/>
          <w:szCs w:val="18"/>
          <w:color w:val="auto"/>
        </w:rPr>
      </w:pPr>
    </w:p>
    <w:p>
      <w:pPr>
        <w:ind w:right="20" w:firstLine="464"/>
        <w:spacing w:after="0" w:line="287" w:lineRule="auto"/>
        <w:tabs>
          <w:tab w:leader="none" w:pos="720"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Use of Personal Data</w:t>
      </w:r>
      <w:r>
        <w:rPr>
          <w:rFonts w:ascii="Arial" w:cs="Arial" w:eastAsia="Arial" w:hAnsi="Arial"/>
          <w:sz w:val="16"/>
          <w:szCs w:val="16"/>
          <w:color w:val="auto"/>
        </w:rPr>
        <w:t>. By executing this Agreement, Employee acknowledges and agrees to the collection, use, processing and transfer of certain personal data, including his or her name, salary, nationality, job title, position, social security number (or other tax identification number) and details of all past Awards and current Awards outstanding under the Plan (“Data”), for the purpose of managing and administering the Plan. The Employee is not obliged to consent to such collection, use, processing and transfer of personal data, but a refusal to provide such consent may affect his or her ability to participate in the Plan. The Company, or its Subsidiaries, may transfer Data among themselves or to third parties as necessary for the purpose of implementation, administration and management of the Plan. These various recipients of Data may be located elsewhere throughout the world. The Employee authorizes these various recipients of Data to receive, possess, use, retain and transfer the Data, in electronic or other form, for the purposes of implementing, administering and managing the Plan. The Employee may, at any time, review Data with respect to the Employee and require any necessary amendments to such Data. The Participant may withdraw his or her consent to use Data herein by notifying the Company in writing; however, the Participant understands that by withdrawing his or her consent to use Data, the Participant may affect his or her ability to participate in the Plan.</w:t>
      </w:r>
    </w:p>
    <w:p>
      <w:pPr>
        <w:spacing w:after="0" w:line="122" w:lineRule="exact"/>
        <w:rPr>
          <w:rFonts w:ascii="Arial" w:cs="Arial" w:eastAsia="Arial" w:hAnsi="Arial"/>
          <w:sz w:val="16"/>
          <w:szCs w:val="16"/>
          <w:color w:val="auto"/>
        </w:rPr>
      </w:pPr>
    </w:p>
    <w:p>
      <w:pPr>
        <w:ind w:firstLine="464"/>
        <w:spacing w:after="0" w:line="306" w:lineRule="auto"/>
        <w:tabs>
          <w:tab w:leader="none" w:pos="720"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which either party hereto may be required or permitted to give the other shall be in writing and may be delivered personally or by mail, postage prepaid, addressed to the Secretary of the Company, at its then corporate headquarters, and the Employee at the Employee’s address as shown on the Company’s records, or to such other address as Employee, by notice to the Company, may designate in writing from time to time.</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which together shall constitute one and the same original.</w:t>
      </w:r>
    </w:p>
    <w:p>
      <w:pPr>
        <w:spacing w:after="0" w:line="157" w:lineRule="exact"/>
        <w:rPr>
          <w:rFonts w:ascii="Arial" w:cs="Arial" w:eastAsia="Arial" w:hAnsi="Arial"/>
          <w:sz w:val="18"/>
          <w:szCs w:val="18"/>
          <w:color w:val="auto"/>
        </w:rPr>
      </w:pPr>
    </w:p>
    <w:p>
      <w:pPr>
        <w:ind w:left="5620" w:hanging="93"/>
        <w:spacing w:after="0"/>
        <w:tabs>
          <w:tab w:leader="none" w:pos="5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420"/>
          </w:cols>
          <w:pgMar w:left="240" w:top="280" w:right="239" w:bottom="1440" w:gutter="0" w:footer="0" w:header="0"/>
        </w:sectPr>
      </w:pPr>
    </w:p>
    <w:bookmarkStart w:id="46" w:name="page47"/>
    <w:bookmarkEnd w:id="46"/>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Waste Management, Inc. has caused this Agreement to be duly executed by one of its officers thereunto duly authorized and Employee has executed this Agreement, effective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2898775" cy="4629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E. Trevathan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302895</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w:t>
      </w:r>
    </w:p>
    <w:p>
      <w:pPr>
        <w:spacing w:after="0" w:line="9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Accepted by electronic confirmation</w:t>
      </w:r>
    </w:p>
    <w:p>
      <w:pPr>
        <w:spacing w:after="0" w:line="17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- 12 -</w:t>
      </w:r>
    </w:p>
    <w:sectPr>
      <w:pgSz w:w="11900" w:h="16838" w:orient="portrait"/>
      <w:cols w:equalWidth="0" w:num="1">
        <w:col w:w="11140"/>
      </w:cols>
      <w:pgMar w:left="240" w:top="28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1)"/>
      <w:numFmt w:val="lowerLetter"/>
      <w:start w:val="4"/>
    </w:lvl>
  </w:abstractNum>
  <w:abstractNum w:abstractNumId="2">
    <w:nsid w:val="725A06FB"/>
    <w:multiLevelType w:val="hybridMultilevel"/>
    <w:lvl w:ilvl="0">
      <w:lvlJc w:val="left"/>
      <w:lvlText w:val="%1."/>
      <w:numFmt w:val="decimal"/>
      <w:start w:val="1"/>
    </w:lvl>
    <w:lvl w:ilvl="1">
      <w:lvlJc w:val="left"/>
      <w:lvlText w:val="(%2)"/>
      <w:numFmt w:val="lowerLetter"/>
      <w:start w:val="1"/>
    </w:lvl>
  </w:abstractNum>
  <w:abstractNum w:abstractNumId="3">
    <w:nsid w:val="2CD89A32"/>
    <w:multiLevelType w:val="hybridMultilevel"/>
    <w:lvl w:ilvl="0">
      <w:lvlJc w:val="left"/>
      <w:lvlText w:val="%1."/>
      <w:numFmt w:val="decimal"/>
      <w:start w:val="3"/>
    </w:lvl>
    <w:lvl w:ilvl="1">
      <w:lvlJc w:val="left"/>
      <w:lvlText w:val="(%2)"/>
      <w:numFmt w:val="lowerLetter"/>
      <w:start w:val="1"/>
    </w:lvl>
  </w:abstractNum>
  <w:abstractNum w:abstractNumId="4">
    <w:nsid w:val="57E4CCAF"/>
    <w:multiLevelType w:val="hybridMultilevel"/>
    <w:lvl w:ilvl="0">
      <w:lvlJc w:val="left"/>
      <w:lvlText w:val="%1"/>
      <w:numFmt w:val="decimal"/>
      <w:start w:val="1"/>
    </w:lvl>
    <w:lvl w:ilvl="1">
      <w:lvlJc w:val="left"/>
      <w:lvlText w:val="(%2)"/>
      <w:numFmt w:val="lowerLetter"/>
      <w:start w:val="2"/>
    </w:lvl>
  </w:abstractNum>
  <w:abstractNum w:abstractNumId="5">
    <w:nsid w:val="7A6D8D3C"/>
    <w:multiLevelType w:val="hybridMultilevel"/>
    <w:lvl w:ilvl="0">
      <w:lvlJc w:val="left"/>
      <w:lvlText w:val="%1."/>
      <w:numFmt w:val="decimal"/>
      <w:start w:val="4"/>
    </w:lvl>
    <w:lvl w:ilvl="1">
      <w:lvlJc w:val="left"/>
      <w:lvlText w:val="%2"/>
      <w:numFmt w:val="lowerLetter"/>
      <w:start w:val="1"/>
    </w:lvl>
  </w:abstractNum>
  <w:abstractNum w:abstractNumId="6">
    <w:nsid w:val="4B588F54"/>
    <w:multiLevelType w:val="hybridMultilevel"/>
    <w:lvl w:ilvl="0">
      <w:lvlJc w:val="left"/>
      <w:lvlText w:val="%1."/>
      <w:numFmt w:val="decimal"/>
      <w:start w:val="5"/>
    </w:lvl>
    <w:lvl w:ilvl="1">
      <w:lvlJc w:val="left"/>
      <w:lvlText w:val="(%2)"/>
      <w:numFmt w:val="lowerLetter"/>
      <w:start w:val="1"/>
    </w:lvl>
  </w:abstractNum>
  <w:abstractNum w:abstractNumId="7">
    <w:nsid w:val="542289EC"/>
    <w:multiLevelType w:val="hybridMultilevel"/>
    <w:lvl w:ilvl="0">
      <w:lvlJc w:val="left"/>
      <w:lvlText w:val="%1"/>
      <w:numFmt w:val="decimal"/>
      <w:start w:val="1"/>
    </w:lvl>
    <w:lvl w:ilvl="1">
      <w:lvlJc w:val="left"/>
      <w:lvlText w:val="(%2)"/>
      <w:numFmt w:val="lowerLetter"/>
      <w:start w:val="2"/>
    </w:lvl>
  </w:abstractNum>
  <w:abstractNum w:abstractNumId="8">
    <w:nsid w:val="6DE91B18"/>
    <w:multiLevelType w:val="hybridMultilevel"/>
    <w:lvl w:ilvl="0">
      <w:lvlJc w:val="left"/>
      <w:lvlText w:val="%1."/>
      <w:numFmt w:val="decimal"/>
      <w:start w:val="9"/>
    </w:lvl>
    <w:lvl w:ilvl="1">
      <w:lvlJc w:val="left"/>
      <w:lvlText w:val="(%2)"/>
      <w:numFmt w:val="lowerLetter"/>
      <w:start w:val="1"/>
    </w:lvl>
  </w:abstractNum>
  <w:abstractNum w:abstractNumId="9">
    <w:nsid w:val="38437FDB"/>
    <w:multiLevelType w:val="hybridMultilevel"/>
    <w:lvl w:ilvl="0">
      <w:lvlJc w:val="left"/>
      <w:lvlText w:val="(%1)"/>
      <w:numFmt w:val="lowerRoman"/>
      <w:start w:val="1"/>
    </w:lvl>
  </w:abstractNum>
  <w:abstractNum w:abstractNumId="10">
    <w:nsid w:val="7644A45C"/>
    <w:multiLevelType w:val="hybridMultilevel"/>
    <w:lvl w:ilvl="0">
      <w:lvlJc w:val="left"/>
      <w:lvlText w:val="(%1)"/>
      <w:numFmt w:val="lowerRoman"/>
      <w:start w:val="2"/>
    </w:lvl>
    <w:lvl w:ilvl="1">
      <w:lvlJc w:val="left"/>
      <w:lvlText w:val="(%2)"/>
      <w:numFmt w:val="upperLetter"/>
      <w:start w:val="1"/>
    </w:lvl>
  </w:abstractNum>
  <w:abstractNum w:abstractNumId="11">
    <w:nsid w:val="32FFF902"/>
    <w:multiLevelType w:val="hybridMultilevel"/>
    <w:lvl w:ilvl="0">
      <w:lvlJc w:val="left"/>
      <w:lvlText w:val="(%1)"/>
      <w:numFmt w:val="upperLetter"/>
      <w:start w:val="2"/>
    </w:lvl>
  </w:abstractNum>
  <w:abstractNum w:abstractNumId="12">
    <w:nsid w:val="684A481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3">
    <w:nsid w:val="579478FE"/>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14">
    <w:nsid w:val="749ABB43"/>
    <w:multiLevelType w:val="hybridMultilevel"/>
    <w:lvl w:ilvl="0">
      <w:lvlJc w:val="left"/>
      <w:lvlText w:val="(%1)"/>
      <w:numFmt w:val="lowerLetter"/>
      <w:start w:val="35"/>
    </w:lvl>
    <w:lvl w:ilvl="1">
      <w:lvlJc w:val="left"/>
      <w:lvlText w:val="%2."/>
      <w:numFmt w:val="decimal"/>
      <w:start w:val="12"/>
    </w:lvl>
    <w:lvl w:ilvl="2">
      <w:lvlJc w:val="left"/>
      <w:lvlText w:val="(%3)"/>
      <w:numFmt w:val="lowerLetter"/>
      <w:start w:val="1"/>
    </w:lvl>
  </w:abstractNum>
  <w:abstractNum w:abstractNumId="15">
    <w:nsid w:val="3DC240FB"/>
    <w:multiLevelType w:val="hybridMultilevel"/>
    <w:lvl w:ilvl="0">
      <w:lvlJc w:val="left"/>
      <w:lvlText w:val="%1"/>
      <w:numFmt w:val="decimal"/>
      <w:start w:val="1"/>
    </w:lvl>
    <w:lvl w:ilvl="1">
      <w:lvlJc w:val="left"/>
      <w:lvlText w:val="(%2)"/>
      <w:numFmt w:val="lowerLetter"/>
      <w:start w:val="2"/>
    </w:lvl>
  </w:abstractNum>
  <w:abstractNum w:abstractNumId="16">
    <w:nsid w:val="1BA026FA"/>
    <w:multiLevelType w:val="hybridMultilevel"/>
    <w:lvl w:ilvl="0">
      <w:lvlJc w:val="left"/>
      <w:lvlText w:val="%1."/>
      <w:numFmt w:val="decimal"/>
      <w:start w:val="13"/>
    </w:lvl>
    <w:lvl w:ilvl="1">
      <w:lvlJc w:val="left"/>
      <w:lvlText w:val="(%2)"/>
      <w:numFmt w:val="lowerLetter"/>
      <w:start w:val="1"/>
    </w:lvl>
  </w:abstractNum>
  <w:abstractNum w:abstractNumId="17">
    <w:nsid w:val="79A1DEAA"/>
    <w:multiLevelType w:val="hybridMultilevel"/>
    <w:lvl w:ilvl="0">
      <w:lvlJc w:val="left"/>
      <w:lvlText w:val="%1."/>
      <w:numFmt w:val="decimal"/>
      <w:start w:val="15"/>
    </w:lvl>
  </w:abstractNum>
  <w:abstractNum w:abstractNumId="18">
    <w:nsid w:val="75C6C33A"/>
    <w:multiLevelType w:val="hybridMultilevel"/>
    <w:lvl w:ilvl="0">
      <w:lvlJc w:val="left"/>
      <w:lvlText w:val="%1."/>
      <w:numFmt w:val="decimal"/>
      <w:start w:val="19"/>
    </w:lvl>
    <w:lvl w:ilvl="1">
      <w:lvlJc w:val="left"/>
      <w:lvlText w:val="(%2)"/>
      <w:numFmt w:val="lowerLetter"/>
      <w:start w:val="1"/>
    </w:lvl>
  </w:abstractNum>
  <w:abstractNum w:abstractNumId="19">
    <w:nsid w:val="12E685FB"/>
    <w:multiLevelType w:val="hybridMultilevel"/>
    <w:lvl w:ilvl="0">
      <w:lvlJc w:val="left"/>
      <w:lvlText w:val="(%1)"/>
      <w:numFmt w:val="lowerLetter"/>
      <w:start w:val="1"/>
    </w:lvl>
  </w:abstractNum>
  <w:abstractNum w:abstractNumId="20">
    <w:nsid w:val="70C6A529"/>
    <w:multiLevelType w:val="hybridMultilevel"/>
    <w:lvl w:ilvl="0">
      <w:lvlJc w:val="left"/>
      <w:lvlText w:val="(%1)"/>
      <w:numFmt w:val="lowerLetter"/>
      <w:start w:val="2"/>
    </w:lvl>
    <w:lvl w:ilvl="1">
      <w:lvlJc w:val="left"/>
      <w:lvlText w:val="(%2)"/>
      <w:numFmt w:val="lowerRoman"/>
      <w:start w:val="1"/>
    </w:lvl>
  </w:abstractNum>
  <w:abstractNum w:abstractNumId="21">
    <w:nsid w:val="520EEDD1"/>
    <w:multiLevelType w:val="hybridMultilevel"/>
    <w:lvl w:ilvl="0">
      <w:lvlJc w:val="left"/>
      <w:lvlText w:val="(%1)"/>
      <w:numFmt w:val="lowerRoman"/>
      <w:start w:val="3"/>
    </w:lvl>
  </w:abstractNum>
  <w:abstractNum w:abstractNumId="22">
    <w:nsid w:val="374A3FE6"/>
    <w:multiLevelType w:val="hybridMultilevel"/>
    <w:lvl w:ilvl="0">
      <w:lvlJc w:val="left"/>
      <w:lvlText w:val="(%1)"/>
      <w:numFmt w:val="upperLetter"/>
      <w:start w:val="1"/>
    </w:lvl>
  </w:abstractNum>
  <w:abstractNum w:abstractNumId="23">
    <w:nsid w:val="4F4EF005"/>
    <w:multiLevelType w:val="hybridMultilevel"/>
    <w:lvl w:ilvl="0">
      <w:lvlJc w:val="left"/>
      <w:lvlText w:val="(%1)"/>
      <w:numFmt w:val="lowerLetter"/>
      <w:start w:val="6"/>
    </w:lvl>
  </w:abstractNum>
  <w:abstractNum w:abstractNumId="24">
    <w:nsid w:val="23F9C13C"/>
    <w:multiLevelType w:val="hybridMultilevel"/>
    <w:lvl w:ilvl="0">
      <w:lvlJc w:val="left"/>
      <w:lvlText w:val="(%1)"/>
      <w:numFmt w:val="lowerLetter"/>
      <w:start w:val="14"/>
    </w:lvl>
  </w:abstractNum>
  <w:abstractNum w:abstractNumId="25">
    <w:nsid w:val="649BB77C"/>
    <w:multiLevelType w:val="hybridMultilevel"/>
    <w:lvl w:ilvl="0">
      <w:lvlJc w:val="left"/>
      <w:lvlText w:val="(%1)"/>
      <w:numFmt w:val="lowerLetter"/>
      <w:start w:val="16"/>
    </w:lvl>
  </w:abstractNum>
  <w:abstractNum w:abstractNumId="26">
    <w:nsid w:val="275AC794"/>
    <w:multiLevelType w:val="hybridMultilevel"/>
    <w:lvl w:ilvl="0">
      <w:lvlJc w:val="left"/>
      <w:lvlText w:val="%1."/>
      <w:numFmt w:val="decimal"/>
      <w:start w:val="25"/>
    </w:lvl>
    <w:lvl w:ilvl="1">
      <w:lvlJc w:val="left"/>
      <w:lvlText w:val="(%2)"/>
      <w:numFmt w:val="lowerLetter"/>
      <w:start w:val="1"/>
    </w:lvl>
  </w:abstractNum>
  <w:abstractNum w:abstractNumId="27">
    <w:nsid w:val="39386575"/>
    <w:multiLevelType w:val="hybridMultilevel"/>
    <w:lvl w:ilvl="0">
      <w:lvlJc w:val="left"/>
      <w:lvlText w:val="%1."/>
      <w:numFmt w:val="decimal"/>
      <w:start w:val="28"/>
    </w:lvl>
  </w:abstractNum>
  <w:abstractNum w:abstractNumId="28">
    <w:nsid w:val="1CF10FD8"/>
    <w:multiLevelType w:val="hybridMultilevel"/>
    <w:lvl w:ilvl="0">
      <w:lvlJc w:val="left"/>
      <w:lvlText w:val="%1."/>
      <w:numFmt w:val="decimal"/>
      <w:start w:val="1"/>
    </w:lvl>
    <w:lvl w:ilvl="1">
      <w:lvlJc w:val="left"/>
      <w:lvlText w:val="(%2)"/>
      <w:numFmt w:val="lowerLetter"/>
      <w:start w:val="1"/>
    </w:lvl>
  </w:abstractNum>
  <w:abstractNum w:abstractNumId="29">
    <w:nsid w:val="180115BE"/>
    <w:multiLevelType w:val="hybridMultilevel"/>
    <w:lvl w:ilvl="0">
      <w:lvlJc w:val="left"/>
      <w:lvlText w:val="(%1)"/>
      <w:numFmt w:val="lowerLetter"/>
      <w:start w:val="2"/>
    </w:lvl>
  </w:abstractNum>
  <w:abstractNum w:abstractNumId="30">
    <w:nsid w:val="235BA861"/>
    <w:multiLevelType w:val="hybridMultilevel"/>
    <w:lvl w:ilvl="0">
      <w:lvlJc w:val="left"/>
      <w:lvlText w:val="%1"/>
      <w:numFmt w:val="decimal"/>
      <w:start w:val="1"/>
    </w:lvl>
    <w:lvl w:ilvl="1">
      <w:lvlJc w:val="left"/>
      <w:lvlText w:val="(%2)"/>
      <w:numFmt w:val="lowerLetter"/>
      <w:start w:val="3"/>
    </w:lvl>
  </w:abstractNum>
  <w:abstractNum w:abstractNumId="31">
    <w:nsid w:val="47398C89"/>
    <w:multiLevelType w:val="hybridMultilevel"/>
    <w:lvl w:ilvl="0">
      <w:lvlJc w:val="left"/>
      <w:lvlText w:val="%1."/>
      <w:numFmt w:val="decimal"/>
      <w:start w:val="4"/>
    </w:lvl>
    <w:lvl w:ilvl="1">
      <w:lvlJc w:val="left"/>
      <w:lvlText w:val="%2"/>
      <w:numFmt w:val="lowerLetter"/>
      <w:start w:val="1"/>
    </w:lvl>
  </w:abstractNum>
  <w:abstractNum w:abstractNumId="32">
    <w:nsid w:val="354FE9F9"/>
    <w:multiLevelType w:val="hybridMultilevel"/>
    <w:lvl w:ilvl="0">
      <w:lvlJc w:val="left"/>
      <w:lvlText w:val="%1."/>
      <w:numFmt w:val="decimal"/>
      <w:start w:val="5"/>
    </w:lvl>
    <w:lvl w:ilvl="1">
      <w:lvlJc w:val="left"/>
      <w:lvlText w:val="(%2)"/>
      <w:numFmt w:val="lowerLetter"/>
      <w:start w:val="1"/>
    </w:lvl>
  </w:abstractNum>
  <w:abstractNum w:abstractNumId="33">
    <w:nsid w:val="15B5AF5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4">
    <w:nsid w:val="741226BB"/>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35">
    <w:nsid w:val="D34B6A8"/>
    <w:multiLevelType w:val="hybridMultilevel"/>
    <w:lvl w:ilvl="0">
      <w:lvlJc w:val="left"/>
      <w:lvlText w:val="(%1)"/>
      <w:numFmt w:val="upperLetter"/>
      <w:start w:val="1"/>
    </w:lvl>
  </w:abstractNum>
  <w:abstractNum w:abstractNumId="36">
    <w:nsid w:val="10233C99"/>
    <w:multiLevelType w:val="hybridMultilevel"/>
    <w:lvl w:ilvl="0">
      <w:lvlJc w:val="left"/>
      <w:lvlText w:val="(%1)"/>
      <w:numFmt w:val="upperLetter"/>
      <w:start w:val="2"/>
    </w:lvl>
  </w:abstractNum>
  <w:abstractNum w:abstractNumId="37">
    <w:nsid w:val="3F6AB60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38">
    <w:nsid w:val="61574095"/>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39">
    <w:nsid w:val="7E0C57B1"/>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40">
    <w:nsid w:val="77AE35EB"/>
    <w:multiLevelType w:val="hybridMultilevel"/>
    <w:lvl w:ilvl="0">
      <w:lvlJc w:val="left"/>
      <w:lvlText w:val="%1."/>
      <w:numFmt w:val="decimal"/>
      <w:start w:val="12"/>
    </w:lvl>
    <w:lvl w:ilvl="1">
      <w:lvlJc w:val="left"/>
      <w:lvlText w:val="(%2)"/>
      <w:numFmt w:val="lowerLetter"/>
      <w:start w:val="1"/>
    </w:lvl>
  </w:abstractNum>
  <w:abstractNum w:abstractNumId="41">
    <w:nsid w:val="579BE4F1"/>
    <w:multiLevelType w:val="hybridMultilevel"/>
    <w:lvl w:ilvl="0">
      <w:lvlJc w:val="left"/>
      <w:lvlText w:val="%1."/>
      <w:numFmt w:val="decimal"/>
      <w:start w:val="14"/>
    </w:lvl>
  </w:abstractNum>
  <w:abstractNum w:abstractNumId="42">
    <w:nsid w:val="310C50B3"/>
    <w:multiLevelType w:val="hybridMultilevel"/>
    <w:lvl w:ilvl="0">
      <w:lvlJc w:val="left"/>
      <w:lvlText w:val="%1."/>
      <w:numFmt w:val="decimal"/>
      <w:start w:val="19"/>
    </w:lvl>
    <w:lvl w:ilvl="1">
      <w:lvlJc w:val="left"/>
      <w:lvlText w:val="(%2)"/>
      <w:numFmt w:val="lowerLetter"/>
      <w:start w:val="1"/>
    </w:lvl>
  </w:abstractNum>
  <w:abstractNum w:abstractNumId="43">
    <w:nsid w:val="5FF87E05"/>
    <w:multiLevelType w:val="hybridMultilevel"/>
    <w:lvl w:ilvl="0">
      <w:lvlJc w:val="left"/>
      <w:lvlText w:val="(%1)"/>
      <w:numFmt w:val="lowerLetter"/>
      <w:start w:val="1"/>
    </w:lvl>
    <w:lvl w:ilvl="1">
      <w:lvlJc w:val="left"/>
      <w:lvlText w:val="(%2)"/>
      <w:numFmt w:val="lowerRoman"/>
      <w:start w:val="1"/>
    </w:lvl>
  </w:abstractNum>
  <w:abstractNum w:abstractNumId="44">
    <w:nsid w:val="2F305DEF"/>
    <w:multiLevelType w:val="hybridMultilevel"/>
    <w:lvl w:ilvl="0">
      <w:lvlJc w:val="left"/>
      <w:lvlText w:val="(%1)"/>
      <w:numFmt w:val="lowerRoman"/>
      <w:start w:val="4"/>
    </w:lvl>
  </w:abstractNum>
  <w:abstractNum w:abstractNumId="45">
    <w:nsid w:val="25A70BF7"/>
    <w:multiLevelType w:val="hybridMultilevel"/>
    <w:lvl w:ilvl="0">
      <w:lvlJc w:val="left"/>
      <w:lvlText w:val="%1"/>
      <w:numFmt w:val="lowerLetter"/>
      <w:start w:val="1"/>
    </w:lvl>
    <w:lvl w:ilvl="1">
      <w:lvlJc w:val="left"/>
      <w:lvlText w:val="(%2)"/>
      <w:numFmt w:val="upperLetter"/>
      <w:start w:val="1"/>
    </w:lvl>
  </w:abstractNum>
  <w:abstractNum w:abstractNumId="46">
    <w:nsid w:val="1DBABF00"/>
    <w:multiLevelType w:val="hybridMultilevel"/>
    <w:lvl w:ilvl="0">
      <w:lvlJc w:val="left"/>
      <w:lvlText w:val="(%1)"/>
      <w:numFmt w:val="lowerLetter"/>
      <w:start w:val="5"/>
    </w:lvl>
    <w:lvl w:ilvl="1">
      <w:lvlJc w:val="left"/>
      <w:lvlText w:val="%2"/>
      <w:numFmt w:val="upperLetter"/>
      <w:start w:val="1"/>
    </w:lvl>
  </w:abstractNum>
  <w:abstractNum w:abstractNumId="47">
    <w:nsid w:val="4AD084E9"/>
    <w:multiLevelType w:val="hybridMultilevel"/>
    <w:lvl w:ilvl="0">
      <w:lvlJc w:val="left"/>
      <w:lvlText w:val="(%1)"/>
      <w:numFmt w:val="lowerLetter"/>
      <w:start w:val="7"/>
    </w:lvl>
  </w:abstractNum>
  <w:abstractNum w:abstractNumId="48">
    <w:nsid w:val="1F48EAA1"/>
    <w:multiLevelType w:val="hybridMultilevel"/>
    <w:lvl w:ilvl="0">
      <w:lvlJc w:val="left"/>
      <w:lvlText w:val="(%1)"/>
      <w:numFmt w:val="lowerLetter"/>
      <w:start w:val="11"/>
    </w:lvl>
  </w:abstractNum>
  <w:abstractNum w:abstractNumId="49">
    <w:nsid w:val="1381823A"/>
    <w:multiLevelType w:val="hybridMultilevel"/>
    <w:lvl w:ilvl="0">
      <w:lvlJc w:val="left"/>
      <w:lvlText w:val="%1"/>
      <w:numFmt w:val="decimal"/>
      <w:start w:val="1"/>
    </w:lvl>
    <w:lvl w:ilvl="1">
      <w:lvlJc w:val="left"/>
      <w:lvlText w:val="(%2)"/>
      <w:numFmt w:val="lowerLetter"/>
      <w:start w:val="14"/>
    </w:lvl>
  </w:abstractNum>
  <w:abstractNum w:abstractNumId="50">
    <w:nsid w:val="5DB70AE5"/>
    <w:multiLevelType w:val="hybridMultilevel"/>
    <w:lvl w:ilvl="0">
      <w:lvlJc w:val="left"/>
      <w:lvlText w:val="%1."/>
      <w:numFmt w:val="decimal"/>
      <w:start w:val="25"/>
    </w:lvl>
    <w:lvl w:ilvl="1">
      <w:lvlJc w:val="left"/>
      <w:lvlText w:val="(%2)"/>
      <w:numFmt w:val="lowerLetter"/>
      <w:start w:val="1"/>
    </w:lvl>
  </w:abstractNum>
  <w:abstractNum w:abstractNumId="51">
    <w:nsid w:val="100F8FCA"/>
    <w:multiLevelType w:val="hybridMultilevel"/>
    <w:lvl w:ilvl="0">
      <w:lvlJc w:val="left"/>
      <w:lvlText w:val="%1."/>
      <w:numFmt w:val="decimal"/>
      <w:start w:val="26"/>
    </w:lvl>
  </w:abstractNum>
  <w:abstractNum w:abstractNumId="52">
    <w:nsid w:val="6590700B"/>
    <w:multiLevelType w:val="hybridMultilevel"/>
    <w:lvl w:ilvl="0">
      <w:lvlJc w:val="left"/>
      <w:lvlText w:val="%1."/>
      <w:numFmt w:val="decimal"/>
      <w:start w:val="1"/>
    </w:lvl>
  </w:abstractNum>
  <w:abstractNum w:abstractNumId="53">
    <w:nsid w:val="15014ACB"/>
    <w:multiLevelType w:val="hybridMultilevel"/>
    <w:lvl w:ilvl="0">
      <w:lvlJc w:val="left"/>
      <w:lvlText w:val="(%1)"/>
      <w:numFmt w:val="lowerLetter"/>
      <w:start w:val="2"/>
    </w:lvl>
    <w:lvl w:ilvl="1">
      <w:lvlJc w:val="left"/>
      <w:lvlText w:val="-"/>
      <w:numFmt w:val="bullet"/>
      <w:start w:val="1"/>
    </w:lvl>
  </w:abstractNum>
  <w:abstractNum w:abstractNumId="54">
    <w:nsid w:val="5F5E7FD0"/>
    <w:multiLevelType w:val="hybridMultilevel"/>
    <w:lvl w:ilvl="0">
      <w:lvlJc w:val="left"/>
      <w:lvlText w:val="(%1)"/>
      <w:numFmt w:val="lowerLetter"/>
      <w:start w:val="7"/>
    </w:lvl>
  </w:abstractNum>
  <w:abstractNum w:abstractNumId="55">
    <w:nsid w:val="98A3148"/>
    <w:multiLevelType w:val="hybridMultilevel"/>
    <w:lvl w:ilvl="0">
      <w:lvlJc w:val="left"/>
      <w:lvlText w:val="%1."/>
      <w:numFmt w:val="decimal"/>
      <w:start w:val="4"/>
    </w:lvl>
  </w:abstractNum>
  <w:abstractNum w:abstractNumId="56">
    <w:nsid w:val="799D0247"/>
    <w:multiLevelType w:val="hybridMultilevel"/>
    <w:lvl w:ilvl="0">
      <w:lvlJc w:val="left"/>
      <w:lvlText w:val="(%1)"/>
      <w:numFmt w:val="lowerLetter"/>
      <w:start w:val="1"/>
    </w:lvl>
    <w:lvl w:ilvl="1">
      <w:lvlJc w:val="left"/>
      <w:lvlText w:val="(%2)"/>
      <w:numFmt w:val="lowerRoman"/>
      <w:start w:val="1"/>
    </w:lvl>
  </w:abstractNum>
  <w:abstractNum w:abstractNumId="57">
    <w:nsid w:val="6B94764"/>
    <w:multiLevelType w:val="hybridMultilevel"/>
    <w:lvl w:ilvl="0">
      <w:lvlJc w:val="left"/>
      <w:lvlText w:val="(%1)"/>
      <w:numFmt w:val="lowerLetter"/>
      <w:start w:val="2"/>
    </w:lvl>
  </w:abstractNum>
  <w:abstractNum w:abstractNumId="58">
    <w:nsid w:val="42C296BD"/>
    <w:multiLevelType w:val="hybridMultilevel"/>
    <w:lvl w:ilvl="0">
      <w:lvlJc w:val="left"/>
      <w:lvlText w:val="(%1)"/>
      <w:numFmt w:val="lowerLetter"/>
      <w:start w:val="9"/>
    </w:lvl>
  </w:abstractNum>
  <w:abstractNum w:abstractNumId="59">
    <w:nsid w:val="168E121F"/>
    <w:multiLevelType w:val="hybridMultilevel"/>
    <w:lvl w:ilvl="0">
      <w:lvlJc w:val="left"/>
      <w:lvlText w:val="(%1)"/>
      <w:numFmt w:val="lowerRoman"/>
      <w:start w:val="2"/>
    </w:lvl>
  </w:abstractNum>
  <w:abstractNum w:abstractNumId="60">
    <w:nsid w:val="1EBA5D23"/>
    <w:multiLevelType w:val="hybridMultilevel"/>
    <w:lvl w:ilvl="0">
      <w:lvlJc w:val="left"/>
      <w:lvlText w:val="(%1)"/>
      <w:numFmt w:val="lowerRoman"/>
      <w:start w:val="4"/>
    </w:lvl>
    <w:lvl w:ilvl="1">
      <w:lvlJc w:val="left"/>
      <w:lvlText w:val="-"/>
      <w:numFmt w:val="bullet"/>
      <w:start w:val="1"/>
    </w:lvl>
  </w:abstractNum>
  <w:abstractNum w:abstractNumId="61">
    <w:nsid w:val="661E3F1E"/>
    <w:multiLevelType w:val="hybridMultilevel"/>
    <w:lvl w:ilvl="0">
      <w:lvlJc w:val="left"/>
      <w:lvlText w:val="%1"/>
      <w:numFmt w:val="lowerLetter"/>
      <w:start w:val="1"/>
    </w:lvl>
    <w:lvl w:ilvl="1">
      <w:lvlJc w:val="left"/>
      <w:lvlText w:val="(%2)"/>
      <w:numFmt w:val="lowerRoman"/>
      <w:start w:val="7"/>
    </w:lvl>
  </w:abstractNum>
  <w:abstractNum w:abstractNumId="62">
    <w:nsid w:val="5DC79EA8"/>
    <w:multiLevelType w:val="hybridMultilevel"/>
    <w:lvl w:ilvl="0">
      <w:lvlJc w:val="left"/>
      <w:lvlText w:val="(%1)"/>
      <w:numFmt w:val="lowerLetter"/>
      <w:start w:val="3"/>
    </w:lvl>
    <w:lvl w:ilvl="1">
      <w:lvlJc w:val="left"/>
      <w:lvlText w:val="%2"/>
      <w:numFmt w:val="lowerRoman"/>
      <w:start w:val="1"/>
    </w:lvl>
  </w:abstractNum>
  <w:abstractNum w:abstractNumId="63">
    <w:nsid w:val="540A471C"/>
    <w:multiLevelType w:val="hybridMultilevel"/>
    <w:lvl w:ilvl="0">
      <w:lvlJc w:val="left"/>
      <w:lvlText w:val="%1."/>
      <w:numFmt w:val="decimal"/>
      <w:start w:val="5"/>
    </w:lvl>
  </w:abstractNum>
  <w:abstractNum w:abstractNumId="64">
    <w:nsid w:val="7BD3EE7B"/>
    <w:multiLevelType w:val="hybridMultilevel"/>
    <w:lvl w:ilvl="0">
      <w:lvlJc w:val="left"/>
      <w:lvlText w:val="(%1)"/>
      <w:numFmt w:val="lowerLetter"/>
      <w:start w:val="1"/>
    </w:lvl>
  </w:abstractNum>
  <w:abstractNum w:abstractNumId="65">
    <w:nsid w:val="51D9C564"/>
    <w:multiLevelType w:val="hybridMultilevel"/>
    <w:lvl w:ilvl="0">
      <w:lvlJc w:val="left"/>
      <w:lvlText w:val="%1."/>
      <w:numFmt w:val="decimal"/>
      <w:start w:val="6"/>
    </w:lvl>
  </w:abstractNum>
  <w:abstractNum w:abstractNumId="66">
    <w:nsid w:val="613EFDC5"/>
    <w:multiLevelType w:val="hybridMultilevel"/>
    <w:lvl w:ilvl="0">
      <w:lvlJc w:val="left"/>
      <w:lvlText w:val="(%1)"/>
      <w:numFmt w:val="lowerLetter"/>
      <w:start w:val="1"/>
    </w:lvl>
    <w:lvl w:ilvl="1">
      <w:lvlJc w:val="left"/>
      <w:lvlText w:val="-"/>
      <w:numFmt w:val="bullet"/>
      <w:start w:val="1"/>
    </w:lvl>
  </w:abstractNum>
  <w:abstractNum w:abstractNumId="67">
    <w:nsid w:val="BF72B14"/>
    <w:multiLevelType w:val="hybridMultilevel"/>
    <w:lvl w:ilvl="0">
      <w:lvlJc w:val="left"/>
      <w:lvlText w:val="(%1)"/>
      <w:numFmt w:val="lowerLetter"/>
      <w:start w:val="2"/>
    </w:lvl>
  </w:abstractNum>
  <w:abstractNum w:abstractNumId="68">
    <w:nsid w:val="11447B73"/>
    <w:multiLevelType w:val="hybridMultilevel"/>
    <w:lvl w:ilvl="0">
      <w:lvlJc w:val="left"/>
      <w:lvlText w:val="%1."/>
      <w:numFmt w:val="decimal"/>
      <w:start w:val="7"/>
    </w:lvl>
  </w:abstractNum>
  <w:abstractNum w:abstractNumId="69">
    <w:nsid w:val="42963E5A"/>
    <w:multiLevelType w:val="hybridMultilevel"/>
    <w:lvl w:ilvl="0">
      <w:lvlJc w:val="left"/>
      <w:lvlText w:val="(%1)"/>
      <w:numFmt w:val="lowerLetter"/>
      <w:start w:val="1"/>
    </w:lvl>
    <w:lvl w:ilvl="1">
      <w:lvlJc w:val="left"/>
      <w:lvlText w:val="-"/>
      <w:numFmt w:val="bullet"/>
      <w:start w:val="1"/>
    </w:lvl>
  </w:abstractNum>
  <w:abstractNum w:abstractNumId="70">
    <w:nsid w:val="A0382C5"/>
    <w:multiLevelType w:val="hybridMultilevel"/>
    <w:lvl w:ilvl="0">
      <w:lvlJc w:val="left"/>
      <w:lvlText w:val="(%1)"/>
      <w:numFmt w:val="lowerLetter"/>
      <w:start w:val="2"/>
    </w:lvl>
    <w:lvl w:ilvl="1">
      <w:lvlJc w:val="left"/>
      <w:lvlText w:val="%2."/>
      <w:numFmt w:val="decimal"/>
      <w:start w:val="10"/>
    </w:lvl>
  </w:abstractNum>
  <w:abstractNum w:abstractNumId="71">
    <w:nsid w:val="8F2B15E"/>
    <w:multiLevelType w:val="hybridMultilevel"/>
    <w:lvl w:ilvl="0">
      <w:lvlJc w:val="left"/>
      <w:lvlText w:val="(%1)"/>
      <w:numFmt w:val="lowerLetter"/>
      <w:start w:val="1"/>
    </w:lvl>
    <w:lvl w:ilvl="1">
      <w:lvlJc w:val="left"/>
      <w:lvlText w:val="%2."/>
      <w:numFmt w:val="decimal"/>
      <w:start w:val="11"/>
    </w:lvl>
    <w:lvl w:ilvl="2">
      <w:lvlJc w:val="left"/>
      <w:lvlText w:val="-"/>
      <w:numFmt w:val="bullet"/>
      <w:start w:val="1"/>
    </w:lvl>
  </w:abstractNum>
  <w:abstractNum w:abstractNumId="72">
    <w:nsid w:val="1A32234B"/>
    <w:multiLevelType w:val="hybridMultilevel"/>
    <w:lvl w:ilvl="0">
      <w:lvlJc w:val="left"/>
      <w:lvlText w:val="%1."/>
      <w:numFmt w:val="decimal"/>
      <w:start w:val="12"/>
    </w:lvl>
  </w:abstractNum>
  <w:abstractNum w:abstractNumId="73">
    <w:nsid w:val="3B0FD379"/>
    <w:multiLevelType w:val="hybridMultilevel"/>
    <w:lvl w:ilvl="0">
      <w:lvlJc w:val="left"/>
      <w:lvlText w:val="(%1)"/>
      <w:numFmt w:val="lowerLetter"/>
      <w:start w:val="1"/>
    </w:lvl>
  </w:abstractNum>
  <w:abstractNum w:abstractNumId="74">
    <w:nsid w:val="68EB2F63"/>
    <w:multiLevelType w:val="hybridMultilevel"/>
    <w:lvl w:ilvl="0">
      <w:lvlJc w:val="left"/>
      <w:lvlText w:val="(%1)"/>
      <w:numFmt w:val="lowerLetter"/>
      <w:start w:val="1"/>
    </w:lvl>
  </w:abstractNum>
  <w:abstractNum w:abstractNumId="75">
    <w:nsid w:val="4962813B"/>
    <w:multiLevelType w:val="hybridMultilevel"/>
    <w:lvl w:ilvl="0">
      <w:lvlJc w:val="left"/>
      <w:lvlText w:val="%1."/>
      <w:numFmt w:val="decimal"/>
      <w:start w:val="14"/>
    </w:lvl>
  </w:abstractNum>
  <w:abstractNum w:abstractNumId="76">
    <w:nsid w:val="60B6DF70"/>
    <w:multiLevelType w:val="hybridMultilevel"/>
    <w:lvl w:ilvl="0">
      <w:lvlJc w:val="left"/>
      <w:lvlText w:val="%1"/>
      <w:numFmt w:val="lowerRoman"/>
      <w:start w:val="1"/>
    </w:lvl>
    <w:lvl w:ilvl="1">
      <w:lvlJc w:val="left"/>
      <w:lvlText w:val="(%2)"/>
      <w:numFmt w:val="lowerLetter"/>
      <w:start w:val="2"/>
    </w:lvl>
    <w:lvl w:ilvl="2">
      <w:lvlJc w:val="left"/>
      <w:lvlText w:val="-"/>
      <w:numFmt w:val="bullet"/>
      <w:start w:val="1"/>
    </w:lvl>
  </w:abstractNum>
  <w:abstractNum w:abstractNumId="77">
    <w:nsid w:val="6A5EE64"/>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78">
    <w:nsid w:val="14330624"/>
    <w:multiLevelType w:val="hybridMultilevel"/>
    <w:lvl w:ilvl="0">
      <w:lvlJc w:val="left"/>
      <w:lvlText w:val="(%1)"/>
      <w:numFmt w:val="upperLetter"/>
      <w:start w:val="1"/>
    </w:lvl>
  </w:abstractNum>
  <w:abstractNum w:abstractNumId="79">
    <w:nsid w:val="7FFFCA11"/>
    <w:multiLevelType w:val="hybridMultilevel"/>
    <w:lvl w:ilvl="0">
      <w:lvlJc w:val="left"/>
      <w:lvlText w:val="(%1)"/>
      <w:numFmt w:val="lowerLetter"/>
      <w:start w:val="4"/>
    </w:lvl>
    <w:lvl w:ilvl="1">
      <w:lvlJc w:val="left"/>
      <w:lvlText w:val="-"/>
      <w:numFmt w:val="bullet"/>
      <w:start w:val="1"/>
    </w:lvl>
  </w:abstractNum>
  <w:abstractNum w:abstractNumId="80">
    <w:nsid w:val="1A27709E"/>
    <w:multiLevelType w:val="hybridMultilevel"/>
    <w:lvl w:ilvl="0">
      <w:lvlJc w:val="left"/>
      <w:lvlText w:val="(%1)"/>
      <w:numFmt w:val="lowerLetter"/>
      <w:start w:val="8"/>
    </w:lvl>
  </w:abstractNum>
  <w:abstractNum w:abstractNumId="81">
    <w:nsid w:val="71EA1109"/>
    <w:multiLevelType w:val="hybridMultilevel"/>
    <w:lvl w:ilvl="0">
      <w:lvlJc w:val="left"/>
      <w:lvlText w:val="%1."/>
      <w:numFmt w:val="decimal"/>
      <w:start w:val="18"/>
    </w:lvl>
  </w:abstractNum>
  <w:abstractNum w:abstractNumId="82">
    <w:nsid w:val="100F59DC"/>
    <w:multiLevelType w:val="hybridMultilevel"/>
    <w:lvl w:ilvl="0">
      <w:lvlJc w:val="left"/>
      <w:lvlText w:val="(%1)"/>
      <w:numFmt w:val="lowerLetter"/>
      <w:start w:val="1"/>
    </w:lvl>
  </w:abstractNum>
  <w:abstractNum w:abstractNumId="83">
    <w:nsid w:val="7FB7E0AA"/>
    <w:multiLevelType w:val="hybridMultilevel"/>
    <w:lvl w:ilvl="0">
      <w:lvlJc w:val="left"/>
      <w:lvlText w:val="%1."/>
      <w:numFmt w:val="decimal"/>
      <w:start w:val="19"/>
    </w:lvl>
    <w:lvl w:ilvl="1">
      <w:lvlJc w:val="left"/>
      <w:lvlText w:val="-"/>
      <w:numFmt w:val="bullet"/>
      <w:start w:val="1"/>
    </w:lvl>
  </w:abstractNum>
  <w:abstractNum w:abstractNumId="84">
    <w:nsid w:val="6EB5BD4"/>
    <w:multiLevelType w:val="hybridMultilevel"/>
    <w:lvl w:ilvl="0">
      <w:lvlJc w:val="left"/>
      <w:lvlText w:val="%1."/>
      <w:numFmt w:val="decimal"/>
      <w:start w:val="20"/>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2019-12-09T10:18:38Z</dcterms:created>
  <dcterms:modified xsi:type="dcterms:W3CDTF">2019-12-09T10:18:38Z</dcterms:modified>
</cp:coreProperties>
</file>