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132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13270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TREVATHAN JAMES E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 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WASTE MANAGEMENT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WM</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02/27/2013</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91"/>
        <w:spacing w:after="0"/>
        <w:rPr>
          <w:sz w:val="20"/>
          <w:szCs w:val="20"/>
          <w:color w:val="auto"/>
        </w:rPr>
      </w:pPr>
      <w:r>
        <w:rPr>
          <w:rFonts w:ascii="Arial" w:cs="Arial" w:eastAsia="Arial" w:hAnsi="Arial"/>
          <w:sz w:val="17"/>
          <w:szCs w:val="17"/>
          <w:color w:val="0000FF"/>
        </w:rPr>
        <w:t>Executive Vice President</w:t>
      </w:r>
    </w:p>
    <w:p>
      <w:pPr>
        <w:spacing w:after="0" w:line="324" w:lineRule="exact"/>
        <w:rPr>
          <w:sz w:val="24"/>
          <w:szCs w:val="24"/>
          <w:color w:val="auto"/>
        </w:rPr>
      </w:pPr>
    </w:p>
    <w:p>
      <w:pPr>
        <w:sectPr>
          <w:pgSz w:w="11900" w:h="16838" w:orient="portrait"/>
          <w:cols w:equalWidth="0" w:num="3">
            <w:col w:w="3340" w:space="720"/>
            <w:col w:w="3320" w:space="66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4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00"/>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60" w:type="dxa"/>
            <w:vAlign w:val="bottom"/>
            <w:gridSpan w:val="2"/>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60" w:type="dxa"/>
            <w:vAlign w:val="bottom"/>
            <w:gridSpan w:val="2"/>
          </w:tcPr>
          <w:p>
            <w:pPr>
              <w:ind w:left="800"/>
              <w:spacing w:after="0"/>
              <w:rPr>
                <w:sz w:val="20"/>
                <w:szCs w:val="20"/>
                <w:color w:val="auto"/>
              </w:rPr>
            </w:pPr>
            <w:r>
              <w:rPr>
                <w:rFonts w:ascii="Arial" w:cs="Arial" w:eastAsia="Arial" w:hAnsi="Arial"/>
                <w:sz w:val="17"/>
                <w:szCs w:val="17"/>
                <w:color w:val="0000FF"/>
              </w:rPr>
              <w:t>02/27/2013</w:t>
            </w: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31"/>
              <w:spacing w:after="0"/>
              <w:rPr>
                <w:sz w:val="20"/>
                <w:szCs w:val="20"/>
                <w:color w:val="auto"/>
              </w:rPr>
            </w:pPr>
            <w:r>
              <w:rPr>
                <w:rFonts w:ascii="Arial" w:cs="Arial" w:eastAsia="Arial" w:hAnsi="Arial"/>
                <w:sz w:val="17"/>
                <w:szCs w:val="17"/>
                <w:color w:val="0000FF"/>
                <w:w w:val="91"/>
              </w:rPr>
              <w:t>120,000</w:t>
            </w:r>
          </w:p>
        </w:tc>
        <w:tc>
          <w:tcPr>
            <w:tcW w:w="680" w:type="dxa"/>
            <w:vAlign w:val="bottom"/>
          </w:tcPr>
          <w:p>
            <w:pPr>
              <w:ind w:left="30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19.61</w:t>
            </w:r>
          </w:p>
        </w:tc>
        <w:tc>
          <w:tcPr>
            <w:tcW w:w="40" w:type="dxa"/>
            <w:vAlign w:val="bottom"/>
          </w:tcPr>
          <w:p>
            <w:pPr>
              <w:spacing w:after="0"/>
              <w:rPr>
                <w:sz w:val="22"/>
                <w:szCs w:val="22"/>
                <w:color w:val="auto"/>
              </w:rPr>
            </w:pPr>
          </w:p>
        </w:tc>
        <w:tc>
          <w:tcPr>
            <w:tcW w:w="1340" w:type="dxa"/>
            <w:vAlign w:val="bottom"/>
            <w:gridSpan w:val="3"/>
          </w:tcPr>
          <w:p>
            <w:pPr>
              <w:ind w:left="180"/>
              <w:spacing w:after="0"/>
              <w:rPr>
                <w:sz w:val="20"/>
                <w:szCs w:val="20"/>
                <w:color w:val="auto"/>
              </w:rPr>
            </w:pPr>
            <w:r>
              <w:rPr>
                <w:rFonts w:ascii="Arial" w:cs="Arial" w:eastAsia="Arial" w:hAnsi="Arial"/>
                <w:sz w:val="17"/>
                <w:szCs w:val="17"/>
                <w:color w:val="0000FF"/>
              </w:rPr>
              <w:t>256,987.1082</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60" w:type="dxa"/>
            <w:vAlign w:val="bottom"/>
            <w:gridSpan w:val="2"/>
          </w:tcPr>
          <w:p>
            <w:pPr>
              <w:ind w:left="800"/>
              <w:spacing w:after="0"/>
              <w:rPr>
                <w:sz w:val="20"/>
                <w:szCs w:val="20"/>
                <w:color w:val="auto"/>
              </w:rPr>
            </w:pPr>
            <w:r>
              <w:rPr>
                <w:rFonts w:ascii="Arial" w:cs="Arial" w:eastAsia="Arial" w:hAnsi="Arial"/>
                <w:sz w:val="17"/>
                <w:szCs w:val="17"/>
                <w:color w:val="0000FF"/>
              </w:rPr>
              <w:t>02/27/2013</w:t>
            </w: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31"/>
              <w:spacing w:after="0"/>
              <w:rPr>
                <w:sz w:val="20"/>
                <w:szCs w:val="20"/>
                <w:color w:val="auto"/>
              </w:rPr>
            </w:pPr>
            <w:r>
              <w:rPr>
                <w:rFonts w:ascii="Arial" w:cs="Arial" w:eastAsia="Arial" w:hAnsi="Arial"/>
                <w:sz w:val="17"/>
                <w:szCs w:val="17"/>
                <w:color w:val="0000FF"/>
                <w:w w:val="92"/>
              </w:rPr>
              <w:t>83,549</w:t>
            </w:r>
          </w:p>
        </w:tc>
        <w:tc>
          <w:tcPr>
            <w:tcW w:w="680" w:type="dxa"/>
            <w:vAlign w:val="bottom"/>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36.505</w:t>
            </w:r>
          </w:p>
        </w:tc>
        <w:tc>
          <w:tcPr>
            <w:tcW w:w="40" w:type="dxa"/>
            <w:vAlign w:val="bottom"/>
          </w:tcPr>
          <w:p>
            <w:pPr>
              <w:spacing w:after="0"/>
              <w:rPr>
                <w:sz w:val="22"/>
                <w:szCs w:val="22"/>
                <w:color w:val="auto"/>
              </w:rPr>
            </w:pPr>
          </w:p>
        </w:tc>
        <w:tc>
          <w:tcPr>
            <w:tcW w:w="1340" w:type="dxa"/>
            <w:vAlign w:val="bottom"/>
            <w:gridSpan w:val="3"/>
          </w:tcPr>
          <w:p>
            <w:pPr>
              <w:ind w:left="180"/>
              <w:spacing w:after="0"/>
              <w:rPr>
                <w:sz w:val="20"/>
                <w:szCs w:val="20"/>
                <w:color w:val="auto"/>
              </w:rPr>
            </w:pPr>
            <w:r>
              <w:rPr>
                <w:rFonts w:ascii="Arial" w:cs="Arial" w:eastAsia="Arial" w:hAnsi="Arial"/>
                <w:sz w:val="17"/>
                <w:szCs w:val="17"/>
                <w:color w:val="0000FF"/>
              </w:rPr>
              <w:t>173,438.1082</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02/28/2013</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9"/>
              </w:rPr>
              <w:t>3,850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36.9504</w:t>
            </w:r>
          </w:p>
        </w:tc>
        <w:tc>
          <w:tcPr>
            <w:tcW w:w="134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0000FF"/>
              </w:rPr>
              <w:t>169,588.1082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9"/>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19.61</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02/27/2013</w:t>
            </w:r>
          </w:p>
        </w:tc>
        <w:tc>
          <w:tcPr>
            <w:tcW w:w="112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8"/>
                <w:szCs w:val="18"/>
                <w:color w:val="auto"/>
              </w:rPr>
            </w:pPr>
          </w:p>
        </w:tc>
        <w:tc>
          <w:tcPr>
            <w:tcW w:w="920" w:type="dxa"/>
            <w:vAlign w:val="bottom"/>
          </w:tcPr>
          <w:p>
            <w:pPr>
              <w:ind w:left="400"/>
              <w:spacing w:after="0"/>
              <w:rPr>
                <w:sz w:val="20"/>
                <w:szCs w:val="20"/>
                <w:color w:val="auto"/>
              </w:rPr>
            </w:pPr>
            <w:r>
              <w:rPr>
                <w:rFonts w:ascii="Arial" w:cs="Arial" w:eastAsia="Arial" w:hAnsi="Arial"/>
                <w:sz w:val="13"/>
                <w:szCs w:val="13"/>
                <w:color w:val="0000FF"/>
              </w:rPr>
              <w:t>120,000</w:t>
            </w:r>
          </w:p>
        </w:tc>
        <w:tc>
          <w:tcPr>
            <w:tcW w:w="800" w:type="dxa"/>
            <w:vAlign w:val="bottom"/>
          </w:tcPr>
          <w:p>
            <w:pPr>
              <w:ind w:left="320"/>
              <w:spacing w:after="0"/>
              <w:rPr>
                <w:sz w:val="20"/>
                <w:szCs w:val="20"/>
                <w:color w:val="auto"/>
              </w:rPr>
            </w:pPr>
            <w:r>
              <w:rPr>
                <w:rFonts w:ascii="Arial" w:cs="Arial" w:eastAsia="Arial" w:hAnsi="Arial"/>
                <w:sz w:val="11"/>
                <w:szCs w:val="11"/>
                <w:color w:val="008000"/>
              </w:rPr>
              <w:t>(2)</w:t>
            </w:r>
          </w:p>
        </w:tc>
        <w:tc>
          <w:tcPr>
            <w:tcW w:w="740" w:type="dxa"/>
            <w:vAlign w:val="bottom"/>
          </w:tcPr>
          <w:p>
            <w:pPr>
              <w:ind w:left="60"/>
              <w:spacing w:after="0"/>
              <w:rPr>
                <w:sz w:val="20"/>
                <w:szCs w:val="20"/>
                <w:color w:val="auto"/>
              </w:rPr>
            </w:pPr>
            <w:r>
              <w:rPr>
                <w:rFonts w:ascii="Arial" w:cs="Arial" w:eastAsia="Arial" w:hAnsi="Arial"/>
                <w:sz w:val="13"/>
                <w:szCs w:val="13"/>
                <w:color w:val="0000FF"/>
              </w:rPr>
              <w:t>03/06/2013</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120,000</w:t>
            </w:r>
          </w:p>
        </w:tc>
        <w:tc>
          <w:tcPr>
            <w:tcW w:w="40" w:type="dxa"/>
            <w:vAlign w:val="bottom"/>
          </w:tcPr>
          <w:p>
            <w:pPr>
              <w:spacing w:after="0"/>
              <w:rPr>
                <w:sz w:val="18"/>
                <w:szCs w:val="18"/>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19.61</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0.0000</w:t>
            </w:r>
          </w:p>
        </w:tc>
        <w:tc>
          <w:tcPr>
            <w:tcW w:w="28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400" w:firstLine="6"/>
        <w:spacing w:after="0" w:line="299"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$36.94 to $36.97.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3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2000 Stock Incentive Plan. The stock option originally vested in 25% annual increments commencing on the first anniversary of the date of the grant. The Compensation Committee of the Board of Directors accelerated the vesting of the Company's outstanding options effective December 28, 2005.</w:t>
      </w:r>
    </w:p>
    <w:p>
      <w:pPr>
        <w:spacing w:after="0" w:line="48"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Linda J. Smith, Attorney-in-fact 03/01/2013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950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spacing w:after="0" w:line="57"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7041"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2019-12-18T08:34:53Z</dcterms:created>
  <dcterms:modified xsi:type="dcterms:W3CDTF">2019-12-18T08:34:53Z</dcterms:modified>
</cp:coreProperties>
</file>