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14, 2019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44" w:right="35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544" w:right="359" w:bottom="144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44"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2018,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6496795. A replay of the call will be available on the Company’s website and by telephone until February 28, 2019. To access a replay telephonically, please dial (855) 859-2056 and use the replay conference ID number 6496795.</w:t>
      </w:r>
    </w:p>
    <w:p>
      <w:pPr>
        <w:spacing w:after="0" w:line="193"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5"/>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February 14,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Borders>
              <w:top w:val="single" w:sz="8" w:color="0000EE"/>
            </w:tcBorders>
          </w:tcPr>
          <w:p>
            <w:pPr>
              <w:spacing w:after="0"/>
              <w:rPr>
                <w:sz w:val="24"/>
                <w:szCs w:val="24"/>
                <w:color w:val="auto"/>
              </w:rPr>
            </w:pPr>
          </w:p>
        </w:tc>
        <w:tc>
          <w:tcPr>
            <w:tcW w:w="1960" w:type="dxa"/>
            <w:vAlign w:val="bottom"/>
            <w:gridSpan w:val="2"/>
          </w:tcPr>
          <w:p>
            <w:pPr>
              <w:jc w:val="right"/>
              <w:ind w:right="399"/>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   February 14, 2019</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236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4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line="248" w:lineRule="auto"/>
        <w:rPr>
          <w:sz w:val="20"/>
          <w:szCs w:val="20"/>
          <w:color w:val="auto"/>
        </w:rPr>
      </w:pPr>
      <w:r>
        <w:rPr>
          <w:rFonts w:ascii="Arial" w:cs="Arial" w:eastAsia="Arial" w:hAnsi="Arial"/>
          <w:sz w:val="40"/>
          <w:szCs w:val="40"/>
          <w:color w:val="7AB800"/>
        </w:rPr>
        <w:t>Waste Management Announces Fourth Quarter and Full-Year 2018 Earnings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21"/>
          <w:szCs w:val="21"/>
          <w:color w:val="57584F"/>
        </w:rPr>
        <w:t>The Company Generates Its Best Ever Full-Year Income and Cash Flow from Operations</w:t>
      </w: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February 14, 2019</w:t>
      </w:r>
      <w:r>
        <w:rPr>
          <w:rFonts w:ascii="Arial" w:cs="Arial" w:eastAsia="Arial" w:hAnsi="Arial"/>
          <w:sz w:val="16"/>
          <w:szCs w:val="16"/>
          <w:b w:val="1"/>
          <w:bCs w:val="1"/>
          <w:color w:val="auto"/>
        </w:rPr>
        <w:t xml:space="preserve"> </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w:t>
      </w:r>
      <w:r>
        <w:rPr>
          <w:rFonts w:ascii="Arial" w:cs="Arial" w:eastAsia="Arial" w:hAnsi="Arial"/>
          <w:sz w:val="16"/>
          <w:szCs w:val="16"/>
          <w:b w:val="1"/>
          <w:bCs w:val="1"/>
          <w:color w:val="auto"/>
        </w:rPr>
        <w:t xml:space="preserve"> </w:t>
      </w:r>
      <w:r>
        <w:rPr>
          <w:rFonts w:ascii="Arial" w:cs="Arial" w:eastAsia="Arial" w:hAnsi="Arial"/>
          <w:sz w:val="18"/>
          <w:szCs w:val="18"/>
          <w:color w:val="57584F"/>
        </w:rPr>
        <w:t>results for its quarter ended December 31, 2018. Revenues for the fourth quarter of 2018 were $3.84 billion, compared with $3.65 billion for the same 2017 period. Net income for the quarter was $531 million, or $1.24 per diluted share, compared with net income of $903 million, or $2.06 per diluted share, for the fourth quarter of 2017.</w:t>
      </w:r>
      <w:r>
        <w:rPr>
          <w:rFonts w:ascii="Arial" w:cs="Arial" w:eastAsia="Arial" w:hAnsi="Arial"/>
          <w:sz w:val="23"/>
          <w:szCs w:val="23"/>
          <w:color w:val="57584F"/>
          <w:vertAlign w:val="superscript"/>
        </w:rPr>
        <w:t>(a)</w:t>
      </w:r>
      <w:r>
        <w:rPr>
          <w:rFonts w:ascii="Arial" w:cs="Arial" w:eastAsia="Arial" w:hAnsi="Arial"/>
          <w:sz w:val="18"/>
          <w:szCs w:val="18"/>
          <w:color w:val="57584F"/>
        </w:rPr>
        <w:t xml:space="preserve"> On an adjusted basis, earnings per diluted share were $1.13 for the fourth quarter of 2018, compared with $0.85 for the fourth quarter of 2017.</w:t>
      </w:r>
      <w:r>
        <w:rPr>
          <w:rFonts w:ascii="Arial" w:cs="Arial" w:eastAsia="Arial" w:hAnsi="Arial"/>
          <w:sz w:val="23"/>
          <w:szCs w:val="23"/>
          <w:color w:val="57584F"/>
          <w:vertAlign w:val="superscript"/>
        </w:rPr>
        <w:t>(b)</w:t>
      </w:r>
    </w:p>
    <w:p>
      <w:pPr>
        <w:spacing w:after="0" w:line="106"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57584F"/>
        </w:rPr>
        <w:t>For the full year 2018, the Company reported revenues of $14.91 billion, compared with $14.49 billion for 2017. Earnings per diluted share were $4.45 for the full year 2018 compared with $4.41 for the full year</w:t>
      </w:r>
    </w:p>
    <w:p>
      <w:pPr>
        <w:spacing w:after="0" w:line="2"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57584F"/>
        </w:rPr>
        <w:t>2017. On an adjusted basis, earnings per diluted share were $4.20 for the full year 2018 versus $3.22 for the full year 2017.</w:t>
      </w:r>
      <w:r>
        <w:rPr>
          <w:rFonts w:ascii="Arial" w:cs="Arial" w:eastAsia="Arial" w:hAnsi="Arial"/>
          <w:sz w:val="23"/>
          <w:szCs w:val="23"/>
          <w:color w:val="57584F"/>
          <w:vertAlign w:val="superscript"/>
        </w:rPr>
        <w:t>(b)</w:t>
      </w:r>
    </w:p>
    <w:p>
      <w:pPr>
        <w:spacing w:after="0" w:line="120" w:lineRule="exact"/>
        <w:rPr>
          <w:sz w:val="20"/>
          <w:szCs w:val="20"/>
          <w:color w:val="auto"/>
        </w:rPr>
      </w:pPr>
    </w:p>
    <w:p>
      <w:pPr>
        <w:jc w:val="both"/>
        <w:ind w:right="20"/>
        <w:spacing w:after="0" w:line="217" w:lineRule="auto"/>
        <w:rPr>
          <w:sz w:val="20"/>
          <w:szCs w:val="20"/>
          <w:color w:val="auto"/>
        </w:rPr>
      </w:pPr>
      <w:r>
        <w:rPr>
          <w:rFonts w:ascii="Arial" w:cs="Arial" w:eastAsia="Arial" w:hAnsi="Arial"/>
          <w:sz w:val="18"/>
          <w:szCs w:val="18"/>
          <w:color w:val="57584F"/>
        </w:rPr>
        <w:t>Jim Fish, President and Chief Executive Officer of Waste Management, commented, “2018 was a record-setting year for Waste Management, driven by our traditional solid waste performance. We grew operating EBITDA by more than 5%, which led to an increase in net cash provided by operations of more than 12% to $3.57 billion.</w:t>
      </w:r>
      <w:r>
        <w:rPr>
          <w:rFonts w:ascii="Arial" w:cs="Arial" w:eastAsia="Arial" w:hAnsi="Arial"/>
          <w:sz w:val="23"/>
          <w:szCs w:val="23"/>
          <w:color w:val="57584F"/>
          <w:vertAlign w:val="superscript"/>
        </w:rPr>
        <w:t>(c)</w:t>
      </w:r>
      <w:r>
        <w:rPr>
          <w:rFonts w:ascii="Arial" w:cs="Arial" w:eastAsia="Arial" w:hAnsi="Arial"/>
          <w:sz w:val="18"/>
          <w:szCs w:val="18"/>
          <w:color w:val="57584F"/>
        </w:rPr>
        <w:t xml:space="preserve"> This growth translated into free cash flow of over $2 billion and the most cash returned to our shareholders in over a decade.</w:t>
      </w:r>
      <w:r>
        <w:rPr>
          <w:rFonts w:ascii="Arial" w:cs="Arial" w:eastAsia="Arial" w:hAnsi="Arial"/>
          <w:sz w:val="23"/>
          <w:szCs w:val="23"/>
          <w:color w:val="57584F"/>
          <w:vertAlign w:val="superscript"/>
        </w:rPr>
        <w:t>(b)</w:t>
      </w:r>
      <w:r>
        <w:rPr>
          <w:rFonts w:ascii="Arial" w:cs="Arial" w:eastAsia="Arial" w:hAnsi="Arial"/>
          <w:sz w:val="18"/>
          <w:szCs w:val="18"/>
          <w:color w:val="57584F"/>
        </w:rPr>
        <w:t xml:space="preserve"> Our strong 2018 results validate that our focus on outstanding customer experience and cost management drives solid growth in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FOURTH QUARTER AND THE FULL YEAR 2018</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57584F"/>
        </w:rPr>
        <w:t>Profitability</w:t>
      </w:r>
    </w:p>
    <w:p>
      <w:pPr>
        <w:spacing w:after="0" w:line="234" w:lineRule="exact"/>
        <w:rPr>
          <w:sz w:val="20"/>
          <w:szCs w:val="20"/>
          <w:color w:val="auto"/>
        </w:rPr>
      </w:pPr>
    </w:p>
    <w:p>
      <w:pPr>
        <w:jc w:val="both"/>
        <w:ind w:left="720" w:hanging="383"/>
        <w:spacing w:after="0" w:line="245" w:lineRule="auto"/>
        <w:tabs>
          <w:tab w:leader="none" w:pos="7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Operating EBITDA was $1.14 billion for the fourth quarter of 2018 and $4.27 billion for the full year. Adjusted operating EBITDA was $1.09 billion for the fourth quarter of 2018 and $4.22 billion for the full year. On a year-over-year basis, adjusted operating EBITDA grew $73 million, or 7.2%, in the fourth quarter and $210 million, or 5.2%, for the year. Adjusted operating EBITDA margin improved 50 basis points in the fourth quarter and 60 basis points for the full year.</w:t>
      </w:r>
      <w:r>
        <w:rPr>
          <w:rFonts w:ascii="Arial" w:cs="Arial" w:eastAsia="Arial" w:hAnsi="Arial"/>
          <w:sz w:val="23"/>
          <w:szCs w:val="23"/>
          <w:color w:val="57584F"/>
          <w:vertAlign w:val="superscript"/>
        </w:rPr>
        <w:t>(b)</w:t>
      </w:r>
    </w:p>
    <w:p>
      <w:pPr>
        <w:spacing w:after="0" w:line="91" w:lineRule="exact"/>
        <w:rPr>
          <w:rFonts w:ascii="Arial" w:cs="Arial" w:eastAsia="Arial" w:hAnsi="Arial"/>
          <w:sz w:val="18"/>
          <w:szCs w:val="18"/>
          <w:color w:val="57584F"/>
        </w:rPr>
      </w:pPr>
    </w:p>
    <w:p>
      <w:pPr>
        <w:ind w:left="7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Revenue Growth</w:t>
      </w:r>
    </w:p>
    <w:p>
      <w:pPr>
        <w:spacing w:after="0" w:line="233" w:lineRule="exact"/>
        <w:rPr>
          <w:rFonts w:ascii="Arial" w:cs="Arial" w:eastAsia="Arial" w:hAnsi="Arial"/>
          <w:sz w:val="18"/>
          <w:szCs w:val="18"/>
          <w:color w:val="57584F"/>
        </w:rPr>
      </w:pPr>
    </w:p>
    <w:p>
      <w:pPr>
        <w:jc w:val="both"/>
        <w:ind w:left="720" w:right="20" w:hanging="383"/>
        <w:spacing w:after="0" w:line="237" w:lineRule="auto"/>
        <w:tabs>
          <w:tab w:leader="none" w:pos="7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 the fourth quarter, revenue growth was driven by strong yield and volume growth in the Company’s collection and disposal business, which contributed $203 million of incremental revenue on a year-over-year basis. Revenue from the Company’s recycling business increased $18 million in the fourth quarter of 2018. For the full year, yield and volume growth in the Company’s collection and disposal business contributed $693 million of incremental revenue. This was partially offset by a decline in revenue from the Company’s recycling business, which fell by $197 million year-over-year, due to lower market prices for commodities net of contamination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1020"/>
        <w:spacing w:after="0" w:line="261" w:lineRule="auto"/>
        <w:rPr>
          <w:sz w:val="20"/>
          <w:szCs w:val="20"/>
          <w:color w:val="auto"/>
        </w:rPr>
      </w:pPr>
      <w:r>
        <w:rPr>
          <w:rFonts w:ascii="Arial" w:cs="Arial" w:eastAsia="Arial" w:hAnsi="Arial"/>
          <w:sz w:val="17"/>
          <w:szCs w:val="17"/>
          <w:color w:val="57584F"/>
        </w:rPr>
        <w:t xml:space="preserve">Tiffiany Moehring 720.346.5372 </w:t>
      </w:r>
      <w:r>
        <w:rPr>
          <w:rFonts w:ascii="Arial" w:cs="Arial" w:eastAsia="Arial" w:hAnsi="Arial"/>
          <w:sz w:val="17"/>
          <w:szCs w:val="17"/>
          <w:u w:val="single" w:color="auto"/>
          <w:color w:val="0000FF"/>
        </w:rPr>
        <w:t>tmoehrin@wm.com</w:t>
      </w:r>
    </w:p>
    <w:p>
      <w:pPr>
        <w:sectPr>
          <w:pgSz w:w="11900" w:h="16838" w:orient="portrait"/>
          <w:cols w:equalWidth="0" w:num="2">
            <w:col w:w="8580" w:space="280"/>
            <w:col w:w="2560"/>
          </w:cols>
          <w:pgMar w:left="240" w:top="118" w:right="239" w:bottom="1440" w:gutter="0" w:footer="0" w:header="0"/>
          <w:type w:val="continuous"/>
        </w:sectPr>
      </w:pPr>
    </w:p>
    <w:bookmarkStart w:id="4" w:name="page5"/>
    <w:bookmarkEnd w:id="4"/>
    <w:p>
      <w:pPr>
        <w:ind w:left="383" w:right="1659" w:hanging="383"/>
        <w:spacing w:after="0" w:line="206"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Core price was 5.6% in the fourth quarter of 2018, compared to 4.8% in the fourth quarter of 2017. For the full year, core price was 5.3%, compared to 4.8% in 2017.</w:t>
      </w:r>
      <w:r>
        <w:rPr>
          <w:rFonts w:ascii="Arial" w:cs="Arial" w:eastAsia="Arial" w:hAnsi="Arial"/>
          <w:sz w:val="23"/>
          <w:szCs w:val="23"/>
          <w:color w:val="57584F"/>
          <w:vertAlign w:val="superscript"/>
        </w:rPr>
        <w:t>(d)</w:t>
      </w:r>
    </w:p>
    <w:p>
      <w:pPr>
        <w:jc w:val="both"/>
        <w:ind w:left="383" w:right="1659" w:hanging="383"/>
        <w:spacing w:after="0" w:line="234"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Internal revenue growth from yield for collection and disposal operations was 2.3% for both the fourth quarter and the full year, compared with 2.2% in the fourth quarter of 2017 and 2.0% for the full year 2017.</w:t>
      </w:r>
    </w:p>
    <w:p>
      <w:pPr>
        <w:spacing w:after="0" w:line="2" w:lineRule="exact"/>
        <w:rPr>
          <w:rFonts w:ascii="Arial" w:cs="Arial" w:eastAsia="Arial" w:hAnsi="Arial"/>
          <w:sz w:val="18"/>
          <w:szCs w:val="18"/>
          <w:color w:val="57584F"/>
        </w:rPr>
      </w:pPr>
    </w:p>
    <w:p>
      <w:pPr>
        <w:jc w:val="both"/>
        <w:ind w:left="383" w:right="1659" w:hanging="383"/>
        <w:spacing w:after="0" w:line="238"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Traditional solid waste internal revenue growth from volume was 3.1% in the fourth quarter of 2018, or 2.4% on a workday-adjusted basis. Total Company internal revenue growth from volume, which includes recycling and other businesses, was 4.7% in the fourth quarter, or 4.0% on a workday adjusted basis. For the full year 2018, traditional solid waste internal revenue growth from volume was 2.9% and total Company volume was 3.3%.</w:t>
      </w:r>
    </w:p>
    <w:p>
      <w:pPr>
        <w:spacing w:after="0" w:line="180" w:lineRule="exact"/>
        <w:rPr>
          <w:rFonts w:ascii="Arial" w:cs="Arial" w:eastAsia="Arial" w:hAnsi="Arial"/>
          <w:sz w:val="18"/>
          <w:szCs w:val="18"/>
          <w:color w:val="57584F"/>
        </w:rPr>
      </w:pPr>
    </w:p>
    <w:p>
      <w:pPr>
        <w:ind w:left="383"/>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Recycling</w:t>
      </w:r>
    </w:p>
    <w:p>
      <w:pPr>
        <w:spacing w:after="0" w:line="233" w:lineRule="exact"/>
        <w:rPr>
          <w:rFonts w:ascii="Arial" w:cs="Arial" w:eastAsia="Arial" w:hAnsi="Arial"/>
          <w:sz w:val="18"/>
          <w:szCs w:val="18"/>
          <w:color w:val="57584F"/>
        </w:rPr>
      </w:pPr>
    </w:p>
    <w:p>
      <w:pPr>
        <w:jc w:val="both"/>
        <w:ind w:left="383" w:right="1659" w:hanging="383"/>
        <w:spacing w:after="0" w:line="239"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Operating EBITDA in the Company’s recycling line of business improved modestly when comparing the fourth quarter of 2018 with the prior year period as the Company executed on its contamination fee strategy. For the full year, operating EBITDA in the Company’s recycling line of business declined nearly $90 million when compared to the full year 2017.</w:t>
      </w:r>
    </w:p>
    <w:p>
      <w:pPr>
        <w:spacing w:after="0" w:line="179" w:lineRule="exact"/>
        <w:rPr>
          <w:rFonts w:ascii="Arial" w:cs="Arial" w:eastAsia="Arial" w:hAnsi="Arial"/>
          <w:sz w:val="18"/>
          <w:szCs w:val="18"/>
          <w:color w:val="57584F"/>
        </w:rPr>
      </w:pPr>
    </w:p>
    <w:p>
      <w:pPr>
        <w:ind w:left="383"/>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Cost Management</w:t>
      </w:r>
    </w:p>
    <w:p>
      <w:pPr>
        <w:spacing w:after="0" w:line="233" w:lineRule="exact"/>
        <w:rPr>
          <w:rFonts w:ascii="Arial" w:cs="Arial" w:eastAsia="Arial" w:hAnsi="Arial"/>
          <w:sz w:val="18"/>
          <w:szCs w:val="18"/>
          <w:color w:val="57584F"/>
        </w:rPr>
      </w:pPr>
    </w:p>
    <w:p>
      <w:pPr>
        <w:jc w:val="both"/>
        <w:ind w:left="383" w:right="1639" w:hanging="383"/>
        <w:spacing w:after="0" w:line="239"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 focused on managing SG&amp;A to reduce costs as a percentage of revenue to below 10% for the first time since 2005. As a percent of revenue, SG&amp;A expenses were 9.6% in the fourth quarter of 2018, compared to 10.1% in the fourth quarter of 2017. For the full year, as a percentage of revenue, SG&amp;A expenses were 9.7%, compared to 10.1% for the full year 2017.</w:t>
      </w:r>
    </w:p>
    <w:p>
      <w:pPr>
        <w:spacing w:after="0" w:line="179" w:lineRule="exact"/>
        <w:rPr>
          <w:rFonts w:ascii="Arial" w:cs="Arial" w:eastAsia="Arial" w:hAnsi="Arial"/>
          <w:sz w:val="18"/>
          <w:szCs w:val="18"/>
          <w:color w:val="57584F"/>
        </w:rPr>
      </w:pPr>
    </w:p>
    <w:p>
      <w:pPr>
        <w:ind w:left="383"/>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Free Cash Flow &amp; Capital Allocation</w:t>
      </w:r>
    </w:p>
    <w:p>
      <w:pPr>
        <w:spacing w:after="0" w:line="233" w:lineRule="exact"/>
        <w:rPr>
          <w:rFonts w:ascii="Arial" w:cs="Arial" w:eastAsia="Arial" w:hAnsi="Arial"/>
          <w:sz w:val="18"/>
          <w:szCs w:val="18"/>
          <w:color w:val="57584F"/>
        </w:rPr>
      </w:pPr>
    </w:p>
    <w:p>
      <w:pPr>
        <w:jc w:val="both"/>
        <w:ind w:left="383" w:right="1659" w:hanging="383"/>
        <w:spacing w:after="0" w:line="234"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$912 million in the fourth quarter compared to $792 million in the fourth quarter of 2017. For the full year, net cash provided by operating activities was $3.57 billion, compared to $3.18 billion for the full year of 2017. The increase in operating cash flow for the quarter and the year reflects the benefits of strong operating income growth and lower cash taxes, which were partially offset by the payment of approximately $65 million in bonuses to the Company’s hard-working front-line employees.</w:t>
      </w:r>
    </w:p>
    <w:p>
      <w:pPr>
        <w:spacing w:after="0" w:line="4" w:lineRule="exact"/>
        <w:rPr>
          <w:rFonts w:ascii="Arial" w:cs="Arial" w:eastAsia="Arial" w:hAnsi="Arial"/>
          <w:sz w:val="18"/>
          <w:szCs w:val="18"/>
          <w:color w:val="57584F"/>
        </w:rPr>
      </w:pPr>
    </w:p>
    <w:p>
      <w:pPr>
        <w:jc w:val="both"/>
        <w:ind w:left="383" w:right="1639" w:hanging="383"/>
        <w:spacing w:after="0" w:line="234"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Capital expenditures were $454 million in the fourth quarter, compared to $528 million in the fourth quarter of 2017. For the full year, capital expenditures were $1.69 billion, compared to $1.51 billion for the full year of 2017. The year-over-year increase was in line with expectations as the Company invested a significant portion of its tax savings in facility improvements, natural gas fueling infrastructure and expanding its natural gas fleet.</w:t>
      </w:r>
    </w:p>
    <w:p>
      <w:pPr>
        <w:spacing w:after="0" w:line="3" w:lineRule="exact"/>
        <w:rPr>
          <w:rFonts w:ascii="Arial" w:cs="Arial" w:eastAsia="Arial" w:hAnsi="Arial"/>
          <w:sz w:val="18"/>
          <w:szCs w:val="18"/>
          <w:color w:val="57584F"/>
        </w:rPr>
      </w:pPr>
    </w:p>
    <w:p>
      <w:pPr>
        <w:jc w:val="both"/>
        <w:ind w:left="383" w:right="1659" w:hanging="383"/>
        <w:spacing w:after="0" w:line="219"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Free cash flow was $560 million, including $102 million in asset sales, in the fourth quarter, compared to $344 million, including $80 million in asset sales, in the fourth quarter of 2017. For the full year, free cash flow was $2.08 billion, including $208 million in asset sales, compared to $1.77 billion, including $99 million in asset sales, for the full year of 2017.</w:t>
      </w:r>
      <w:r>
        <w:rPr>
          <w:rFonts w:ascii="Arial" w:cs="Arial" w:eastAsia="Arial" w:hAnsi="Arial"/>
          <w:sz w:val="23"/>
          <w:szCs w:val="23"/>
          <w:color w:val="57584F"/>
          <w:vertAlign w:val="superscript"/>
        </w:rPr>
        <w:t>(b)</w:t>
      </w:r>
    </w:p>
    <w:p>
      <w:pPr>
        <w:spacing w:after="0" w:line="2" w:lineRule="exact"/>
        <w:rPr>
          <w:rFonts w:ascii="Arial" w:cs="Arial" w:eastAsia="Arial" w:hAnsi="Arial"/>
          <w:sz w:val="18"/>
          <w:szCs w:val="18"/>
          <w:color w:val="57584F"/>
        </w:rPr>
      </w:pPr>
    </w:p>
    <w:p>
      <w:pPr>
        <w:jc w:val="both"/>
        <w:ind w:left="383" w:right="1659" w:hanging="383"/>
        <w:spacing w:after="0" w:line="234"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 returned $451 million to shareholders in the fourth quarter comprised of $197 million in dividends and $254 million in share repurchases. For the full year, the Company returned $1.8 billion to shareholders comprised of $802 million in dividends and $1.0 billion in share repurchases.</w:t>
      </w:r>
    </w:p>
    <w:p>
      <w:pPr>
        <w:spacing w:after="0" w:line="3" w:lineRule="exact"/>
        <w:rPr>
          <w:rFonts w:ascii="Arial" w:cs="Arial" w:eastAsia="Arial" w:hAnsi="Arial"/>
          <w:sz w:val="18"/>
          <w:szCs w:val="18"/>
          <w:color w:val="57584F"/>
        </w:rPr>
      </w:pPr>
    </w:p>
    <w:p>
      <w:pPr>
        <w:ind w:left="383" w:right="1659" w:hanging="383"/>
        <w:spacing w:after="0" w:line="246" w:lineRule="auto"/>
        <w:tabs>
          <w:tab w:leader="none" w:pos="38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The Company spent $466 million on acquisitions of solid waste businesses during 2018, $118 million of which was spent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192405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3"/>
          </w:cols>
          <w:pgMar w:left="577" w:top="355" w:right="1440" w:bottom="1440" w:gutter="0" w:footer="0" w:header="0"/>
        </w:sectPr>
      </w:pPr>
    </w:p>
    <w:bookmarkStart w:id="5" w:name="page6"/>
    <w:bookmarkEnd w:id="5"/>
    <w:p>
      <w:pPr>
        <w:ind w:left="720"/>
        <w:spacing w:after="0"/>
        <w:rPr>
          <w:sz w:val="20"/>
          <w:szCs w:val="20"/>
          <w:color w:val="auto"/>
        </w:rPr>
      </w:pPr>
      <w:r>
        <w:rPr>
          <w:rFonts w:ascii="Arial" w:cs="Arial" w:eastAsia="Arial" w:hAnsi="Arial"/>
          <w:sz w:val="18"/>
          <w:szCs w:val="18"/>
          <w:b w:val="1"/>
          <w:bCs w:val="1"/>
          <w:u w:val="single" w:color="auto"/>
          <w:color w:val="57584F"/>
        </w:rPr>
        <w:t>Income Taxes</w:t>
      </w:r>
    </w:p>
    <w:p>
      <w:pPr>
        <w:spacing w:after="0" w:line="234" w:lineRule="exact"/>
        <w:rPr>
          <w:sz w:val="20"/>
          <w:szCs w:val="20"/>
          <w:color w:val="auto"/>
        </w:rPr>
      </w:pPr>
    </w:p>
    <w:p>
      <w:pPr>
        <w:jc w:val="both"/>
        <w:ind w:left="720" w:right="1659" w:hanging="383"/>
        <w:spacing w:after="0"/>
        <w:tabs>
          <w:tab w:leader="none" w:pos="72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Company’s effective tax rate for the fourth quarter of 2018 was 19.3%. On an adjusted basis, the tax rate was 21.5%. For the full year, the Company’s effective tax rate was 19.0%. On an adjusted basis, the tax rate was 22.1%.</w:t>
      </w:r>
      <w:r>
        <w:rPr>
          <w:rFonts w:ascii="Arial" w:cs="Arial" w:eastAsia="Arial" w:hAnsi="Arial"/>
          <w:sz w:val="18"/>
          <w:szCs w:val="18"/>
          <w:color w:val="57584F"/>
          <w:vertAlign w:val="superscript"/>
        </w:rPr>
        <w:t>(b)</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 OUTLOOK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57584F"/>
        </w:rPr>
        <w:t>The Company announced the following regarding its financial outlook for 2019:</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57584F"/>
        </w:rPr>
        <w:t>Profitability</w:t>
      </w:r>
    </w:p>
    <w:p>
      <w:pPr>
        <w:spacing w:after="0" w:line="234" w:lineRule="exact"/>
        <w:rPr>
          <w:sz w:val="20"/>
          <w:szCs w:val="20"/>
          <w:color w:val="auto"/>
        </w:rPr>
      </w:pPr>
    </w:p>
    <w:p>
      <w:pPr>
        <w:ind w:left="720" w:right="1659" w:hanging="383"/>
        <w:spacing w:after="0" w:line="234" w:lineRule="auto"/>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Adjusted operating EBITDA is expected to grow $185 to $235 million to between $4.40 and $4.45 billion for the full year.</w:t>
      </w:r>
      <w:r>
        <w:rPr>
          <w:rFonts w:ascii="Arial" w:cs="Arial" w:eastAsia="Arial" w:hAnsi="Arial"/>
          <w:sz w:val="18"/>
          <w:szCs w:val="18"/>
          <w:color w:val="57584F"/>
          <w:vertAlign w:val="superscript"/>
        </w:rPr>
        <w:t>(b)</w:t>
      </w:r>
    </w:p>
    <w:p>
      <w:pPr>
        <w:spacing w:after="0" w:line="1" w:lineRule="exact"/>
        <w:rPr>
          <w:rFonts w:ascii="Arial" w:cs="Arial" w:eastAsia="Arial" w:hAnsi="Arial"/>
          <w:sz w:val="18"/>
          <w:szCs w:val="18"/>
          <w:color w:val="57584F"/>
        </w:rPr>
      </w:pPr>
    </w:p>
    <w:p>
      <w:pPr>
        <w:ind w:left="720" w:hanging="383"/>
        <w:spacing w:after="0"/>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Adjusted earnings per diluted share for 2019 is expected to be between $4.28 and $4.38.</w:t>
      </w:r>
      <w:r>
        <w:rPr>
          <w:rFonts w:ascii="Arial" w:cs="Arial" w:eastAsia="Arial" w:hAnsi="Arial"/>
          <w:sz w:val="18"/>
          <w:szCs w:val="18"/>
          <w:color w:val="57584F"/>
          <w:vertAlign w:val="superscript"/>
        </w:rPr>
        <w:t>(b)</w:t>
      </w:r>
    </w:p>
    <w:p>
      <w:pPr>
        <w:spacing w:after="0" w:line="203" w:lineRule="exact"/>
        <w:rPr>
          <w:rFonts w:ascii="Arial" w:cs="Arial" w:eastAsia="Arial" w:hAnsi="Arial"/>
          <w:sz w:val="18"/>
          <w:szCs w:val="18"/>
          <w:color w:val="57584F"/>
        </w:rPr>
      </w:pPr>
    </w:p>
    <w:p>
      <w:pPr>
        <w:ind w:left="7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Revenue Growth</w:t>
      </w:r>
    </w:p>
    <w:p>
      <w:pPr>
        <w:spacing w:after="0" w:line="233" w:lineRule="exact"/>
        <w:rPr>
          <w:rFonts w:ascii="Arial" w:cs="Arial" w:eastAsia="Arial" w:hAnsi="Arial"/>
          <w:sz w:val="18"/>
          <w:szCs w:val="18"/>
          <w:color w:val="57584F"/>
        </w:rPr>
      </w:pPr>
    </w:p>
    <w:p>
      <w:pPr>
        <w:ind w:left="720" w:right="1659" w:hanging="383"/>
        <w:spacing w:after="0" w:line="234" w:lineRule="auto"/>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Core price is expected to be greater than 4.0% for 2019. Internal revenue growth from yield on the collection and disposal business is expected to be greater than 2.0%.</w:t>
      </w:r>
    </w:p>
    <w:p>
      <w:pPr>
        <w:spacing w:after="0" w:line="1" w:lineRule="exact"/>
        <w:rPr>
          <w:rFonts w:ascii="Arial" w:cs="Arial" w:eastAsia="Arial" w:hAnsi="Arial"/>
          <w:sz w:val="18"/>
          <w:szCs w:val="18"/>
          <w:color w:val="57584F"/>
        </w:rPr>
      </w:pPr>
    </w:p>
    <w:p>
      <w:pPr>
        <w:ind w:left="720" w:hanging="383"/>
        <w:spacing w:after="0"/>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Internal revenue growth from volume is expected to be around 2.0%.</w:t>
      </w:r>
    </w:p>
    <w:p>
      <w:pPr>
        <w:spacing w:after="0" w:line="203" w:lineRule="exact"/>
        <w:rPr>
          <w:rFonts w:ascii="Arial" w:cs="Arial" w:eastAsia="Arial" w:hAnsi="Arial"/>
          <w:sz w:val="18"/>
          <w:szCs w:val="18"/>
          <w:color w:val="57584F"/>
        </w:rPr>
      </w:pPr>
    </w:p>
    <w:p>
      <w:pPr>
        <w:ind w:left="7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Free Cash Flow &amp; Capital Allocation</w:t>
      </w:r>
    </w:p>
    <w:p>
      <w:pPr>
        <w:spacing w:after="0" w:line="220" w:lineRule="exact"/>
        <w:rPr>
          <w:rFonts w:ascii="Arial" w:cs="Arial" w:eastAsia="Arial" w:hAnsi="Arial"/>
          <w:sz w:val="18"/>
          <w:szCs w:val="18"/>
          <w:color w:val="57584F"/>
        </w:rPr>
      </w:pPr>
    </w:p>
    <w:p>
      <w:pPr>
        <w:ind w:left="720" w:hanging="383"/>
        <w:spacing w:after="0"/>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Free cash flow for 2019 is projected to be between $2.025 and $2.075 billion.</w:t>
      </w:r>
      <w:r>
        <w:rPr>
          <w:rFonts w:ascii="Arial" w:cs="Arial" w:eastAsia="Arial" w:hAnsi="Arial"/>
          <w:sz w:val="18"/>
          <w:szCs w:val="18"/>
          <w:color w:val="57584F"/>
          <w:vertAlign w:val="superscript"/>
        </w:rPr>
        <w:t>(b)</w:t>
      </w:r>
    </w:p>
    <w:p>
      <w:pPr>
        <w:spacing w:after="0" w:line="22" w:lineRule="exact"/>
        <w:rPr>
          <w:rFonts w:ascii="Arial" w:cs="Arial" w:eastAsia="Arial" w:hAnsi="Arial"/>
          <w:sz w:val="18"/>
          <w:szCs w:val="18"/>
          <w:color w:val="57584F"/>
        </w:rPr>
      </w:pPr>
    </w:p>
    <w:p>
      <w:pPr>
        <w:ind w:left="720" w:right="1659" w:hanging="383"/>
        <w:spacing w:after="0" w:line="234" w:lineRule="auto"/>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Capital expenditures are expected to be in the range of $1.65 to $1.75 billion, with proceeds from asset sales projected to be $50 to $100 million.</w:t>
      </w:r>
    </w:p>
    <w:p>
      <w:pPr>
        <w:spacing w:after="0" w:line="1" w:lineRule="exact"/>
        <w:rPr>
          <w:rFonts w:ascii="Arial" w:cs="Arial" w:eastAsia="Arial" w:hAnsi="Arial"/>
          <w:sz w:val="18"/>
          <w:szCs w:val="18"/>
          <w:color w:val="57584F"/>
        </w:rPr>
      </w:pPr>
    </w:p>
    <w:p>
      <w:pPr>
        <w:jc w:val="both"/>
        <w:ind w:left="720" w:right="1659" w:hanging="383"/>
        <w:spacing w:after="0" w:line="234" w:lineRule="auto"/>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The Board of Directors has indicated its intention to increase the dividend by $0.19, or 10.2%, to $2.05 per share on an annual basis, for an approximate annual cost of $870 million. The Board must separately approve and declare each dividend.</w:t>
      </w:r>
    </w:p>
    <w:p>
      <w:pPr>
        <w:spacing w:after="0" w:line="2" w:lineRule="exact"/>
        <w:rPr>
          <w:rFonts w:ascii="Arial" w:cs="Arial" w:eastAsia="Arial" w:hAnsi="Arial"/>
          <w:sz w:val="18"/>
          <w:szCs w:val="18"/>
          <w:color w:val="57584F"/>
        </w:rPr>
      </w:pPr>
    </w:p>
    <w:p>
      <w:pPr>
        <w:ind w:left="720" w:right="1659" w:hanging="383"/>
        <w:spacing w:after="0" w:line="246" w:lineRule="auto"/>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The Board of Directors has authorized management to repurchase up to $1.5 billion of the Company’s common stock. This authorization is not limited to 2019 and does not expire.</w:t>
      </w:r>
    </w:p>
    <w:p>
      <w:pPr>
        <w:spacing w:after="0" w:line="174" w:lineRule="exact"/>
        <w:rPr>
          <w:rFonts w:ascii="Arial" w:cs="Arial" w:eastAsia="Arial" w:hAnsi="Arial"/>
          <w:sz w:val="18"/>
          <w:szCs w:val="18"/>
          <w:color w:val="57584F"/>
        </w:rPr>
      </w:pPr>
    </w:p>
    <w:p>
      <w:pPr>
        <w:ind w:left="72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Income Taxes</w:t>
      </w:r>
    </w:p>
    <w:p>
      <w:pPr>
        <w:spacing w:after="0" w:line="220" w:lineRule="exact"/>
        <w:rPr>
          <w:rFonts w:ascii="Arial" w:cs="Arial" w:eastAsia="Arial" w:hAnsi="Arial"/>
          <w:sz w:val="18"/>
          <w:szCs w:val="18"/>
          <w:color w:val="57584F"/>
        </w:rPr>
      </w:pPr>
    </w:p>
    <w:p>
      <w:pPr>
        <w:ind w:left="720" w:hanging="383"/>
        <w:spacing w:after="0"/>
        <w:tabs>
          <w:tab w:leader="none" w:pos="720" w:val="left"/>
        </w:tabs>
        <w:numPr>
          <w:ilvl w:val="0"/>
          <w:numId w:val="4"/>
        </w:numPr>
        <w:rPr>
          <w:rFonts w:ascii="Arial" w:cs="Arial" w:eastAsia="Arial" w:hAnsi="Arial"/>
          <w:sz w:val="18"/>
          <w:szCs w:val="18"/>
          <w:color w:val="57584F"/>
        </w:rPr>
      </w:pPr>
      <w:r>
        <w:rPr>
          <w:rFonts w:ascii="Arial" w:cs="Arial" w:eastAsia="Arial" w:hAnsi="Arial"/>
          <w:sz w:val="18"/>
          <w:szCs w:val="18"/>
          <w:color w:val="57584F"/>
        </w:rPr>
        <w:t>The Company expects its full year adjusted effective tax rate to be approximately 24.0%.</w:t>
      </w:r>
      <w:r>
        <w:rPr>
          <w:rFonts w:ascii="Arial" w:cs="Arial" w:eastAsia="Arial" w:hAnsi="Arial"/>
          <w:sz w:val="18"/>
          <w:szCs w:val="18"/>
          <w:color w:val="57584F"/>
          <w:vertAlign w:val="superscript"/>
        </w:rPr>
        <w:t>(b)</w:t>
      </w:r>
    </w:p>
    <w:p>
      <w:pPr>
        <w:spacing w:after="0" w:line="238" w:lineRule="exact"/>
        <w:rPr>
          <w:sz w:val="20"/>
          <w:szCs w:val="20"/>
          <w:color w:val="auto"/>
        </w:rPr>
      </w:pPr>
    </w:p>
    <w:p>
      <w:pPr>
        <w:jc w:val="both"/>
        <w:ind w:right="1659"/>
        <w:spacing w:after="0" w:line="238" w:lineRule="auto"/>
        <w:rPr>
          <w:sz w:val="20"/>
          <w:szCs w:val="20"/>
          <w:color w:val="auto"/>
        </w:rPr>
      </w:pPr>
      <w:r>
        <w:rPr>
          <w:rFonts w:ascii="Arial" w:cs="Arial" w:eastAsia="Arial" w:hAnsi="Arial"/>
          <w:sz w:val="18"/>
          <w:szCs w:val="18"/>
          <w:color w:val="57584F"/>
        </w:rPr>
        <w:t>Fish concluded, “The health of our business is best demonstrated by the strong 2018 operating EBITDA performance generated by our hard-working employees. We expect equally strong operating EBITDA growth again in 2019. We will continue to make investments in our employees, in technology, and in capital equipment this year to further grow our business, improve customer service, and generate strong returns. We are confident that these investments will position us well for 2019 and into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57584F"/>
        </w:rPr>
        <w:t>------------------------------------------------------------------------------------------------------------------------</w:t>
      </w:r>
    </w:p>
    <w:p>
      <w:pPr>
        <w:spacing w:after="0" w:line="1" w:lineRule="exact"/>
        <w:rPr>
          <w:sz w:val="20"/>
          <w:szCs w:val="20"/>
          <w:color w:val="auto"/>
        </w:rPr>
      </w:pPr>
    </w:p>
    <w:p>
      <w:pPr>
        <w:ind w:left="720" w:right="1659" w:hanging="449"/>
        <w:spacing w:after="0" w:line="258" w:lineRule="auto"/>
        <w:tabs>
          <w:tab w:leader="none" w:pos="720" w:val="left"/>
        </w:tabs>
        <w:numPr>
          <w:ilvl w:val="0"/>
          <w:numId w:val="5"/>
        </w:numPr>
        <w:rPr>
          <w:rFonts w:ascii="Arial" w:cs="Arial" w:eastAsia="Arial" w:hAnsi="Arial"/>
          <w:sz w:val="14"/>
          <w:szCs w:val="14"/>
          <w:color w:val="57584F"/>
        </w:rPr>
      </w:pPr>
      <w:r>
        <w:rPr>
          <w:rFonts w:ascii="Arial" w:cs="Arial" w:eastAsia="Arial" w:hAnsi="Arial"/>
          <w:sz w:val="14"/>
          <w:szCs w:val="14"/>
          <w:color w:val="57584F"/>
        </w:rPr>
        <w:t>For purposes of this press release, all references to “Net income” refer to the financial statement line items “Net income attributable to Waste Management, Inc.”</w:t>
      </w:r>
    </w:p>
    <w:p>
      <w:pPr>
        <w:spacing w:after="0" w:line="194" w:lineRule="exact"/>
        <w:rPr>
          <w:rFonts w:ascii="Arial" w:cs="Arial" w:eastAsia="Arial" w:hAnsi="Arial"/>
          <w:sz w:val="14"/>
          <w:szCs w:val="14"/>
          <w:color w:val="57584F"/>
        </w:rPr>
      </w:pPr>
    </w:p>
    <w:p>
      <w:pPr>
        <w:jc w:val="both"/>
        <w:ind w:left="720" w:right="1659" w:hanging="449"/>
        <w:spacing w:after="0" w:line="250" w:lineRule="auto"/>
        <w:tabs>
          <w:tab w:leader="none" w:pos="720" w:val="left"/>
        </w:tabs>
        <w:numPr>
          <w:ilvl w:val="0"/>
          <w:numId w:val="5"/>
        </w:numPr>
        <w:rPr>
          <w:rFonts w:ascii="Arial" w:cs="Arial" w:eastAsia="Arial" w:hAnsi="Arial"/>
          <w:sz w:val="14"/>
          <w:szCs w:val="14"/>
          <w:color w:val="57584F"/>
        </w:rPr>
      </w:pPr>
      <w:r>
        <w:rPr>
          <w:rFonts w:ascii="Arial" w:cs="Arial" w:eastAsia="Arial" w:hAnsi="Arial"/>
          <w:sz w:val="14"/>
          <w:szCs w:val="14"/>
          <w:color w:val="57584F"/>
        </w:rPr>
        <w:t>Adjusted earnings per diluted share, adjusted net income, adjusted operating EBITDA, adjusted operating EBITDA margin, adjusted tax rate, and free cash flow are non-GAAP measures. Please see “Non-GAAP Financial Measures” below and the reconciliations in the accompanying schedules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19" w:right="1440" w:bottom="1440" w:gutter="0" w:footer="0" w:header="0"/>
        </w:sectPr>
      </w:pPr>
    </w:p>
    <w:bookmarkStart w:id="6" w:name="page7"/>
    <w:bookmarkEnd w:id="6"/>
    <w:p>
      <w:pPr>
        <w:ind w:left="720" w:right="1659" w:hanging="445"/>
        <w:spacing w:after="0" w:line="258" w:lineRule="auto"/>
        <w:tabs>
          <w:tab w:leader="none" w:pos="720" w:val="left"/>
        </w:tabs>
        <w:numPr>
          <w:ilvl w:val="0"/>
          <w:numId w:val="6"/>
        </w:numPr>
        <w:rPr>
          <w:rFonts w:ascii="Arial" w:cs="Arial" w:eastAsia="Arial" w:hAnsi="Arial"/>
          <w:sz w:val="14"/>
          <w:szCs w:val="14"/>
          <w:color w:val="57584F"/>
        </w:rPr>
      </w:pPr>
      <w:r>
        <w:rPr>
          <w:rFonts w:ascii="Arial" w:cs="Arial" w:eastAsia="Arial" w:hAnsi="Arial"/>
          <w:sz w:val="14"/>
          <w:szCs w:val="14"/>
          <w:color w:val="57584F"/>
        </w:rPr>
        <w:t>Management defines operating EBITDA as GAAP income from operations before depreciation and amortization; this measure may not be comparable to similarly-titled measures reported by other companies.</w:t>
      </w:r>
    </w:p>
    <w:p>
      <w:pPr>
        <w:spacing w:after="0" w:line="194" w:lineRule="exact"/>
        <w:rPr>
          <w:rFonts w:ascii="Arial" w:cs="Arial" w:eastAsia="Arial" w:hAnsi="Arial"/>
          <w:sz w:val="14"/>
          <w:szCs w:val="14"/>
          <w:color w:val="57584F"/>
        </w:rPr>
      </w:pPr>
    </w:p>
    <w:p>
      <w:pPr>
        <w:jc w:val="both"/>
        <w:ind w:left="720" w:right="1659" w:hanging="449"/>
        <w:spacing w:after="0" w:line="247" w:lineRule="auto"/>
        <w:tabs>
          <w:tab w:leader="none" w:pos="720" w:val="left"/>
        </w:tabs>
        <w:numPr>
          <w:ilvl w:val="0"/>
          <w:numId w:val="6"/>
        </w:numPr>
        <w:rPr>
          <w:rFonts w:ascii="Arial" w:cs="Arial" w:eastAsia="Arial" w:hAnsi="Arial"/>
          <w:sz w:val="14"/>
          <w:szCs w:val="14"/>
          <w:color w:val="57584F"/>
        </w:rPr>
      </w:pPr>
      <w:r>
        <w:rPr>
          <w:rFonts w:ascii="Arial" w:cs="Arial" w:eastAsia="Arial" w:hAnsi="Arial"/>
          <w:sz w:val="14"/>
          <w:szCs w:val="14"/>
          <w:color w:val="57584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00" w:lineRule="exact"/>
        <w:rPr>
          <w:sz w:val="20"/>
          <w:szCs w:val="20"/>
          <w:color w:val="auto"/>
        </w:rPr>
      </w:pPr>
    </w:p>
    <w:p>
      <w:pPr>
        <w:spacing w:after="0" w:line="212" w:lineRule="exact"/>
        <w:rPr>
          <w:sz w:val="20"/>
          <w:szCs w:val="20"/>
          <w:color w:val="auto"/>
        </w:rPr>
      </w:pPr>
    </w:p>
    <w:p>
      <w:pPr>
        <w:jc w:val="both"/>
        <w:ind w:right="1659"/>
        <w:spacing w:after="0"/>
        <w:rPr>
          <w:sz w:val="20"/>
          <w:szCs w:val="20"/>
          <w:color w:val="auto"/>
        </w:rPr>
      </w:pPr>
      <w:r>
        <w:rPr>
          <w:rFonts w:ascii="Arial" w:cs="Arial" w:eastAsia="Arial" w:hAnsi="Arial"/>
          <w:sz w:val="18"/>
          <w:szCs w:val="18"/>
          <w:color w:val="57584F"/>
        </w:rPr>
        <w:t>The Company will host a conference call at 10:00 AM (Eastern) February 14, 2019 to discuss the fourth quarter and full year 2018 results. Information contained within this press release will be referenced and should be considered in conjunction with the call.</w:t>
      </w:r>
    </w:p>
    <w:p>
      <w:pPr>
        <w:spacing w:after="0" w:line="189" w:lineRule="exact"/>
        <w:rPr>
          <w:sz w:val="20"/>
          <w:szCs w:val="20"/>
          <w:color w:val="auto"/>
        </w:rPr>
      </w:pPr>
    </w:p>
    <w:p>
      <w:pPr>
        <w:jc w:val="both"/>
        <w:ind w:right="1639"/>
        <w:spacing w:after="0" w:line="239" w:lineRule="auto"/>
        <w:rPr>
          <w:sz w:val="20"/>
          <w:szCs w:val="20"/>
          <w:color w:val="auto"/>
        </w:rPr>
      </w:pPr>
      <w:r>
        <w:rPr>
          <w:rFonts w:ascii="Arial" w:cs="Arial" w:eastAsia="Arial" w:hAnsi="Arial"/>
          <w:sz w:val="18"/>
          <w:szCs w:val="18"/>
          <w:color w:val="57584F"/>
        </w:rPr>
        <w:t xml:space="preserve">The conference call will be webcast live from the “Events &amp; Presentations” section of </w:t>
      </w:r>
      <w:r>
        <w:rPr>
          <w:rFonts w:ascii="Arial" w:cs="Arial" w:eastAsia="Arial" w:hAnsi="Arial"/>
          <w:sz w:val="18"/>
          <w:szCs w:val="18"/>
          <w:u w:val="single" w:color="auto"/>
          <w:color w:val="0000FF"/>
        </w:rPr>
        <w:t>investors.wm.com</w:t>
      </w:r>
      <w:r>
        <w:rPr>
          <w:rFonts w:ascii="Arial" w:cs="Arial" w:eastAsia="Arial" w:hAnsi="Arial"/>
          <w:sz w:val="18"/>
          <w:szCs w:val="18"/>
          <w:color w:val="57584F"/>
        </w:rPr>
        <w:t>. To access the conference call by telephone, please dial (877) 710-6139 approximately 10 minutes prior to the scheduled start of the call. If you are calling from outside of the United States or Canada, please dial (706) 643-7398. Please utilize conference ID number 6496795 when prompted by the conference call operator.</w:t>
      </w:r>
    </w:p>
    <w:p>
      <w:pPr>
        <w:spacing w:after="0" w:line="188" w:lineRule="exact"/>
        <w:rPr>
          <w:sz w:val="20"/>
          <w:szCs w:val="20"/>
          <w:color w:val="auto"/>
        </w:rPr>
      </w:pPr>
    </w:p>
    <w:p>
      <w:pPr>
        <w:jc w:val="both"/>
        <w:ind w:right="1659"/>
        <w:spacing w:after="0" w:line="239"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FF"/>
        </w:rPr>
        <w:t>investors.wm.com</w:t>
      </w:r>
      <w:r>
        <w:rPr>
          <w:rFonts w:ascii="Arial" w:cs="Arial" w:eastAsia="Arial" w:hAnsi="Arial"/>
          <w:sz w:val="18"/>
          <w:szCs w:val="18"/>
          <w:color w:val="57584F"/>
        </w:rPr>
        <w:t xml:space="preserve"> and by telephone from approximately 1:00 PM (Eastern)February 14, 2019 through 5:00 PM (Eastern) on February 28, 2019. To access the replay telephonically, please dial (855) 859-2056, or from outside of the United States or Canada, dial (404) 537-3406 and use the replay conference ID number 6496795.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36" w:lineRule="exact"/>
        <w:rPr>
          <w:sz w:val="20"/>
          <w:szCs w:val="20"/>
          <w:color w:val="auto"/>
        </w:rPr>
      </w:pPr>
    </w:p>
    <w:p>
      <w:pPr>
        <w:jc w:val="both"/>
        <w:ind w:right="1659"/>
        <w:spacing w:after="0" w:line="237"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0000FF"/>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FORWARD-LOOKING STATEMENTS</w:t>
      </w:r>
    </w:p>
    <w:p>
      <w:pPr>
        <w:spacing w:after="0" w:line="31" w:lineRule="exact"/>
        <w:rPr>
          <w:sz w:val="20"/>
          <w:szCs w:val="20"/>
          <w:color w:val="auto"/>
        </w:rPr>
      </w:pPr>
    </w:p>
    <w:p>
      <w:pPr>
        <w:jc w:val="both"/>
        <w:ind w:right="1659"/>
        <w:spacing w:after="0" w:line="235" w:lineRule="auto"/>
        <w:rPr>
          <w:sz w:val="20"/>
          <w:szCs w:val="20"/>
          <w:color w:val="auto"/>
        </w:rPr>
      </w:pPr>
      <w:r>
        <w:rPr>
          <w:rFonts w:ascii="Arial" w:cs="Arial" w:eastAsia="Arial" w:hAnsi="Arial"/>
          <w:sz w:val="18"/>
          <w:szCs w:val="18"/>
          <w:color w:val="595959"/>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“2019 OUTLOOK” and all statements about future business performance, growth, investments and returns.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international trade restrictions and tariffs;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technology failures or cybersecurity incidents; labor disruptions; impairment charges; and negative outcomes of litigation or governmental proceedings. Please also see the Company’s filings with the SEC, including Part I, Item 1A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7" w:name="page8"/>
    <w:bookmarkEnd w:id="7"/>
    <w:p>
      <w:pPr>
        <w:jc w:val="both"/>
        <w:ind w:right="1659"/>
        <w:spacing w:after="0" w:line="239" w:lineRule="auto"/>
        <w:rPr>
          <w:sz w:val="20"/>
          <w:szCs w:val="20"/>
          <w:color w:val="auto"/>
        </w:rPr>
      </w:pPr>
      <w:r>
        <w:rPr>
          <w:rFonts w:ascii="Arial" w:cs="Arial" w:eastAsia="Arial" w:hAnsi="Arial"/>
          <w:sz w:val="18"/>
          <w:szCs w:val="18"/>
          <w:color w:val="595959"/>
        </w:rPr>
        <w:t>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NON-GAAP FINANCIAL MEASURES</w:t>
      </w:r>
    </w:p>
    <w:p>
      <w:pPr>
        <w:spacing w:after="0" w:line="18" w:lineRule="exact"/>
        <w:rPr>
          <w:sz w:val="20"/>
          <w:szCs w:val="20"/>
          <w:color w:val="auto"/>
        </w:rPr>
      </w:pPr>
    </w:p>
    <w:p>
      <w:pPr>
        <w:jc w:val="both"/>
        <w:ind w:right="1659"/>
        <w:spacing w:after="0" w:line="238" w:lineRule="auto"/>
        <w:rPr>
          <w:sz w:val="20"/>
          <w:szCs w:val="20"/>
          <w:color w:val="auto"/>
        </w:rPr>
      </w:pPr>
      <w:r>
        <w:rPr>
          <w:rFonts w:ascii="Arial" w:cs="Arial" w:eastAsia="Arial" w:hAnsi="Arial"/>
          <w:sz w:val="18"/>
          <w:szCs w:val="18"/>
          <w:color w:val="595959"/>
        </w:rPr>
        <w:t>To supplement its financial information, the Company, in some instances, has presented adjusted earnings per diluted share, adjusted net income, adjusted operating EBITDA, adjusted operating EBITDA margin, adjusted tax rate and free cash flow, and has also provided projections of adjusted earnings per diluted share, adjusted operating EBITDA, adjusted tax rate, and free cash flow; these are non-GAAP financial measures, as defined in Regulation G of the Securities Exchange Act of 1934, as amended.</w:t>
      </w:r>
    </w:p>
    <w:p>
      <w:pPr>
        <w:spacing w:after="0" w:line="122" w:lineRule="exact"/>
        <w:rPr>
          <w:sz w:val="20"/>
          <w:szCs w:val="20"/>
          <w:color w:val="auto"/>
        </w:rPr>
      </w:pPr>
    </w:p>
    <w:p>
      <w:pPr>
        <w:jc w:val="both"/>
        <w:ind w:right="1659"/>
        <w:spacing w:after="0" w:line="238" w:lineRule="auto"/>
        <w:rPr>
          <w:sz w:val="20"/>
          <w:szCs w:val="20"/>
          <w:color w:val="auto"/>
        </w:rPr>
      </w:pPr>
      <w:r>
        <w:rPr>
          <w:rFonts w:ascii="Arial" w:cs="Arial" w:eastAsia="Arial" w:hAnsi="Arial"/>
          <w:sz w:val="18"/>
          <w:szCs w:val="18"/>
          <w:color w:val="595959"/>
        </w:rPr>
        <w:t>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w:t>
      </w:r>
    </w:p>
    <w:p>
      <w:pPr>
        <w:spacing w:after="0" w:line="122" w:lineRule="exact"/>
        <w:rPr>
          <w:sz w:val="20"/>
          <w:szCs w:val="20"/>
          <w:color w:val="auto"/>
        </w:rPr>
      </w:pPr>
    </w:p>
    <w:p>
      <w:pPr>
        <w:jc w:val="both"/>
        <w:ind w:right="1659"/>
        <w:spacing w:after="0" w:line="236" w:lineRule="auto"/>
        <w:rPr>
          <w:sz w:val="20"/>
          <w:szCs w:val="20"/>
          <w:color w:val="auto"/>
        </w:rPr>
      </w:pPr>
      <w:r>
        <w:rPr>
          <w:rFonts w:ascii="Arial" w:cs="Arial" w:eastAsia="Arial" w:hAnsi="Arial"/>
          <w:sz w:val="18"/>
          <w:szCs w:val="18"/>
          <w:color w:val="595959"/>
        </w:rPr>
        <w:t>The Company’s projected full year 2019 adjusted earnings per diluted share, adjusted operating EBITDA and adjusted tax rate are anticipated to exclude the effects of events or circumstances in 2019 that are not representative or indicative of the Company’s results of operations. Such excluded items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full-year earnings per diluted share, operating EBITDA or tax rate to the comparable GAAP measures.</w:t>
      </w:r>
    </w:p>
    <w:p>
      <w:pPr>
        <w:spacing w:after="0" w:line="127" w:lineRule="exact"/>
        <w:rPr>
          <w:sz w:val="20"/>
          <w:szCs w:val="20"/>
          <w:color w:val="auto"/>
        </w:rPr>
      </w:pPr>
    </w:p>
    <w:p>
      <w:pPr>
        <w:jc w:val="both"/>
        <w:ind w:right="1659"/>
        <w:spacing w:after="0" w:line="236" w:lineRule="auto"/>
        <w:rPr>
          <w:sz w:val="20"/>
          <w:szCs w:val="20"/>
          <w:color w:val="auto"/>
        </w:rPr>
      </w:pPr>
      <w:r>
        <w:rPr>
          <w:rFonts w:ascii="Arial" w:cs="Arial" w:eastAsia="Arial" w:hAnsi="Arial"/>
          <w:sz w:val="18"/>
          <w:szCs w:val="18"/>
          <w:color w:val="595959"/>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25" w:lineRule="exact"/>
        <w:rPr>
          <w:sz w:val="20"/>
          <w:szCs w:val="20"/>
          <w:color w:val="auto"/>
        </w:rPr>
      </w:pPr>
    </w:p>
    <w:p>
      <w:pPr>
        <w:jc w:val="both"/>
        <w:ind w:right="1659"/>
        <w:spacing w:after="0" w:line="239" w:lineRule="auto"/>
        <w:rPr>
          <w:sz w:val="20"/>
          <w:szCs w:val="20"/>
          <w:color w:val="auto"/>
        </w:rPr>
      </w:pPr>
      <w:r>
        <w:rPr>
          <w:rFonts w:ascii="Arial" w:cs="Arial" w:eastAsia="Arial" w:hAnsi="Arial"/>
          <w:sz w:val="18"/>
          <w:szCs w:val="18"/>
          <w:color w:val="595959"/>
        </w:rPr>
        <w:t>The quantitative reconciliations of non-GAAP measures used herein to the most comparable GAAP measures are included in the accompanying schedules, with the exception of projected earnings per diluted share, operating EBITDA and tax rate. Non-GAAP measures should not be considered a substitute for financial measures presented in accordance with GAAP.</w:t>
      </w:r>
    </w:p>
    <w:p>
      <w:pPr>
        <w:spacing w:after="0" w:line="188" w:lineRule="exact"/>
        <w:rPr>
          <w:sz w:val="20"/>
          <w:szCs w:val="20"/>
          <w:color w:val="auto"/>
        </w:rPr>
      </w:pPr>
    </w:p>
    <w:p>
      <w:pPr>
        <w:ind w:left="414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54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Years Ended</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5280" w:type="dxa"/>
            <w:vAlign w:val="bottom"/>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3,842</w:t>
            </w:r>
          </w:p>
        </w:tc>
        <w:tc>
          <w:tcPr>
            <w:tcW w:w="140" w:type="dxa"/>
            <w:vAlign w:val="bottom"/>
          </w:tcPr>
          <w:p>
            <w:pPr>
              <w:spacing w:after="0"/>
              <w:rPr>
                <w:sz w:val="24"/>
                <w:szCs w:val="24"/>
                <w:color w:val="auto"/>
              </w:rPr>
            </w:pP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3,652</w:t>
            </w:r>
          </w:p>
        </w:tc>
        <w:tc>
          <w:tcPr>
            <w:tcW w:w="28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14,914</w:t>
            </w:r>
          </w:p>
        </w:tc>
        <w:tc>
          <w:tcPr>
            <w:tcW w:w="280" w:type="dxa"/>
            <w:vAlign w:val="bottom"/>
          </w:tcPr>
          <w:p>
            <w:pPr>
              <w:spacing w:after="0"/>
              <w:rPr>
                <w:sz w:val="24"/>
                <w:szCs w:val="24"/>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14,485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9,249</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Restructuring</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140"/>
              <w:spacing w:after="0"/>
              <w:rPr>
                <w:sz w:val="20"/>
                <w:szCs w:val="20"/>
                <w:color w:val="auto"/>
              </w:rPr>
            </w:pPr>
            <w:r>
              <w:rPr>
                <w:rFonts w:ascii="Arial" w:cs="Arial" w:eastAsia="Arial" w:hAnsi="Arial"/>
                <w:sz w:val="18"/>
                <w:szCs w:val="18"/>
                <w:color w:val="auto"/>
                <w:w w:val="98"/>
              </w:rPr>
              <w:t>Gain from divestitures, asset impairments and unusual items, net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5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2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28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40"/>
              <w:spacing w:after="0"/>
              <w:rPr>
                <w:sz w:val="20"/>
                <w:szCs w:val="20"/>
                <w:color w:val="auto"/>
              </w:rPr>
            </w:pPr>
            <w:r>
              <w:rPr>
                <w:rFonts w:ascii="Arial" w:cs="Arial" w:eastAsia="Arial" w:hAnsi="Arial"/>
                <w:sz w:val="18"/>
                <w:szCs w:val="18"/>
                <w:color w:val="auto"/>
              </w:rPr>
              <w:t>Equity in net losses of unconsolidated entities</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4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basic common shares outstanding</w:t>
            </w: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0.425</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2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00" w:type="dxa"/>
            <w:vAlign w:val="bottom"/>
            <w:vMerge w:val="restart"/>
          </w:tcPr>
          <w:p>
            <w:pPr>
              <w:ind w:left="3660"/>
              <w:spacing w:after="0"/>
              <w:rPr>
                <w:sz w:val="20"/>
                <w:szCs w:val="20"/>
                <w:color w:val="auto"/>
              </w:rPr>
            </w:pPr>
            <w:r>
              <w:rPr>
                <w:rFonts w:ascii="Arial" w:cs="Arial" w:eastAsia="Arial" w:hAnsi="Arial"/>
                <w:sz w:val="18"/>
                <w:szCs w:val="18"/>
                <w:b w:val="1"/>
                <w:bCs w:val="1"/>
                <w:color w:val="auto"/>
              </w:rPr>
              <w:t>ASSETS</w:t>
            </w:r>
          </w:p>
        </w:tc>
        <w:tc>
          <w:tcPr>
            <w:tcW w:w="1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2"/>
                <w:szCs w:val="22"/>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00" w:type="dxa"/>
            <w:vAlign w:val="bottom"/>
          </w:tcPr>
          <w:p>
            <w:pPr>
              <w:ind w:left="14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11,942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5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00" w:type="dxa"/>
            <w:vAlign w:val="bottom"/>
          </w:tcPr>
          <w:p>
            <w:pPr>
              <w:ind w:left="140"/>
              <w:spacing w:after="0"/>
              <w:rPr>
                <w:sz w:val="20"/>
                <w:szCs w:val="20"/>
                <w:color w:val="auto"/>
              </w:rPr>
            </w:pPr>
            <w:r>
              <w:rPr>
                <w:rFonts w:ascii="Arial" w:cs="Arial" w:eastAsia="Arial" w:hAnsi="Arial"/>
                <w:sz w:val="18"/>
                <w:szCs w:val="18"/>
                <w:color w:val="auto"/>
              </w:rPr>
              <w:t>Accounts payable, accrued liabilities and deferred revenues</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2,676</w:t>
            </w:r>
          </w:p>
        </w:tc>
        <w:tc>
          <w:tcPr>
            <w:tcW w:w="280" w:type="dxa"/>
            <w:vAlign w:val="bottom"/>
          </w:tcPr>
          <w:p>
            <w:pPr>
              <w:spacing w:after="0"/>
              <w:rPr>
                <w:sz w:val="22"/>
                <w:szCs w:val="22"/>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Equity:</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Arial" w:cs="Arial" w:eastAsia="Arial" w:hAnsi="Arial"/>
                <w:sz w:val="18"/>
                <w:szCs w:val="18"/>
                <w:color w:val="auto"/>
              </w:rPr>
              <w:t>Waste Management, Inc. stockholders’ equity</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0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1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8"/>
                <w:szCs w:val="18"/>
                <w:color w:val="auto"/>
              </w:rPr>
              <w:t>Total equity</w:t>
            </w: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15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7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Years Ended</w:t>
      </w:r>
    </w:p>
    <w:p>
      <w:pPr>
        <w:ind w:left="95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40" w:type="dxa"/>
            <w:vAlign w:val="bottom"/>
            <w:vMerge w:val="restart"/>
          </w:tcPr>
          <w:p>
            <w:pPr>
              <w:spacing w:after="0"/>
              <w:rPr>
                <w:sz w:val="20"/>
                <w:szCs w:val="20"/>
                <w:color w:val="auto"/>
              </w:rPr>
            </w:pPr>
            <w:r>
              <w:rPr>
                <w:rFonts w:ascii="Arial" w:cs="Arial" w:eastAsia="Arial" w:hAnsi="Arial"/>
                <w:sz w:val="17"/>
                <w:szCs w:val="17"/>
                <w:color w:val="auto"/>
              </w:rPr>
              <w:t>Cash flows from operating activities:</w:t>
            </w:r>
          </w:p>
        </w:tc>
        <w:tc>
          <w:tcPr>
            <w:tcW w:w="9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4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1720" w:type="dxa"/>
            <w:vAlign w:val="bottom"/>
            <w:gridSpan w:val="2"/>
          </w:tcPr>
          <w:p>
            <w:pPr>
              <w:jc w:val="right"/>
              <w:ind w:right="647"/>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1,923</w:t>
            </w:r>
          </w:p>
        </w:tc>
        <w:tc>
          <w:tcPr>
            <w:tcW w:w="20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1,949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7"/>
                <w:szCs w:val="17"/>
                <w:color w:val="auto"/>
              </w:rPr>
              <w:t>Adjustments to reconcile consolidated net income to net cash provided by operating activities:</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1,477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Other</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40" w:type="dxa"/>
            <w:vAlign w:val="bottom"/>
          </w:tcPr>
          <w:p>
            <w:pPr>
              <w:ind w:left="12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92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3,570</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Acquisitions of businesses, net of cash acquired</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(460)</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Capital expenditures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(1,694)</w:t>
            </w:r>
          </w:p>
        </w:tc>
        <w:tc>
          <w:tcPr>
            <w:tcW w:w="3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(1,509)</w:t>
            </w: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40" w:type="dxa"/>
            <w:vAlign w:val="bottom"/>
          </w:tcPr>
          <w:p>
            <w:pPr>
              <w:ind w:left="120"/>
              <w:spacing w:after="0"/>
              <w:rPr>
                <w:sz w:val="20"/>
                <w:szCs w:val="20"/>
                <w:color w:val="auto"/>
              </w:rPr>
            </w:pPr>
            <w:r>
              <w:rPr>
                <w:rFonts w:ascii="Arial" w:cs="Arial" w:eastAsia="Arial" w:hAnsi="Arial"/>
                <w:sz w:val="17"/>
                <w:szCs w:val="17"/>
                <w:color w:val="auto"/>
              </w:rPr>
              <w:t>Other, net</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(223)</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(2,169)</w:t>
            </w: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9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New borrowings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Debt repayments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(499)</w:t>
            </w:r>
          </w:p>
        </w:tc>
        <w:tc>
          <w:tcPr>
            <w:tcW w:w="3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(1,907)</w:t>
            </w: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Net commercial paper borrowings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Common stock repurchase program</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(1,004)</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Cash dividends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(802)</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Exercise of common stock options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2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40" w:type="dxa"/>
            <w:vAlign w:val="bottom"/>
          </w:tcPr>
          <w:p>
            <w:pPr>
              <w:ind w:left="120"/>
              <w:spacing w:after="0"/>
              <w:rPr>
                <w:sz w:val="20"/>
                <w:szCs w:val="20"/>
                <w:color w:val="auto"/>
              </w:rPr>
            </w:pPr>
            <w:r>
              <w:rPr>
                <w:rFonts w:ascii="Arial" w:cs="Arial" w:eastAsia="Arial" w:hAnsi="Arial"/>
                <w:sz w:val="17"/>
                <w:szCs w:val="17"/>
                <w:color w:val="auto"/>
              </w:rPr>
              <w:t>Other, net</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(38)</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7"/>
                <w:szCs w:val="17"/>
                <w:color w:val="auto"/>
              </w:rPr>
              <w:t>Net cash used in financing activities</w:t>
            </w:r>
          </w:p>
        </w:tc>
        <w:tc>
          <w:tcPr>
            <w:tcW w:w="92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(1,508)</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7"/>
                <w:szCs w:val="17"/>
                <w:color w:val="auto"/>
              </w:rPr>
              <w:t>Effect of exchange rate changes on cash, cash equivalents and restricted cash and cash equivalents</w:t>
            </w:r>
          </w:p>
        </w:tc>
        <w:tc>
          <w:tcPr>
            <w:tcW w:w="9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7"/>
                <w:szCs w:val="17"/>
                <w:color w:val="auto"/>
              </w:rPr>
              <w:t>Increase (decrease) in cash, cash equivalents and restricted cash and cash equivalents</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40" w:type="dxa"/>
            <w:vAlign w:val="bottom"/>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9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92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year information has been revised to reflect the adoption of Accounting Standards Update (ASU) 2016-15 and ASU 2016-18 and conform to our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(In Millions)</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Revenues by Line of Business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9"/>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294"/>
              <w:spacing w:after="0"/>
              <w:rPr>
                <w:sz w:val="20"/>
                <w:szCs w:val="20"/>
                <w:color w:val="auto"/>
              </w:rPr>
            </w:pPr>
            <w:r>
              <w:rPr>
                <w:rFonts w:ascii="Arial" w:cs="Arial" w:eastAsia="Arial" w:hAnsi="Arial"/>
                <w:sz w:val="14"/>
                <w:szCs w:val="14"/>
                <w:b w:val="1"/>
                <w:bCs w:val="1"/>
                <w:color w:val="auto"/>
                <w:w w:val="91"/>
              </w:rPr>
              <w:t>Years Ended</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740" w:type="dxa"/>
            <w:vAlign w:val="bottom"/>
            <w:vMerge w:val="restart"/>
          </w:tcPr>
          <w:p>
            <w:pPr>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950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3,972</w:t>
            </w:r>
          </w:p>
        </w:tc>
        <w:tc>
          <w:tcPr>
            <w:tcW w:w="160" w:type="dxa"/>
            <w:vAlign w:val="bottom"/>
          </w:tcPr>
          <w:p>
            <w:pPr>
              <w:spacing w:after="0"/>
              <w:rPr>
                <w:sz w:val="17"/>
                <w:szCs w:val="17"/>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3,714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Residential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2,528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Industrial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653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2,773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2,583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Arial" w:cs="Arial" w:eastAsia="Arial" w:hAnsi="Arial"/>
                <w:sz w:val="16"/>
                <w:szCs w:val="16"/>
                <w:color w:val="auto"/>
              </w:rPr>
              <w:t>Total collection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2,352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9,264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Landfill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883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3,370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Transfer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1,591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Recycling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1,432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1,736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1,713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Intercompany (a)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6"/>
                <w:szCs w:val="16"/>
                <w:color w:val="auto"/>
              </w:rPr>
              <w:t>(795)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3,842</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3,652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14,914</w:t>
            </w:r>
          </w:p>
        </w:tc>
        <w:tc>
          <w:tcPr>
            <w:tcW w:w="16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14,485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Internal Revenue Growth</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Period-to-Period Change for the</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93"/>
              </w:rPr>
              <w:t>Period-to-Period Change for the</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8"/>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1"/>
              </w:rPr>
              <w:t>December 31, 2018 vs. 2017</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1"/>
              </w:rPr>
              <w:t>December 31, 2018 vs. 2017</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As a %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As a %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As a %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As a %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Related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Business(b)</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Company(c)</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Business(b)</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Company(c)</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40" w:type="dxa"/>
            <w:vAlign w:val="bottom"/>
          </w:tcPr>
          <w:p>
            <w:pPr>
              <w:spacing w:after="0"/>
              <w:rPr>
                <w:sz w:val="20"/>
                <w:szCs w:val="20"/>
                <w:color w:val="auto"/>
              </w:rPr>
            </w:pPr>
            <w:r>
              <w:rPr>
                <w:rFonts w:ascii="Arial" w:cs="Arial" w:eastAsia="Arial" w:hAnsi="Arial"/>
                <w:sz w:val="16"/>
                <w:szCs w:val="16"/>
                <w:color w:val="auto"/>
              </w:rPr>
              <w:t>Collection and disposal</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8"/>
              <w:spacing w:after="0"/>
              <w:rPr>
                <w:sz w:val="20"/>
                <w:szCs w:val="20"/>
                <w:color w:val="auto"/>
              </w:rPr>
            </w:pPr>
            <w:r>
              <w:rPr>
                <w:rFonts w:ascii="Arial" w:cs="Arial" w:eastAsia="Arial" w:hAnsi="Arial"/>
                <w:sz w:val="16"/>
                <w:szCs w:val="16"/>
                <w:color w:val="auto"/>
              </w:rPr>
              <w:t>291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200" w:type="dxa"/>
            <w:vAlign w:val="bottom"/>
            <w:gridSpan w:val="2"/>
          </w:tcPr>
          <w:p>
            <w:pPr>
              <w:jc w:val="center"/>
              <w:ind w:right="40"/>
              <w:spacing w:after="0"/>
              <w:rPr>
                <w:sz w:val="20"/>
                <w:szCs w:val="20"/>
                <w:color w:val="auto"/>
              </w:rPr>
            </w:pPr>
            <w:r>
              <w:rPr>
                <w:rFonts w:ascii="Arial" w:cs="Arial" w:eastAsia="Arial" w:hAnsi="Arial"/>
                <w:sz w:val="16"/>
                <w:szCs w:val="16"/>
                <w:color w:val="auto"/>
                <w:w w:val="84"/>
              </w:rPr>
              <w: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Recycling commodities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ind w:left="420"/>
              <w:spacing w:after="0"/>
              <w:rPr>
                <w:sz w:val="20"/>
                <w:szCs w:val="20"/>
                <w:color w:val="auto"/>
              </w:rPr>
            </w:pPr>
            <w:r>
              <w:rPr>
                <w:rFonts w:ascii="Arial" w:cs="Arial" w:eastAsia="Arial" w:hAnsi="Arial"/>
                <w:sz w:val="16"/>
                <w:szCs w:val="16"/>
                <w:color w:val="auto"/>
              </w:rPr>
              <w:t>(21)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color w:val="auto"/>
              </w:rPr>
              <w:t>(19.1)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Fuel surcharges and mandated fees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120"/>
              <w:spacing w:after="0"/>
              <w:rPr>
                <w:sz w:val="20"/>
                <w:szCs w:val="20"/>
                <w:color w:val="auto"/>
              </w:rPr>
            </w:pPr>
            <w:r>
              <w:rPr>
                <w:rFonts w:ascii="Arial" w:cs="Arial" w:eastAsia="Arial" w:hAnsi="Arial"/>
                <w:sz w:val="16"/>
                <w:szCs w:val="16"/>
                <w:color w:val="auto"/>
              </w:rPr>
              <w:t>Total average yield (d)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760"/>
              <w:spacing w:after="0"/>
              <w:rPr>
                <w:sz w:val="20"/>
                <w:szCs w:val="20"/>
                <w:color w:val="auto"/>
              </w:rPr>
            </w:pPr>
            <w:r>
              <w:rPr>
                <w:rFonts w:ascii="Arial" w:cs="Arial" w:eastAsia="Arial" w:hAnsi="Arial"/>
                <w:sz w:val="16"/>
                <w:szCs w:val="16"/>
                <w:color w:val="auto"/>
              </w:rPr>
              <w:t>2.1 %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w w:val="92"/>
              </w:rPr>
              <w:t>0.9 %</w:t>
            </w:r>
          </w:p>
        </w:tc>
        <w:tc>
          <w:tcPr>
            <w:tcW w:w="0" w:type="dxa"/>
            <w:vAlign w:val="bottom"/>
          </w:tcPr>
          <w:p>
            <w:pPr>
              <w:spacing w:after="0"/>
              <w:rPr>
                <w:sz w:val="1"/>
                <w:szCs w:val="1"/>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6"/>
                <w:szCs w:val="16"/>
                <w:color w:val="auto"/>
              </w:rPr>
              <w:t>Volume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169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478</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98"/>
              </w:rPr>
              <w:t>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20"/>
              <w:spacing w:after="0"/>
              <w:rPr>
                <w:sz w:val="20"/>
                <w:szCs w:val="20"/>
                <w:color w:val="auto"/>
              </w:rPr>
            </w:pPr>
            <w:r>
              <w:rPr>
                <w:rFonts w:ascii="Arial" w:cs="Arial" w:eastAsia="Arial" w:hAnsi="Arial"/>
                <w:sz w:val="16"/>
                <w:szCs w:val="16"/>
                <w:color w:val="auto"/>
              </w:rPr>
              <w:t>Internal revenue growth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6"/>
                <w:szCs w:val="16"/>
                <w:color w:val="auto"/>
                <w:w w:val="98"/>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6"/>
                <w:szCs w:val="16"/>
                <w:color w:val="auto"/>
                <w:w w:val="98"/>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6"/>
                <w:szCs w:val="16"/>
                <w:color w:val="auto"/>
              </w:rPr>
              <w:t>Divestitures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8"/>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120"/>
              <w:spacing w:after="0"/>
              <w:rPr>
                <w:sz w:val="20"/>
                <w:szCs w:val="20"/>
                <w:color w:val="auto"/>
              </w:rPr>
            </w:pPr>
            <w:r>
              <w:rPr>
                <w:rFonts w:ascii="Arial" w:cs="Arial" w:eastAsia="Arial" w:hAnsi="Arial"/>
                <w:sz w:val="16"/>
                <w:szCs w:val="16"/>
                <w:color w:val="auto"/>
                <w:w w:val="96"/>
              </w:rPr>
              <w:t>Foreign currency translation and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40" w:type="dxa"/>
            <w:vAlign w:val="bottom"/>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760"/>
              <w:spacing w:after="0"/>
              <w:rPr>
                <w:sz w:val="20"/>
                <w:szCs w:val="20"/>
                <w:color w:val="auto"/>
              </w:rPr>
            </w:pPr>
            <w:r>
              <w:rPr>
                <w:rFonts w:ascii="Arial" w:cs="Arial" w:eastAsia="Arial" w:hAnsi="Arial"/>
                <w:sz w:val="16"/>
                <w:szCs w:val="16"/>
                <w:color w:val="auto"/>
              </w:rPr>
              <w:t>5.2  %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w w:val="92"/>
              </w:rPr>
              <w:t>3.0 %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7"/>
          </w:tcPr>
          <w:p>
            <w:pPr>
              <w:jc w:val="center"/>
              <w:ind w:left="48"/>
              <w:spacing w:after="0"/>
              <w:rPr>
                <w:sz w:val="20"/>
                <w:szCs w:val="20"/>
                <w:color w:val="auto"/>
              </w:rPr>
            </w:pPr>
            <w:r>
              <w:rPr>
                <w:rFonts w:ascii="Arial" w:cs="Arial" w:eastAsia="Arial" w:hAnsi="Arial"/>
                <w:sz w:val="14"/>
                <w:szCs w:val="14"/>
                <w:b w:val="1"/>
                <w:bCs w:val="1"/>
                <w:color w:val="auto"/>
                <w:w w:val="93"/>
              </w:rPr>
              <w:t>Period-to-Period Change for the</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93"/>
              </w:rPr>
              <w:t>Period-to-Period Change for the</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40" w:type="dxa"/>
            <w:vAlign w:val="bottom"/>
            <w:gridSpan w:val="12"/>
          </w:tcPr>
          <w:p>
            <w:pPr>
              <w:jc w:val="center"/>
              <w:ind w:right="179"/>
              <w:spacing w:after="0"/>
              <w:rPr>
                <w:sz w:val="20"/>
                <w:szCs w:val="20"/>
                <w:color w:val="auto"/>
              </w:rPr>
            </w:pPr>
            <w:r>
              <w:rPr>
                <w:rFonts w:ascii="Arial" w:cs="Arial" w:eastAsia="Arial" w:hAnsi="Arial"/>
                <w:sz w:val="14"/>
                <w:szCs w:val="14"/>
                <w:b w:val="1"/>
                <w:bCs w:val="1"/>
                <w:color w:val="auto"/>
                <w:w w:val="92"/>
              </w:rPr>
              <w:t>Three Months Ended December 31, 2018 vs. 2017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gridSpan w:val="13"/>
          </w:tcPr>
          <w:p>
            <w:pPr>
              <w:jc w:val="center"/>
              <w:spacing w:after="0"/>
              <w:rPr>
                <w:sz w:val="20"/>
                <w:szCs w:val="20"/>
                <w:color w:val="auto"/>
              </w:rPr>
            </w:pPr>
            <w:r>
              <w:rPr>
                <w:rFonts w:ascii="Arial" w:cs="Arial" w:eastAsia="Arial" w:hAnsi="Arial"/>
                <w:sz w:val="14"/>
                <w:szCs w:val="14"/>
                <w:b w:val="1"/>
                <w:bCs w:val="1"/>
                <w:color w:val="auto"/>
                <w:w w:val="91"/>
              </w:rPr>
              <w:t>Year Ended December 31, 2018 vs. 2017</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300" w:type="dxa"/>
            <w:vAlign w:val="bottom"/>
            <w:tcBorders>
              <w:top w:val="single" w:sz="8" w:color="auto"/>
              <w:bottom w:val="single" w:sz="8" w:color="auto"/>
            </w:tcBorders>
            <w:gridSpan w:val="7"/>
          </w:tcPr>
          <w:p>
            <w:pPr>
              <w:jc w:val="center"/>
              <w:ind w:left="48"/>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10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8"/>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vMerge w:val="restart"/>
          </w:tcPr>
          <w:p>
            <w:pPr>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48"/>
              <w:spacing w:after="0" w:line="142" w:lineRule="exact"/>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Volume(e)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Yield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Volume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0"/>
              </w:rPr>
              <w:t>2.3</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2.9</w:t>
            </w:r>
          </w:p>
        </w:tc>
        <w:tc>
          <w:tcPr>
            <w:tcW w:w="30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center"/>
              <w:ind w:left="100"/>
              <w:spacing w:after="0"/>
              <w:rPr>
                <w:sz w:val="20"/>
                <w:szCs w:val="20"/>
                <w:color w:val="auto"/>
              </w:rPr>
            </w:pPr>
            <w:r>
              <w:rPr>
                <w:rFonts w:ascii="Arial" w:cs="Arial" w:eastAsia="Arial" w:hAnsi="Arial"/>
                <w:sz w:val="16"/>
                <w:szCs w:val="16"/>
                <w:color w:val="auto"/>
                <w:w w:val="89"/>
              </w:rPr>
              <w:t>3.2</w:t>
            </w:r>
          </w:p>
        </w:tc>
        <w:tc>
          <w:tcPr>
            <w:tcW w:w="140" w:type="dxa"/>
            <w:vAlign w:val="bottom"/>
          </w:tcPr>
          <w:p>
            <w:pPr>
              <w:jc w:val="right"/>
              <w:ind w:right="14"/>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Industrial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80"/>
              </w:rPr>
              <w:t>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Residential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80"/>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Total collection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80"/>
              </w:rPr>
              <w:t>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MSW</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80"/>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Transfer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80"/>
              </w:rPr>
              <w:t>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Total collection and disposal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80"/>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center"/>
              <w:ind w:left="100"/>
              <w:spacing w:after="0"/>
              <w:rPr>
                <w:sz w:val="20"/>
                <w:szCs w:val="20"/>
                <w:color w:val="auto"/>
              </w:rPr>
            </w:pPr>
            <w:r>
              <w:rPr>
                <w:rFonts w:ascii="Arial" w:cs="Arial" w:eastAsia="Arial" w:hAnsi="Arial"/>
                <w:sz w:val="16"/>
                <w:szCs w:val="16"/>
                <w:color w:val="auto"/>
                <w:w w:val="89"/>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in the Condensed Consolidated Financial Statements included herein.</w:t>
      </w:r>
    </w:p>
    <w:p>
      <w:pPr>
        <w:spacing w:after="0" w:line="55" w:lineRule="exact"/>
        <w:rPr>
          <w:rFonts w:ascii="Arial" w:cs="Arial" w:eastAsia="Arial" w:hAnsi="Arial"/>
          <w:sz w:val="14"/>
          <w:szCs w:val="14"/>
          <w:color w:val="auto"/>
        </w:rPr>
      </w:pPr>
    </w:p>
    <w:p>
      <w:pPr>
        <w:ind w:left="500" w:hanging="492"/>
        <w:spacing w:after="0" w:line="25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Calculated by dividing the increase or decrease for the current year period by the prior year period’s related business revenue adjusted to exclude the impacts of divestitures for the current year period.</w:t>
      </w:r>
    </w:p>
    <w:p>
      <w:pPr>
        <w:spacing w:after="0" w:line="25" w:lineRule="exact"/>
        <w:rPr>
          <w:rFonts w:ascii="Arial" w:cs="Arial" w:eastAsia="Arial" w:hAnsi="Arial"/>
          <w:sz w:val="14"/>
          <w:szCs w:val="14"/>
          <w:color w:val="auto"/>
        </w:rPr>
      </w:pPr>
    </w:p>
    <w:p>
      <w:pPr>
        <w:ind w:left="500" w:hanging="492"/>
        <w:spacing w:after="0" w:line="25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Calculated by dividing the increase or decrease for the current year period by the prior year period’s total Company revenue adjusted to exclude the impacts of divestitures for the current year period.</w:t>
      </w:r>
    </w:p>
    <w:p>
      <w:pPr>
        <w:spacing w:after="0" w:line="25" w:lineRule="exact"/>
        <w:rPr>
          <w:rFonts w:ascii="Arial" w:cs="Arial" w:eastAsia="Arial" w:hAnsi="Arial"/>
          <w:sz w:val="14"/>
          <w:szCs w:val="14"/>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amounts reported herein represent the changes in our revenue attributable to average yield for the total Company.</w:t>
      </w:r>
    </w:p>
    <w:p>
      <w:pPr>
        <w:spacing w:after="0" w:line="55" w:lineRule="exact"/>
        <w:rPr>
          <w:rFonts w:ascii="Arial" w:cs="Arial" w:eastAsia="Arial" w:hAnsi="Arial"/>
          <w:sz w:val="14"/>
          <w:szCs w:val="14"/>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WASTE MANAGEMENT,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SUMMARY DATA SHEET</w:t>
      </w:r>
    </w:p>
    <w:p>
      <w:pPr>
        <w:spacing w:after="0" w:line="28"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(In Millions)</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19"/>
          <w:szCs w:val="19"/>
          <w:b w:val="1"/>
          <w:bCs w:val="1"/>
          <w:color w:val="auto"/>
        </w:rPr>
        <w:t>(Unaudited)</w:t>
      </w:r>
    </w:p>
    <w:p>
      <w:pPr>
        <w:sectPr>
          <w:pgSz w:w="11900" w:h="16838" w:orient="portrait"/>
          <w:cols w:equalWidth="0" w:num="1">
            <w:col w:w="11420"/>
          </w:cols>
          <w:pgMar w:left="240" w:top="327"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 Analysis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w:t>
      </w:r>
    </w:p>
    <w:p>
      <w:pPr>
        <w:spacing w:after="0" w:line="22" w:lineRule="exact"/>
        <w:rPr>
          <w:sz w:val="20"/>
          <w:szCs w:val="20"/>
          <w:color w:val="auto"/>
        </w:rPr>
      </w:pPr>
    </w:p>
    <w:p>
      <w:pPr>
        <w:ind w:left="260" w:hanging="258"/>
        <w:spacing w:after="0" w:line="264" w:lineRule="auto"/>
        <w:rPr>
          <w:sz w:val="20"/>
          <w:szCs w:val="20"/>
          <w:color w:val="auto"/>
        </w:rPr>
      </w:pPr>
      <w:r>
        <w:rPr>
          <w:rFonts w:ascii="Arial" w:cs="Arial" w:eastAsia="Arial" w:hAnsi="Arial"/>
          <w:sz w:val="16"/>
          <w:szCs w:val="16"/>
          <w:color w:val="auto"/>
        </w:rPr>
        <w:t>Proceeds from divestitures of businesses and other assets (net of cash divested)</w:t>
      </w:r>
    </w:p>
    <w:p>
      <w:pPr>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5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Years Ended</w:t>
            </w:r>
          </w:p>
        </w:tc>
        <w:tc>
          <w:tcPr>
            <w:tcW w:w="920" w:type="dxa"/>
            <w:vAlign w:val="bottom"/>
          </w:tcPr>
          <w:p>
            <w:pPr>
              <w:spacing w:after="0"/>
              <w:rPr>
                <w:sz w:val="17"/>
                <w:szCs w:val="17"/>
                <w:color w:val="auto"/>
              </w:rPr>
            </w:pPr>
          </w:p>
        </w:tc>
      </w:tr>
      <w:tr>
        <w:trPr>
          <w:trHeight w:val="213"/>
        </w:trPr>
        <w:tc>
          <w:tcPr>
            <w:tcW w:w="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w w:val="97"/>
              </w:rPr>
              <w:t>December 31,</w:t>
            </w: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199"/>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186"/>
        </w:trPr>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912</w:t>
            </w:r>
          </w:p>
        </w:tc>
        <w:tc>
          <w:tcPr>
            <w:tcW w:w="240" w:type="dxa"/>
            <w:vAlign w:val="bottom"/>
          </w:tcPr>
          <w:p>
            <w:pPr>
              <w:spacing w:after="0"/>
              <w:rPr>
                <w:sz w:val="16"/>
                <w:szCs w:val="16"/>
                <w:color w:val="auto"/>
              </w:rPr>
            </w:pPr>
          </w:p>
        </w:tc>
        <w:tc>
          <w:tcPr>
            <w:tcW w:w="90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792</w:t>
            </w:r>
          </w:p>
        </w:tc>
        <w:tc>
          <w:tcPr>
            <w:tcW w:w="400" w:type="dxa"/>
            <w:vAlign w:val="bottom"/>
          </w:tcPr>
          <w:p>
            <w:pPr>
              <w:spacing w:after="0"/>
              <w:rPr>
                <w:sz w:val="16"/>
                <w:szCs w:val="16"/>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3,570</w:t>
            </w:r>
          </w:p>
        </w:tc>
        <w:tc>
          <w:tcPr>
            <w:tcW w:w="260" w:type="dxa"/>
            <w:vAlign w:val="bottom"/>
          </w:tcPr>
          <w:p>
            <w:pPr>
              <w:spacing w:after="0"/>
              <w:rPr>
                <w:sz w:val="16"/>
                <w:szCs w:val="16"/>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3,180</w:t>
            </w:r>
          </w:p>
        </w:tc>
      </w:tr>
      <w:tr>
        <w:trPr>
          <w:trHeight w:val="206"/>
        </w:trPr>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(454)</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(528)</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(1,509)</w:t>
            </w:r>
          </w:p>
        </w:tc>
      </w:tr>
      <w:tr>
        <w:trPr>
          <w:trHeight w:val="408"/>
        </w:trPr>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w:t>
            </w: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w:t>
            </w:r>
          </w:p>
        </w:tc>
      </w:tr>
      <w:tr>
        <w:trPr>
          <w:trHeight w:val="199"/>
        </w:trPr>
        <w:tc>
          <w:tcPr>
            <w:tcW w:w="9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w:t>
            </w:r>
          </w:p>
        </w:tc>
        <w:tc>
          <w:tcPr>
            <w:tcW w:w="400" w:type="dxa"/>
            <w:vAlign w:val="bottom"/>
          </w:tcPr>
          <w:p>
            <w:pPr>
              <w:spacing w:after="0"/>
              <w:rPr>
                <w:sz w:val="17"/>
                <w:szCs w:val="17"/>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2,084</w:t>
            </w:r>
          </w:p>
        </w:tc>
        <w:tc>
          <w:tcPr>
            <w:tcW w:w="260" w:type="dxa"/>
            <w:vAlign w:val="bottom"/>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4500" w:space="500"/>
            <w:col w:w="6420"/>
          </w:cols>
          <w:pgMar w:left="240" w:top="327"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2460" w:type="dxa"/>
            <w:vAlign w:val="bottom"/>
            <w:gridSpan w:val="5"/>
          </w:tcPr>
          <w:p>
            <w:pPr>
              <w:jc w:val="center"/>
              <w:ind w:left="379"/>
              <w:spacing w:after="0"/>
              <w:rPr>
                <w:sz w:val="20"/>
                <w:szCs w:val="20"/>
                <w:color w:val="auto"/>
              </w:rPr>
            </w:pPr>
            <w:r>
              <w:rPr>
                <w:rFonts w:ascii="Arial" w:cs="Arial" w:eastAsia="Arial" w:hAnsi="Arial"/>
                <w:sz w:val="16"/>
                <w:szCs w:val="16"/>
                <w:b w:val="1"/>
                <w:bCs w:val="1"/>
                <w:color w:val="auto"/>
                <w:w w:val="93"/>
              </w:rPr>
              <w:t>Three Months Ended</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5"/>
          </w:tcPr>
          <w:p>
            <w:pPr>
              <w:jc w:val="center"/>
              <w:ind w:left="499"/>
              <w:spacing w:after="0"/>
              <w:rPr>
                <w:sz w:val="20"/>
                <w:szCs w:val="20"/>
                <w:color w:val="auto"/>
              </w:rPr>
            </w:pPr>
            <w:r>
              <w:rPr>
                <w:rFonts w:ascii="Arial" w:cs="Arial" w:eastAsia="Arial" w:hAnsi="Arial"/>
                <w:sz w:val="16"/>
                <w:szCs w:val="16"/>
                <w:b w:val="1"/>
                <w:bCs w:val="1"/>
                <w:color w:val="auto"/>
                <w:w w:val="90"/>
              </w:rPr>
              <w:t>Years Ended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right="299"/>
              <w:spacing w:after="0"/>
              <w:rPr>
                <w:sz w:val="20"/>
                <w:szCs w:val="20"/>
                <w:color w:val="auto"/>
              </w:rPr>
            </w:pPr>
            <w:r>
              <w:rPr>
                <w:rFonts w:ascii="Arial" w:cs="Arial" w:eastAsia="Arial" w:hAnsi="Arial"/>
                <w:sz w:val="16"/>
                <w:szCs w:val="16"/>
                <w:b w:val="1"/>
                <w:bCs w:val="1"/>
                <w:color w:val="auto"/>
                <w:w w:val="90"/>
              </w:rPr>
              <w:t>December 31,</w:t>
            </w:r>
          </w:p>
        </w:tc>
        <w:tc>
          <w:tcPr>
            <w:tcW w:w="4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left="479"/>
              <w:spacing w:after="0"/>
              <w:rPr>
                <w:sz w:val="20"/>
                <w:szCs w:val="20"/>
                <w:color w:val="auto"/>
              </w:rPr>
            </w:pPr>
            <w:r>
              <w:rPr>
                <w:rFonts w:ascii="Arial" w:cs="Arial" w:eastAsia="Arial" w:hAnsi="Arial"/>
                <w:sz w:val="16"/>
                <w:szCs w:val="16"/>
                <w:b w:val="1"/>
                <w:bCs w:val="1"/>
                <w:color w:val="auto"/>
                <w:w w:val="90"/>
              </w:rPr>
              <w:t>December 31,</w:t>
            </w: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Data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Internalization of waste, based on disposal costs</w:t>
            </w:r>
          </w:p>
        </w:tc>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2"/>
              </w:rPr>
              <w:t>66.2%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8"/>
              </w:rPr>
              <w:t>65.6%</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Landfill amortizable tons (in millions)</w:t>
            </w:r>
          </w:p>
        </w:tc>
        <w:tc>
          <w:tcPr>
            <w:tcW w:w="86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115.6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b w:val="1"/>
                <w:bCs w:val="1"/>
                <w:color w:val="auto"/>
              </w:rPr>
              <w:t>Acquisition Summary (c)</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Gross annualized revenue acquired</w:t>
            </w:r>
          </w:p>
        </w:tc>
        <w:tc>
          <w:tcPr>
            <w:tcW w:w="86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Total consideration</w:t>
            </w:r>
          </w:p>
        </w:tc>
        <w:tc>
          <w:tcPr>
            <w:tcW w:w="86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5000" w:type="dxa"/>
            <w:vAlign w:val="bottom"/>
          </w:tcPr>
          <w:p>
            <w:pPr>
              <w:spacing w:after="0"/>
              <w:rPr>
                <w:sz w:val="20"/>
                <w:szCs w:val="20"/>
                <w:color w:val="auto"/>
              </w:rPr>
            </w:pPr>
            <w:r>
              <w:rPr>
                <w:rFonts w:ascii="Arial" w:cs="Arial" w:eastAsia="Arial" w:hAnsi="Arial"/>
                <w:sz w:val="16"/>
                <w:szCs w:val="16"/>
                <w:color w:val="auto"/>
                <w:w w:val="99"/>
              </w:rPr>
              <w:t>Cash paid for acquisitions consummated during the period, net of cash</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300"/>
              <w:spacing w:after="0"/>
              <w:rPr>
                <w:sz w:val="20"/>
                <w:szCs w:val="20"/>
                <w:color w:val="auto"/>
              </w:rPr>
            </w:pPr>
            <w:r>
              <w:rPr>
                <w:rFonts w:ascii="Arial" w:cs="Arial" w:eastAsia="Arial" w:hAnsi="Arial"/>
                <w:sz w:val="16"/>
                <w:szCs w:val="16"/>
                <w:color w:val="auto"/>
              </w:rPr>
              <w:t>acquired</w:t>
            </w:r>
          </w:p>
        </w:tc>
        <w:tc>
          <w:tcPr>
            <w:tcW w:w="86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5000" w:type="dxa"/>
            <w:vAlign w:val="bottom"/>
          </w:tcPr>
          <w:p>
            <w:pPr>
              <w:spacing w:after="0"/>
              <w:rPr>
                <w:sz w:val="20"/>
                <w:szCs w:val="20"/>
                <w:color w:val="auto"/>
              </w:rPr>
            </w:pPr>
            <w:r>
              <w:rPr>
                <w:rFonts w:ascii="Arial" w:cs="Arial" w:eastAsia="Arial" w:hAnsi="Arial"/>
                <w:sz w:val="16"/>
                <w:szCs w:val="16"/>
                <w:color w:val="auto"/>
                <w:w w:val="99"/>
              </w:rPr>
              <w:t>Cash paid for acquisitions including contingent consideration and other</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300"/>
              <w:spacing w:after="0"/>
              <w:rPr>
                <w:sz w:val="20"/>
                <w:szCs w:val="20"/>
                <w:color w:val="auto"/>
              </w:rPr>
            </w:pPr>
            <w:r>
              <w:rPr>
                <w:rFonts w:ascii="Arial" w:cs="Arial" w:eastAsia="Arial" w:hAnsi="Arial"/>
                <w:sz w:val="16"/>
                <w:szCs w:val="16"/>
                <w:color w:val="auto"/>
              </w:rPr>
              <w:t>items from prior periods, net of cash acquired</w:t>
            </w:r>
          </w:p>
        </w:tc>
        <w:tc>
          <w:tcPr>
            <w:tcW w:w="86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5000" w:type="dxa"/>
            <w:vAlign w:val="bottom"/>
          </w:tcPr>
          <w:p>
            <w:pPr>
              <w:spacing w:after="0"/>
              <w:rPr>
                <w:sz w:val="20"/>
                <w:szCs w:val="20"/>
                <w:color w:val="auto"/>
              </w:rPr>
            </w:pPr>
            <w:r>
              <w:rPr>
                <w:rFonts w:ascii="Arial" w:cs="Arial" w:eastAsia="Arial" w:hAnsi="Arial"/>
                <w:sz w:val="16"/>
                <w:szCs w:val="16"/>
                <w:b w:val="1"/>
                <w:bCs w:val="1"/>
                <w:color w:val="auto"/>
                <w:w w:val="98"/>
              </w:rPr>
              <w:t>Amortization, Accretion and Other Expenses for Landfills Included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rPr>
                <w:sz w:val="20"/>
                <w:szCs w:val="20"/>
                <w:color w:val="auto"/>
              </w:rPr>
            </w:pPr>
            <w:r>
              <w:rPr>
                <w:rFonts w:ascii="Arial" w:cs="Arial" w:eastAsia="Arial" w:hAnsi="Arial"/>
                <w:sz w:val="16"/>
                <w:szCs w:val="16"/>
                <w:b w:val="1"/>
                <w:bCs w:val="1"/>
                <w:color w:val="auto"/>
              </w:rPr>
              <w:t>in Operating Groups:</w:t>
            </w:r>
          </w:p>
        </w:tc>
        <w:tc>
          <w:tcPr>
            <w:tcW w:w="2460" w:type="dxa"/>
            <w:vAlign w:val="bottom"/>
            <w:gridSpan w:val="5"/>
          </w:tcPr>
          <w:p>
            <w:pPr>
              <w:jc w:val="center"/>
              <w:ind w:left="399"/>
              <w:spacing w:after="0"/>
              <w:rPr>
                <w:sz w:val="20"/>
                <w:szCs w:val="20"/>
                <w:color w:val="auto"/>
              </w:rPr>
            </w:pPr>
            <w:r>
              <w:rPr>
                <w:rFonts w:ascii="Arial" w:cs="Arial" w:eastAsia="Arial" w:hAnsi="Arial"/>
                <w:sz w:val="16"/>
                <w:szCs w:val="16"/>
                <w:b w:val="1"/>
                <w:bCs w:val="1"/>
                <w:color w:val="auto"/>
                <w:w w:val="92"/>
              </w:rPr>
              <w:t>Three Months Ended</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5"/>
          </w:tcPr>
          <w:p>
            <w:pPr>
              <w:jc w:val="center"/>
              <w:ind w:left="539"/>
              <w:spacing w:after="0"/>
              <w:rPr>
                <w:sz w:val="20"/>
                <w:szCs w:val="20"/>
                <w:color w:val="auto"/>
              </w:rPr>
            </w:pPr>
            <w:r>
              <w:rPr>
                <w:rFonts w:ascii="Arial" w:cs="Arial" w:eastAsia="Arial" w:hAnsi="Arial"/>
                <w:sz w:val="16"/>
                <w:szCs w:val="16"/>
                <w:b w:val="1"/>
                <w:bCs w:val="1"/>
                <w:color w:val="auto"/>
                <w:w w:val="90"/>
              </w:rPr>
              <w:t>Years Ended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ind w:right="299"/>
              <w:spacing w:after="0"/>
              <w:rPr>
                <w:sz w:val="20"/>
                <w:szCs w:val="20"/>
                <w:color w:val="auto"/>
              </w:rPr>
            </w:pPr>
            <w:r>
              <w:rPr>
                <w:rFonts w:ascii="Arial" w:cs="Arial" w:eastAsia="Arial" w:hAnsi="Arial"/>
                <w:sz w:val="16"/>
                <w:szCs w:val="16"/>
                <w:b w:val="1"/>
                <w:bCs w:val="1"/>
                <w:color w:val="auto"/>
                <w:w w:val="90"/>
              </w:rPr>
              <w:t>December 31,</w:t>
            </w:r>
          </w:p>
        </w:tc>
        <w:tc>
          <w:tcPr>
            <w:tcW w:w="4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left="519"/>
              <w:spacing w:after="0"/>
              <w:rPr>
                <w:sz w:val="20"/>
                <w:szCs w:val="20"/>
                <w:color w:val="auto"/>
              </w:rPr>
            </w:pPr>
            <w:r>
              <w:rPr>
                <w:rFonts w:ascii="Arial" w:cs="Arial" w:eastAsia="Arial" w:hAnsi="Arial"/>
                <w:sz w:val="16"/>
                <w:szCs w:val="16"/>
                <w:b w:val="1"/>
                <w:bCs w:val="1"/>
                <w:color w:val="auto"/>
                <w:w w:val="90"/>
              </w:rPr>
              <w:t>December 31,</w:t>
            </w: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vMerge w:val="restart"/>
          </w:tcPr>
          <w:p>
            <w:pPr>
              <w:spacing w:after="0"/>
              <w:rPr>
                <w:sz w:val="20"/>
                <w:szCs w:val="20"/>
                <w:color w:val="auto"/>
              </w:rPr>
            </w:pPr>
            <w:r>
              <w:rPr>
                <w:rFonts w:ascii="Arial" w:cs="Arial" w:eastAsia="Arial" w:hAnsi="Arial"/>
                <w:sz w:val="16"/>
                <w:szCs w:val="16"/>
                <w:color w:val="auto"/>
              </w:rPr>
              <w:t>Landfill amortization expense</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000" w:type="dxa"/>
            <w:vAlign w:val="bottom"/>
            <w:vMerge w:val="continue"/>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00"/>
              <w:spacing w:after="0"/>
              <w:rPr>
                <w:sz w:val="20"/>
                <w:szCs w:val="20"/>
                <w:color w:val="auto"/>
              </w:rPr>
            </w:pPr>
            <w:r>
              <w:rPr>
                <w:rFonts w:ascii="Arial" w:cs="Arial" w:eastAsia="Arial" w:hAnsi="Arial"/>
                <w:sz w:val="16"/>
                <w:szCs w:val="16"/>
                <w:color w:val="auto"/>
              </w:rPr>
              <w:t>Cost basis of landfill assets</w:t>
            </w:r>
          </w:p>
        </w:tc>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112.7</w:t>
            </w:r>
          </w:p>
        </w:tc>
        <w:tc>
          <w:tcPr>
            <w:tcW w:w="220" w:type="dxa"/>
            <w:vAlign w:val="bottom"/>
          </w:tcPr>
          <w:p>
            <w:pPr>
              <w:spacing w:after="0"/>
              <w:rPr>
                <w:sz w:val="17"/>
                <w:szCs w:val="17"/>
                <w:color w:val="auto"/>
              </w:rPr>
            </w:pPr>
          </w:p>
        </w:tc>
        <w:tc>
          <w:tcPr>
            <w:tcW w:w="88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106.4</w:t>
            </w:r>
          </w:p>
        </w:tc>
        <w:tc>
          <w:tcPr>
            <w:tcW w:w="380" w:type="dxa"/>
            <w:vAlign w:val="bottom"/>
          </w:tcPr>
          <w:p>
            <w:pPr>
              <w:spacing w:after="0"/>
              <w:rPr>
                <w:sz w:val="17"/>
                <w:szCs w:val="17"/>
                <w:color w:val="auto"/>
              </w:rPr>
            </w:pP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438.5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300"/>
              <w:spacing w:after="0"/>
              <w:rPr>
                <w:sz w:val="20"/>
                <w:szCs w:val="20"/>
                <w:color w:val="auto"/>
              </w:rPr>
            </w:pPr>
            <w:r>
              <w:rPr>
                <w:rFonts w:ascii="Arial" w:cs="Arial" w:eastAsia="Arial" w:hAnsi="Arial"/>
                <w:sz w:val="16"/>
                <w:szCs w:val="16"/>
                <w:color w:val="auto"/>
              </w:rPr>
              <w:t>Asset retirement costs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100.5</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00" w:type="dxa"/>
            <w:vAlign w:val="bottom"/>
          </w:tcPr>
          <w:p>
            <w:pPr>
              <w:ind w:left="460"/>
              <w:spacing w:after="0"/>
              <w:rPr>
                <w:sz w:val="20"/>
                <w:szCs w:val="20"/>
                <w:color w:val="auto"/>
              </w:rPr>
            </w:pPr>
            <w:r>
              <w:rPr>
                <w:rFonts w:ascii="Arial" w:cs="Arial" w:eastAsia="Arial" w:hAnsi="Arial"/>
                <w:sz w:val="16"/>
                <w:szCs w:val="16"/>
                <w:color w:val="auto"/>
              </w:rPr>
              <w:t>Total landfill amortization expense</w:t>
            </w:r>
          </w:p>
        </w:tc>
        <w:tc>
          <w:tcPr>
            <w:tcW w:w="860" w:type="dxa"/>
            <w:vAlign w:val="bottom"/>
          </w:tcPr>
          <w:p>
            <w:pPr>
              <w:spacing w:after="0"/>
              <w:rPr>
                <w:sz w:val="16"/>
                <w:szCs w:val="16"/>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133.3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114.5</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539.0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Accretion and other related expense</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00" w:type="dxa"/>
            <w:vAlign w:val="bottom"/>
          </w:tcPr>
          <w:p>
            <w:pPr>
              <w:ind w:left="300"/>
              <w:spacing w:after="0"/>
              <w:rPr>
                <w:sz w:val="20"/>
                <w:szCs w:val="20"/>
                <w:color w:val="auto"/>
              </w:rPr>
            </w:pPr>
            <w:r>
              <w:rPr>
                <w:rFonts w:ascii="Arial" w:cs="Arial" w:eastAsia="Arial" w:hAnsi="Arial"/>
                <w:sz w:val="16"/>
                <w:szCs w:val="16"/>
                <w:color w:val="auto"/>
              </w:rPr>
              <w:t>Landfill amortization, accretion and other related expense</w:t>
            </w:r>
          </w:p>
        </w:tc>
        <w:tc>
          <w:tcPr>
            <w:tcW w:w="8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153.8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134.9</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619.8</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500" w:hanging="492"/>
        <w:spacing w:after="0" w:line="278" w:lineRule="auto"/>
        <w:tabs>
          <w:tab w:leader="none" w:pos="5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2" w:lineRule="exact"/>
        <w:rPr>
          <w:rFonts w:ascii="Arial" w:cs="Arial" w:eastAsia="Arial" w:hAnsi="Arial"/>
          <w:sz w:val="16"/>
          <w:szCs w:val="16"/>
          <w:b w:val="1"/>
          <w:bCs w:val="1"/>
          <w:color w:val="auto"/>
        </w:rPr>
      </w:pPr>
    </w:p>
    <w:p>
      <w:pPr>
        <w:ind w:left="500" w:hanging="492"/>
        <w:spacing w:after="0"/>
        <w:tabs>
          <w:tab w:leader="none" w:pos="5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Prior year information has been revised to reflect the adoption of ASU 2016-18 and conform to our current year presentation.</w:t>
      </w:r>
    </w:p>
    <w:p>
      <w:pPr>
        <w:spacing w:after="0" w:line="72" w:lineRule="exact"/>
        <w:rPr>
          <w:rFonts w:ascii="Arial" w:cs="Arial" w:eastAsia="Arial" w:hAnsi="Arial"/>
          <w:sz w:val="16"/>
          <w:szCs w:val="16"/>
          <w:b w:val="1"/>
          <w:bCs w:val="1"/>
          <w:color w:val="auto"/>
        </w:rPr>
      </w:pPr>
    </w:p>
    <w:p>
      <w:pPr>
        <w:ind w:left="500" w:hanging="492"/>
        <w:spacing w:after="0"/>
        <w:tabs>
          <w:tab w:leader="none" w:pos="5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center"/>
              <w:ind w:right="469"/>
              <w:spacing w:after="0"/>
              <w:rPr>
                <w:sz w:val="20"/>
                <w:szCs w:val="20"/>
                <w:color w:val="auto"/>
              </w:rPr>
            </w:pPr>
            <w:r>
              <w:rPr>
                <w:rFonts w:ascii="Arial" w:cs="Arial" w:eastAsia="Arial" w:hAnsi="Arial"/>
                <w:sz w:val="14"/>
                <w:szCs w:val="14"/>
                <w:b w:val="1"/>
                <w:bCs w:val="1"/>
                <w:color w:val="auto"/>
              </w:rPr>
              <w:t>WASTE MANAGEMENT, INC.</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7720" w:type="dxa"/>
            <w:vAlign w:val="bottom"/>
            <w:gridSpan w:val="10"/>
          </w:tcPr>
          <w:p>
            <w:pPr>
              <w:jc w:val="center"/>
              <w:ind w:left="3628"/>
              <w:spacing w:after="0"/>
              <w:rPr>
                <w:sz w:val="20"/>
                <w:szCs w:val="20"/>
                <w:color w:val="auto"/>
              </w:rPr>
            </w:pPr>
            <w:r>
              <w:rPr>
                <w:rFonts w:ascii="Arial" w:cs="Arial" w:eastAsia="Arial" w:hAnsi="Arial"/>
                <w:sz w:val="14"/>
                <w:szCs w:val="14"/>
                <w:b w:val="1"/>
                <w:bCs w:val="1"/>
                <w:color w:val="auto"/>
              </w:rPr>
              <w:t>RECONCILIATION OF CERTAIN NON-GAAP MEASURES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30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(In Millions, Except Per Share Amounts)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left="489"/>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248"/>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Income from</w:t>
            </w:r>
          </w:p>
        </w:tc>
        <w:tc>
          <w:tcPr>
            <w:tcW w:w="220" w:type="dxa"/>
            <w:vAlign w:val="bottom"/>
          </w:tcPr>
          <w:p>
            <w:pPr>
              <w:spacing w:after="0"/>
              <w:rPr>
                <w:sz w:val="10"/>
                <w:szCs w:val="10"/>
                <w:color w:val="auto"/>
              </w:rPr>
            </w:pPr>
          </w:p>
        </w:tc>
        <w:tc>
          <w:tcPr>
            <w:tcW w:w="880" w:type="dxa"/>
            <w:vAlign w:val="bottom"/>
          </w:tcPr>
          <w:p>
            <w:pPr>
              <w:jc w:val="right"/>
              <w:ind w:right="249"/>
              <w:spacing w:after="0" w:line="119" w:lineRule="exact"/>
              <w:rPr>
                <w:sz w:val="20"/>
                <w:szCs w:val="20"/>
                <w:color w:val="auto"/>
              </w:rPr>
            </w:pPr>
            <w:r>
              <w:rPr>
                <w:rFonts w:ascii="Arial" w:cs="Arial" w:eastAsia="Arial" w:hAnsi="Arial"/>
                <w:sz w:val="13"/>
                <w:szCs w:val="13"/>
                <w:b w:val="1"/>
                <w:bCs w:val="1"/>
                <w:color w:val="auto"/>
              </w:rPr>
              <w:t>Pre-tax</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448"/>
              <w:spacing w:after="0" w:line="119" w:lineRule="exact"/>
              <w:rPr>
                <w:sz w:val="20"/>
                <w:szCs w:val="20"/>
                <w:color w:val="auto"/>
              </w:rPr>
            </w:pPr>
            <w:r>
              <w:rPr>
                <w:rFonts w:ascii="Arial" w:cs="Arial" w:eastAsia="Arial" w:hAnsi="Arial"/>
                <w:sz w:val="13"/>
                <w:szCs w:val="13"/>
                <w:b w:val="1"/>
                <w:bCs w:val="1"/>
                <w:color w:val="auto"/>
                <w:w w:val="97"/>
              </w:rPr>
              <w:t>Tax</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900" w:type="dxa"/>
            <w:vAlign w:val="bottom"/>
          </w:tcPr>
          <w:p>
            <w:pPr>
              <w:jc w:val="center"/>
              <w:ind w:right="150"/>
              <w:spacing w:after="0" w:line="119" w:lineRule="exact"/>
              <w:rPr>
                <w:sz w:val="20"/>
                <w:szCs w:val="20"/>
                <w:color w:val="auto"/>
              </w:rPr>
            </w:pPr>
            <w:r>
              <w:rPr>
                <w:rFonts w:ascii="Arial" w:cs="Arial" w:eastAsia="Arial" w:hAnsi="Arial"/>
                <w:sz w:val="13"/>
                <w:szCs w:val="13"/>
                <w:b w:val="1"/>
                <w:bCs w:val="1"/>
                <w:color w:val="auto"/>
                <w:w w:val="98"/>
              </w:rPr>
              <w:t>Per Share</w:t>
            </w:r>
          </w:p>
        </w:tc>
        <w:tc>
          <w:tcPr>
            <w:tcW w:w="0" w:type="dxa"/>
            <w:vAlign w:val="bottom"/>
          </w:tcPr>
          <w:p>
            <w:pPr>
              <w:spacing w:after="0"/>
              <w:rPr>
                <w:sz w:val="1"/>
                <w:szCs w:val="1"/>
                <w:color w:val="auto"/>
              </w:rPr>
            </w:pPr>
          </w:p>
        </w:tc>
      </w:tr>
      <w:tr>
        <w:trPr>
          <w:trHeight w:val="17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As reported amounts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86"/>
              </w:rPr>
              <w:t>Expense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Income (a)</w:t>
            </w:r>
          </w:p>
        </w:tc>
        <w:tc>
          <w:tcPr>
            <w:tcW w:w="200" w:type="dxa"/>
            <w:vAlign w:val="bottom"/>
          </w:tcPr>
          <w:p>
            <w:pPr>
              <w:spacing w:after="0"/>
              <w:rPr>
                <w:sz w:val="14"/>
                <w:szCs w:val="14"/>
                <w:color w:val="auto"/>
              </w:rPr>
            </w:pPr>
          </w:p>
        </w:tc>
        <w:tc>
          <w:tcPr>
            <w:tcW w:w="900" w:type="dxa"/>
            <w:vAlign w:val="bottom"/>
          </w:tcPr>
          <w:p>
            <w:pPr>
              <w:jc w:val="center"/>
              <w:ind w:right="13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19"/>
        </w:trPr>
        <w:tc>
          <w:tcPr>
            <w:tcW w:w="42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26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767</w:t>
            </w:r>
          </w:p>
        </w:tc>
        <w:tc>
          <w:tcPr>
            <w:tcW w:w="200" w:type="dxa"/>
            <w:vAlign w:val="bottom"/>
          </w:tcPr>
          <w:p>
            <w:pPr>
              <w:spacing w:after="0"/>
              <w:rPr>
                <w:sz w:val="10"/>
                <w:szCs w:val="10"/>
                <w:color w:val="auto"/>
              </w:rPr>
            </w:pPr>
          </w:p>
        </w:tc>
        <w:tc>
          <w:tcPr>
            <w:tcW w:w="22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659</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128</w:t>
            </w:r>
          </w:p>
        </w:tc>
        <w:tc>
          <w:tcPr>
            <w:tcW w:w="280" w:type="dxa"/>
            <w:vAlign w:val="bottom"/>
          </w:tcPr>
          <w:p>
            <w:pPr>
              <w:spacing w:after="0"/>
              <w:rPr>
                <w:sz w:val="10"/>
                <w:szCs w:val="10"/>
                <w:color w:val="auto"/>
              </w:rPr>
            </w:pPr>
          </w:p>
        </w:tc>
        <w:tc>
          <w:tcPr>
            <w:tcW w:w="2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531</w:t>
            </w:r>
          </w:p>
        </w:tc>
        <w:tc>
          <w:tcPr>
            <w:tcW w:w="200" w:type="dxa"/>
            <w:vAlign w:val="bottom"/>
          </w:tcPr>
          <w:p>
            <w:pPr>
              <w:spacing w:after="0"/>
              <w:rPr>
                <w:sz w:val="10"/>
                <w:szCs w:val="10"/>
                <w:color w:val="auto"/>
              </w:rPr>
            </w:pPr>
          </w:p>
        </w:tc>
        <w:tc>
          <w:tcPr>
            <w:tcW w:w="2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ind w:right="50"/>
              <w:spacing w:after="0" w:line="119" w:lineRule="exact"/>
              <w:rPr>
                <w:sz w:val="20"/>
                <w:szCs w:val="20"/>
                <w:color w:val="auto"/>
              </w:rPr>
            </w:pPr>
            <w:r>
              <w:rPr>
                <w:rFonts w:ascii="Arial" w:cs="Arial" w:eastAsia="Arial" w:hAnsi="Arial"/>
                <w:sz w:val="13"/>
                <w:szCs w:val="13"/>
                <w:b w:val="1"/>
                <w:bCs w:val="1"/>
                <w:color w:val="auto"/>
              </w:rPr>
              <w:t>1.24</w:t>
            </w:r>
          </w:p>
        </w:tc>
        <w:tc>
          <w:tcPr>
            <w:tcW w:w="0" w:type="dxa"/>
            <w:vAlign w:val="bottom"/>
          </w:tcPr>
          <w:p>
            <w:pPr>
              <w:spacing w:after="0"/>
              <w:rPr>
                <w:sz w:val="1"/>
                <w:szCs w:val="1"/>
                <w:color w:val="auto"/>
              </w:rPr>
            </w:pPr>
          </w:p>
        </w:tc>
      </w:tr>
      <w:tr>
        <w:trPr>
          <w:trHeight w:val="153"/>
        </w:trPr>
        <w:tc>
          <w:tcPr>
            <w:tcW w:w="4200" w:type="dxa"/>
            <w:vAlign w:val="bottom"/>
          </w:tcPr>
          <w:p>
            <w:pPr>
              <w:spacing w:after="0" w:line="153" w:lineRule="exact"/>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20"/>
              <w:spacing w:after="0" w:line="149" w:lineRule="exact"/>
              <w:rPr>
                <w:sz w:val="20"/>
                <w:szCs w:val="20"/>
                <w:color w:val="auto"/>
              </w:rPr>
            </w:pPr>
            <w:r>
              <w:rPr>
                <w:rFonts w:ascii="Arial" w:cs="Arial" w:eastAsia="Arial" w:hAnsi="Arial"/>
                <w:sz w:val="14"/>
                <w:szCs w:val="14"/>
                <w:color w:val="auto"/>
                <w:w w:val="98"/>
              </w:rPr>
              <w:t>Gain from divestitures, asset impairments and unusual items, net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0" w:type="dxa"/>
            <w:vAlign w:val="bottom"/>
          </w:tcPr>
          <w:p>
            <w:pPr>
              <w:ind w:left="220"/>
              <w:spacing w:after="0"/>
              <w:rPr>
                <w:sz w:val="20"/>
                <w:szCs w:val="20"/>
                <w:color w:val="auto"/>
              </w:rPr>
            </w:pPr>
            <w:r>
              <w:rPr>
                <w:rFonts w:ascii="Arial" w:cs="Arial" w:eastAsia="Arial" w:hAnsi="Arial"/>
                <w:sz w:val="14"/>
                <w:szCs w:val="14"/>
                <w:color w:val="auto"/>
              </w:rPr>
              <w:t>Tax benefits related to adjustment to deferred taxes</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42"/>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As adjusted amounts</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4</w:t>
            </w: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(b)</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723</w:t>
            </w: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b w:val="1"/>
                <w:bCs w:val="1"/>
                <w:color w:val="auto"/>
              </w:rPr>
              <w:t>615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b w:val="1"/>
                <w:bCs w:val="1"/>
                <w:color w:val="auto"/>
              </w:rPr>
              <w:t>132</w:t>
            </w:r>
          </w:p>
        </w:tc>
        <w:tc>
          <w:tcPr>
            <w:tcW w:w="280" w:type="dxa"/>
            <w:vAlign w:val="bottom"/>
            <w:vMerge w:val="continue"/>
          </w:tcPr>
          <w:p>
            <w:pPr>
              <w:spacing w:after="0"/>
              <w:rPr>
                <w:sz w:val="13"/>
                <w:szCs w:val="13"/>
                <w:color w:val="auto"/>
              </w:rPr>
            </w:pPr>
          </w:p>
        </w:tc>
        <w:tc>
          <w:tcPr>
            <w:tcW w:w="2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b w:val="1"/>
                <w:bCs w:val="1"/>
                <w:color w:val="auto"/>
              </w:rPr>
              <w:t>483</w:t>
            </w: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248"/>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Income from</w:t>
            </w:r>
          </w:p>
        </w:tc>
        <w:tc>
          <w:tcPr>
            <w:tcW w:w="220" w:type="dxa"/>
            <w:vAlign w:val="bottom"/>
          </w:tcPr>
          <w:p>
            <w:pPr>
              <w:spacing w:after="0"/>
              <w:rPr>
                <w:sz w:val="10"/>
                <w:szCs w:val="10"/>
                <w:color w:val="auto"/>
              </w:rPr>
            </w:pPr>
          </w:p>
        </w:tc>
        <w:tc>
          <w:tcPr>
            <w:tcW w:w="880" w:type="dxa"/>
            <w:vAlign w:val="bottom"/>
          </w:tcPr>
          <w:p>
            <w:pPr>
              <w:jc w:val="right"/>
              <w:ind w:right="249"/>
              <w:spacing w:after="0" w:line="119" w:lineRule="exact"/>
              <w:rPr>
                <w:sz w:val="20"/>
                <w:szCs w:val="20"/>
                <w:color w:val="auto"/>
              </w:rPr>
            </w:pPr>
            <w:r>
              <w:rPr>
                <w:rFonts w:ascii="Arial" w:cs="Arial" w:eastAsia="Arial" w:hAnsi="Arial"/>
                <w:sz w:val="13"/>
                <w:szCs w:val="13"/>
                <w:b w:val="1"/>
                <w:bCs w:val="1"/>
                <w:color w:val="auto"/>
              </w:rPr>
              <w:t>Pre-tax</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448"/>
              <w:spacing w:after="0" w:line="119" w:lineRule="exact"/>
              <w:rPr>
                <w:sz w:val="20"/>
                <w:szCs w:val="20"/>
                <w:color w:val="auto"/>
              </w:rPr>
            </w:pPr>
            <w:r>
              <w:rPr>
                <w:rFonts w:ascii="Arial" w:cs="Arial" w:eastAsia="Arial" w:hAnsi="Arial"/>
                <w:sz w:val="13"/>
                <w:szCs w:val="13"/>
                <w:b w:val="1"/>
                <w:bCs w:val="1"/>
                <w:color w:val="auto"/>
                <w:w w:val="97"/>
              </w:rPr>
              <w:t>Tax</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Net</w:t>
            </w:r>
          </w:p>
        </w:tc>
        <w:tc>
          <w:tcPr>
            <w:tcW w:w="200" w:type="dxa"/>
            <w:vAlign w:val="bottom"/>
          </w:tcPr>
          <w:p>
            <w:pPr>
              <w:spacing w:after="0"/>
              <w:rPr>
                <w:sz w:val="10"/>
                <w:szCs w:val="10"/>
                <w:color w:val="auto"/>
              </w:rPr>
            </w:pPr>
          </w:p>
        </w:tc>
        <w:tc>
          <w:tcPr>
            <w:tcW w:w="900" w:type="dxa"/>
            <w:vAlign w:val="bottom"/>
          </w:tcPr>
          <w:p>
            <w:pPr>
              <w:jc w:val="center"/>
              <w:ind w:right="150"/>
              <w:spacing w:after="0" w:line="119" w:lineRule="exact"/>
              <w:rPr>
                <w:sz w:val="20"/>
                <w:szCs w:val="20"/>
                <w:color w:val="auto"/>
              </w:rPr>
            </w:pPr>
            <w:r>
              <w:rPr>
                <w:rFonts w:ascii="Arial" w:cs="Arial" w:eastAsia="Arial" w:hAnsi="Arial"/>
                <w:sz w:val="13"/>
                <w:szCs w:val="13"/>
                <w:b w:val="1"/>
                <w:bCs w:val="1"/>
                <w:color w:val="auto"/>
                <w:w w:val="98"/>
              </w:rPr>
              <w:t>Per Share</w:t>
            </w:r>
          </w:p>
        </w:tc>
        <w:tc>
          <w:tcPr>
            <w:tcW w:w="0" w:type="dxa"/>
            <w:vAlign w:val="bottom"/>
          </w:tcPr>
          <w:p>
            <w:pPr>
              <w:spacing w:after="0"/>
              <w:rPr>
                <w:sz w:val="1"/>
                <w:szCs w:val="1"/>
                <w:color w:val="auto"/>
              </w:rPr>
            </w:pPr>
          </w:p>
        </w:tc>
      </w:tr>
      <w:tr>
        <w:trPr>
          <w:trHeight w:val="17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As reported amounts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Operations</w:t>
            </w:r>
          </w:p>
        </w:tc>
        <w:tc>
          <w:tcPr>
            <w:tcW w:w="2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w w:val="90"/>
              </w:rPr>
              <w:t>Expense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Income (a)</w:t>
            </w:r>
          </w:p>
        </w:tc>
        <w:tc>
          <w:tcPr>
            <w:tcW w:w="200" w:type="dxa"/>
            <w:vAlign w:val="bottom"/>
          </w:tcPr>
          <w:p>
            <w:pPr>
              <w:spacing w:after="0"/>
              <w:rPr>
                <w:sz w:val="14"/>
                <w:szCs w:val="14"/>
                <w:color w:val="auto"/>
              </w:rPr>
            </w:pPr>
          </w:p>
        </w:tc>
        <w:tc>
          <w:tcPr>
            <w:tcW w:w="900" w:type="dxa"/>
            <w:vAlign w:val="bottom"/>
          </w:tcPr>
          <w:p>
            <w:pPr>
              <w:jc w:val="center"/>
              <w:ind w:right="13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19"/>
        </w:trPr>
        <w:tc>
          <w:tcPr>
            <w:tcW w:w="42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26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704</w:t>
            </w:r>
          </w:p>
        </w:tc>
        <w:tc>
          <w:tcPr>
            <w:tcW w:w="200" w:type="dxa"/>
            <w:vAlign w:val="bottom"/>
          </w:tcPr>
          <w:p>
            <w:pPr>
              <w:spacing w:after="0"/>
              <w:rPr>
                <w:sz w:val="10"/>
                <w:szCs w:val="10"/>
                <w:color w:val="auto"/>
              </w:rPr>
            </w:pPr>
          </w:p>
        </w:tc>
        <w:tc>
          <w:tcPr>
            <w:tcW w:w="22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584</w:t>
            </w:r>
          </w:p>
        </w:tc>
        <w:tc>
          <w:tcPr>
            <w:tcW w:w="220" w:type="dxa"/>
            <w:vAlign w:val="bottom"/>
          </w:tcPr>
          <w:p>
            <w:pPr>
              <w:spacing w:after="0"/>
              <w:rPr>
                <w:sz w:val="10"/>
                <w:szCs w:val="10"/>
                <w:color w:val="auto"/>
              </w:rPr>
            </w:pPr>
          </w:p>
        </w:tc>
        <w:tc>
          <w:tcPr>
            <w:tcW w:w="240" w:type="dxa"/>
            <w:vAlign w:val="bottom"/>
            <w:tcBorders>
              <w:top w:val="single" w:sz="8" w:color="auto"/>
            </w:tcBorders>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(319)</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903</w:t>
            </w:r>
          </w:p>
        </w:tc>
        <w:tc>
          <w:tcPr>
            <w:tcW w:w="200" w:type="dxa"/>
            <w:vAlign w:val="bottom"/>
          </w:tcPr>
          <w:p>
            <w:pPr>
              <w:spacing w:after="0"/>
              <w:rPr>
                <w:sz w:val="10"/>
                <w:szCs w:val="10"/>
                <w:color w:val="auto"/>
              </w:rPr>
            </w:pPr>
          </w:p>
        </w:tc>
        <w:tc>
          <w:tcPr>
            <w:tcW w:w="2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tcPr>
          <w:p>
            <w:pPr>
              <w:jc w:val="right"/>
              <w:ind w:right="50"/>
              <w:spacing w:after="0" w:line="119" w:lineRule="exact"/>
              <w:rPr>
                <w:sz w:val="20"/>
                <w:szCs w:val="20"/>
                <w:color w:val="auto"/>
              </w:rPr>
            </w:pPr>
            <w:r>
              <w:rPr>
                <w:rFonts w:ascii="Arial" w:cs="Arial" w:eastAsia="Arial" w:hAnsi="Arial"/>
                <w:sz w:val="13"/>
                <w:szCs w:val="13"/>
                <w:b w:val="1"/>
                <w:bCs w:val="1"/>
                <w:color w:val="auto"/>
              </w:rPr>
              <w:t>2.06</w:t>
            </w:r>
          </w:p>
        </w:tc>
        <w:tc>
          <w:tcPr>
            <w:tcW w:w="0" w:type="dxa"/>
            <w:vAlign w:val="bottom"/>
          </w:tcPr>
          <w:p>
            <w:pPr>
              <w:spacing w:after="0"/>
              <w:rPr>
                <w:sz w:val="1"/>
                <w:szCs w:val="1"/>
                <w:color w:val="auto"/>
              </w:rPr>
            </w:pPr>
          </w:p>
        </w:tc>
      </w:tr>
      <w:tr>
        <w:trPr>
          <w:trHeight w:val="153"/>
        </w:trPr>
        <w:tc>
          <w:tcPr>
            <w:tcW w:w="4200" w:type="dxa"/>
            <w:vAlign w:val="bottom"/>
          </w:tcPr>
          <w:p>
            <w:pPr>
              <w:spacing w:after="0" w:line="153" w:lineRule="exact"/>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20"/>
              <w:spacing w:after="0" w:line="149" w:lineRule="exact"/>
              <w:rPr>
                <w:sz w:val="20"/>
                <w:szCs w:val="20"/>
                <w:color w:val="auto"/>
              </w:rPr>
            </w:pPr>
            <w:r>
              <w:rPr>
                <w:rFonts w:ascii="Arial" w:cs="Arial" w:eastAsia="Arial" w:hAnsi="Arial"/>
                <w:sz w:val="14"/>
                <w:szCs w:val="14"/>
                <w:color w:val="auto"/>
              </w:rPr>
              <w:t>Impact of Tax Cuts and Jobs Act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529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220"/>
              <w:spacing w:after="0" w:line="149" w:lineRule="exact"/>
              <w:rPr>
                <w:sz w:val="20"/>
                <w:szCs w:val="20"/>
                <w:color w:val="auto"/>
              </w:rPr>
            </w:pPr>
            <w:r>
              <w:rPr>
                <w:rFonts w:ascii="Arial" w:cs="Arial" w:eastAsia="Arial" w:hAnsi="Arial"/>
                <w:sz w:val="14"/>
                <w:szCs w:val="14"/>
                <w:color w:val="auto"/>
                <w:w w:val="98"/>
              </w:rPr>
              <w:t>Gain from divestitures, asset impairments and unusual items, net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0" w:type="dxa"/>
            <w:vAlign w:val="bottom"/>
          </w:tcPr>
          <w:p>
            <w:pPr>
              <w:ind w:left="22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2"/>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As adjusted amounts</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521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(529)</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678</w:t>
            </w:r>
          </w:p>
        </w:tc>
        <w:tc>
          <w:tcPr>
            <w:tcW w:w="200" w:type="dxa"/>
            <w:vAlign w:val="bottom"/>
          </w:tcPr>
          <w:p>
            <w:pPr>
              <w:spacing w:after="0"/>
              <w:rPr>
                <w:sz w:val="12"/>
                <w:szCs w:val="12"/>
                <w:color w:val="auto"/>
              </w:rPr>
            </w:pPr>
          </w:p>
        </w:tc>
        <w:tc>
          <w:tcPr>
            <w:tcW w:w="2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576</w:t>
            </w:r>
          </w:p>
        </w:tc>
        <w:tc>
          <w:tcPr>
            <w:tcW w:w="220" w:type="dxa"/>
            <w:vAlign w:val="bottom"/>
          </w:tcPr>
          <w:p>
            <w:pPr>
              <w:spacing w:after="0"/>
              <w:rPr>
                <w:sz w:val="12"/>
                <w:szCs w:val="12"/>
                <w:color w:val="auto"/>
              </w:rPr>
            </w:pPr>
          </w:p>
        </w:tc>
        <w:tc>
          <w:tcPr>
            <w:tcW w:w="240" w:type="dxa"/>
            <w:vAlign w:val="bottom"/>
            <w:tcBorders>
              <w:bottom w:val="single" w:sz="8" w:color="auto"/>
            </w:tcBorders>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202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374</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0.85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For purposes of this press release table, all references to “Net income” refer to the financial statement line item “Net income attributable to Waste Management, Inc.”.</w:t>
      </w:r>
    </w:p>
    <w:p>
      <w:pPr>
        <w:ind w:left="500" w:hanging="492"/>
        <w:spacing w:after="0" w:line="237" w:lineRule="auto"/>
        <w:tabs>
          <w:tab w:leader="none" w:pos="50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fourth quarter 2018 adjusted effective tax rate was 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WASTE MANAGEMENT, INC.</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CERTAIN NON-GAAP MEASURES</w:t>
      </w:r>
    </w:p>
    <w:p>
      <w:pPr>
        <w:jc w:val="center"/>
        <w:spacing w:after="0" w:line="226" w:lineRule="auto"/>
        <w:rPr>
          <w:sz w:val="20"/>
          <w:szCs w:val="20"/>
          <w:color w:val="auto"/>
        </w:rPr>
      </w:pPr>
      <w:r>
        <w:rPr>
          <w:rFonts w:ascii="Arial" w:cs="Arial" w:eastAsia="Arial" w:hAnsi="Arial"/>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Year Ended</w:t>
      </w:r>
    </w:p>
    <w:p>
      <w:pPr>
        <w:jc w:val="center"/>
        <w:ind w:left="4440"/>
        <w:spacing w:after="0" w:line="236"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Income from</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69"/>
              <w:spacing w:after="0" w:line="119" w:lineRule="exact"/>
              <w:rPr>
                <w:sz w:val="20"/>
                <w:szCs w:val="20"/>
                <w:color w:val="auto"/>
              </w:rPr>
            </w:pPr>
            <w:r>
              <w:rPr>
                <w:rFonts w:ascii="Arial" w:cs="Arial" w:eastAsia="Arial" w:hAnsi="Arial"/>
                <w:sz w:val="13"/>
                <w:szCs w:val="13"/>
                <w:b w:val="1"/>
                <w:bCs w:val="1"/>
                <w:color w:val="auto"/>
              </w:rPr>
              <w:t>Pre-tax</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150"/>
              <w:spacing w:after="0" w:line="119" w:lineRule="exact"/>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As reported amounts</w:t>
            </w: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Income (a)</w:t>
            </w:r>
          </w:p>
        </w:tc>
        <w:tc>
          <w:tcPr>
            <w:tcW w:w="200" w:type="dxa"/>
            <w:vAlign w:val="bottom"/>
          </w:tcPr>
          <w:p>
            <w:pPr>
              <w:spacing w:after="0"/>
              <w:rPr>
                <w:sz w:val="14"/>
                <w:szCs w:val="14"/>
                <w:color w:val="auto"/>
              </w:rPr>
            </w:pPr>
          </w:p>
        </w:tc>
        <w:tc>
          <w:tcPr>
            <w:tcW w:w="1000" w:type="dxa"/>
            <w:vAlign w:val="bottom"/>
          </w:tcPr>
          <w:p>
            <w:pPr>
              <w:jc w:val="center"/>
              <w:ind w:right="15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19"/>
        </w:trPr>
        <w:tc>
          <w:tcPr>
            <w:tcW w:w="4500" w:type="dxa"/>
            <w:vAlign w:val="bottom"/>
            <w:vMerge w:val="continue"/>
          </w:tcPr>
          <w:p>
            <w:pPr>
              <w:spacing w:after="0"/>
              <w:rPr>
                <w:sz w:val="10"/>
                <w:szCs w:val="10"/>
                <w:color w:val="auto"/>
              </w:rPr>
            </w:pPr>
          </w:p>
        </w:tc>
        <w:tc>
          <w:tcPr>
            <w:tcW w:w="22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w:t>
            </w:r>
          </w:p>
        </w:tc>
        <w:tc>
          <w:tcPr>
            <w:tcW w:w="1240" w:type="dxa"/>
            <w:vAlign w:val="bottom"/>
            <w:tcBorders>
              <w:top w:val="single" w:sz="8" w:color="auto"/>
            </w:tcBorders>
          </w:tcPr>
          <w:p>
            <w:pPr>
              <w:jc w:val="right"/>
              <w:ind w:right="69"/>
              <w:spacing w:after="0" w:line="119" w:lineRule="exact"/>
              <w:rPr>
                <w:sz w:val="20"/>
                <w:szCs w:val="20"/>
                <w:color w:val="auto"/>
              </w:rPr>
            </w:pPr>
            <w:r>
              <w:rPr>
                <w:rFonts w:ascii="Arial" w:cs="Arial" w:eastAsia="Arial" w:hAnsi="Arial"/>
                <w:sz w:val="13"/>
                <w:szCs w:val="13"/>
                <w:b w:val="1"/>
                <w:bCs w:val="1"/>
                <w:color w:val="auto"/>
              </w:rPr>
              <w:t>2,789</w:t>
            </w:r>
          </w:p>
        </w:tc>
        <w:tc>
          <w:tcPr>
            <w:tcW w:w="140" w:type="dxa"/>
            <w:vAlign w:val="bottom"/>
          </w:tcPr>
          <w:p>
            <w:pPr>
              <w:spacing w:after="0"/>
              <w:rPr>
                <w:sz w:val="10"/>
                <w:szCs w:val="10"/>
                <w:color w:val="auto"/>
              </w:rPr>
            </w:pPr>
          </w:p>
        </w:tc>
        <w:tc>
          <w:tcPr>
            <w:tcW w:w="22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2,376</w:t>
            </w:r>
          </w:p>
        </w:tc>
        <w:tc>
          <w:tcPr>
            <w:tcW w:w="140" w:type="dxa"/>
            <w:vAlign w:val="bottom"/>
          </w:tcPr>
          <w:p>
            <w:pPr>
              <w:spacing w:after="0"/>
              <w:rPr>
                <w:sz w:val="10"/>
                <w:szCs w:val="10"/>
                <w:color w:val="auto"/>
              </w:rPr>
            </w:pPr>
          </w:p>
        </w:tc>
        <w:tc>
          <w:tcPr>
            <w:tcW w:w="1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453</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1,925</w:t>
            </w:r>
          </w:p>
        </w:tc>
        <w:tc>
          <w:tcPr>
            <w:tcW w:w="160" w:type="dxa"/>
            <w:vAlign w:val="bottom"/>
          </w:tcPr>
          <w:p>
            <w:pPr>
              <w:spacing w:after="0"/>
              <w:rPr>
                <w:sz w:val="10"/>
                <w:szCs w:val="10"/>
                <w:color w:val="auto"/>
              </w:rPr>
            </w:pPr>
          </w:p>
        </w:tc>
        <w:tc>
          <w:tcPr>
            <w:tcW w:w="20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tcBorders>
          </w:tcPr>
          <w:p>
            <w:pPr>
              <w:jc w:val="right"/>
              <w:ind w:right="90"/>
              <w:spacing w:after="0" w:line="119" w:lineRule="exact"/>
              <w:rPr>
                <w:sz w:val="20"/>
                <w:szCs w:val="20"/>
                <w:color w:val="auto"/>
              </w:rPr>
            </w:pPr>
            <w:r>
              <w:rPr>
                <w:rFonts w:ascii="Arial" w:cs="Arial" w:eastAsia="Arial" w:hAnsi="Arial"/>
                <w:sz w:val="13"/>
                <w:szCs w:val="13"/>
                <w:b w:val="1"/>
                <w:bCs w:val="1"/>
                <w:color w:val="auto"/>
              </w:rPr>
              <w:t>4.45</w:t>
            </w:r>
          </w:p>
        </w:tc>
        <w:tc>
          <w:tcPr>
            <w:tcW w:w="0" w:type="dxa"/>
            <w:vAlign w:val="bottom"/>
          </w:tcPr>
          <w:p>
            <w:pPr>
              <w:spacing w:after="0"/>
              <w:rPr>
                <w:sz w:val="1"/>
                <w:szCs w:val="1"/>
                <w:color w:val="auto"/>
              </w:rPr>
            </w:pPr>
          </w:p>
        </w:tc>
      </w:tr>
      <w:tr>
        <w:trPr>
          <w:trHeight w:val="153"/>
        </w:trPr>
        <w:tc>
          <w:tcPr>
            <w:tcW w:w="4500" w:type="dxa"/>
            <w:vAlign w:val="bottom"/>
          </w:tcPr>
          <w:p>
            <w:pPr>
              <w:spacing w:after="0" w:line="153" w:lineRule="exact"/>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Gain from divestitures, asset impairments and unusual items, net</w:t>
            </w:r>
          </w:p>
        </w:tc>
        <w:tc>
          <w:tcPr>
            <w:tcW w:w="220" w:type="dxa"/>
            <w:vAlign w:val="bottom"/>
          </w:tcPr>
          <w:p>
            <w:pPr>
              <w:spacing w:after="0"/>
              <w:rPr>
                <w:sz w:val="12"/>
                <w:szCs w:val="12"/>
                <w:color w:val="auto"/>
              </w:rPr>
            </w:pPr>
          </w:p>
        </w:tc>
        <w:tc>
          <w:tcPr>
            <w:tcW w:w="12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9"/>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Tax benefits related to income tax audit settlements</w:t>
            </w:r>
          </w:p>
        </w:tc>
        <w:tc>
          <w:tcPr>
            <w:tcW w:w="220" w:type="dxa"/>
            <w:vAlign w:val="bottom"/>
          </w:tcPr>
          <w:p>
            <w:pPr>
              <w:spacing w:after="0"/>
              <w:rPr>
                <w:sz w:val="12"/>
                <w:szCs w:val="12"/>
                <w:color w:val="auto"/>
              </w:rPr>
            </w:pPr>
          </w:p>
        </w:tc>
        <w:tc>
          <w:tcPr>
            <w:tcW w:w="12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Benefit primarily related to favorable adjustments from changes in</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state tax law and impact of Tax Cuts and Jobs Act</w:t>
            </w:r>
          </w:p>
        </w:tc>
        <w:tc>
          <w:tcPr>
            <w:tcW w:w="220" w:type="dxa"/>
            <w:vAlign w:val="bottom"/>
          </w:tcPr>
          <w:p>
            <w:pPr>
              <w:spacing w:after="0"/>
              <w:rPr>
                <w:sz w:val="12"/>
                <w:szCs w:val="12"/>
                <w:color w:val="auto"/>
              </w:rPr>
            </w:pPr>
          </w:p>
        </w:tc>
        <w:tc>
          <w:tcPr>
            <w:tcW w:w="12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Tax benefits related to adjustment to deferred taxes</w:t>
            </w:r>
          </w:p>
        </w:tc>
        <w:tc>
          <w:tcPr>
            <w:tcW w:w="220" w:type="dxa"/>
            <w:vAlign w:val="bottom"/>
          </w:tcPr>
          <w:p>
            <w:pPr>
              <w:spacing w:after="0"/>
              <w:rPr>
                <w:sz w:val="12"/>
                <w:szCs w:val="12"/>
                <w:color w:val="auto"/>
              </w:rPr>
            </w:pPr>
          </w:p>
        </w:tc>
        <w:tc>
          <w:tcPr>
            <w:tcW w:w="12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Charges related to multiemployer pension plans</w:t>
            </w:r>
          </w:p>
        </w:tc>
        <w:tc>
          <w:tcPr>
            <w:tcW w:w="220" w:type="dxa"/>
            <w:vAlign w:val="bottom"/>
          </w:tcPr>
          <w:p>
            <w:pPr>
              <w:spacing w:after="0"/>
              <w:rPr>
                <w:sz w:val="12"/>
                <w:szCs w:val="12"/>
                <w:color w:val="auto"/>
              </w:rPr>
            </w:pPr>
          </w:p>
        </w:tc>
        <w:tc>
          <w:tcPr>
            <w:tcW w:w="12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00" w:type="dxa"/>
            <w:vAlign w:val="bottom"/>
          </w:tcPr>
          <w:p>
            <w:pPr>
              <w:ind w:left="180"/>
              <w:spacing w:after="0"/>
              <w:rPr>
                <w:sz w:val="20"/>
                <w:szCs w:val="20"/>
                <w:color w:val="auto"/>
              </w:rPr>
            </w:pPr>
            <w:r>
              <w:rPr>
                <w:rFonts w:ascii="Arial" w:cs="Arial" w:eastAsia="Arial" w:hAnsi="Arial"/>
                <w:sz w:val="14"/>
                <w:szCs w:val="14"/>
                <w:color w:val="auto"/>
              </w:rPr>
              <w:t>Restructuring</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2"/>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As adjusted amounts</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62</w:t>
            </w:r>
          </w:p>
        </w:tc>
        <w:tc>
          <w:tcPr>
            <w:tcW w:w="12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9"/>
              </w:rPr>
              <w:t>(b)</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2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2,739</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2,326</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515</w:t>
            </w:r>
          </w:p>
        </w:tc>
        <w:tc>
          <w:tcPr>
            <w:tcW w:w="1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1,813</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4.20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Income from</w:t>
            </w:r>
          </w:p>
        </w:tc>
        <w:tc>
          <w:tcPr>
            <w:tcW w:w="220" w:type="dxa"/>
            <w:vAlign w:val="bottom"/>
          </w:tcPr>
          <w:p>
            <w:pPr>
              <w:spacing w:after="0"/>
              <w:rPr>
                <w:sz w:val="10"/>
                <w:szCs w:val="10"/>
                <w:color w:val="auto"/>
              </w:rPr>
            </w:pPr>
          </w:p>
        </w:tc>
        <w:tc>
          <w:tcPr>
            <w:tcW w:w="920" w:type="dxa"/>
            <w:vAlign w:val="bottom"/>
          </w:tcPr>
          <w:p>
            <w:pPr>
              <w:jc w:val="right"/>
              <w:ind w:right="269"/>
              <w:spacing w:after="0" w:line="119" w:lineRule="exact"/>
              <w:rPr>
                <w:sz w:val="20"/>
                <w:szCs w:val="20"/>
                <w:color w:val="auto"/>
              </w:rPr>
            </w:pPr>
            <w:r>
              <w:rPr>
                <w:rFonts w:ascii="Arial" w:cs="Arial" w:eastAsia="Arial" w:hAnsi="Arial"/>
                <w:sz w:val="13"/>
                <w:szCs w:val="13"/>
                <w:b w:val="1"/>
                <w:bCs w:val="1"/>
                <w:color w:val="auto"/>
              </w:rPr>
              <w:t>Pre-tax</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1000" w:type="dxa"/>
            <w:vAlign w:val="bottom"/>
          </w:tcPr>
          <w:p>
            <w:pPr>
              <w:jc w:val="center"/>
              <w:ind w:right="150"/>
              <w:spacing w:after="0" w:line="119" w:lineRule="exact"/>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As reported amounts</w:t>
            </w: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Income (a)</w:t>
            </w:r>
          </w:p>
        </w:tc>
        <w:tc>
          <w:tcPr>
            <w:tcW w:w="200" w:type="dxa"/>
            <w:vAlign w:val="bottom"/>
          </w:tcPr>
          <w:p>
            <w:pPr>
              <w:spacing w:after="0"/>
              <w:rPr>
                <w:sz w:val="14"/>
                <w:szCs w:val="14"/>
                <w:color w:val="auto"/>
              </w:rPr>
            </w:pPr>
          </w:p>
        </w:tc>
        <w:tc>
          <w:tcPr>
            <w:tcW w:w="1000" w:type="dxa"/>
            <w:vAlign w:val="bottom"/>
          </w:tcPr>
          <w:p>
            <w:pPr>
              <w:jc w:val="center"/>
              <w:ind w:right="15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19"/>
        </w:trPr>
        <w:tc>
          <w:tcPr>
            <w:tcW w:w="4500" w:type="dxa"/>
            <w:vAlign w:val="bottom"/>
            <w:vMerge w:val="continue"/>
          </w:tcPr>
          <w:p>
            <w:pPr>
              <w:spacing w:after="0"/>
              <w:rPr>
                <w:sz w:val="10"/>
                <w:szCs w:val="10"/>
                <w:color w:val="auto"/>
              </w:rPr>
            </w:pPr>
          </w:p>
        </w:tc>
        <w:tc>
          <w:tcPr>
            <w:tcW w:w="22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w:t>
            </w:r>
          </w:p>
        </w:tc>
        <w:tc>
          <w:tcPr>
            <w:tcW w:w="1240" w:type="dxa"/>
            <w:vAlign w:val="bottom"/>
            <w:tcBorders>
              <w:top w:val="single" w:sz="8" w:color="auto"/>
            </w:tcBorders>
          </w:tcPr>
          <w:p>
            <w:pPr>
              <w:jc w:val="right"/>
              <w:ind w:right="69"/>
              <w:spacing w:after="0" w:line="119" w:lineRule="exact"/>
              <w:rPr>
                <w:sz w:val="20"/>
                <w:szCs w:val="20"/>
                <w:color w:val="auto"/>
              </w:rPr>
            </w:pPr>
            <w:r>
              <w:rPr>
                <w:rFonts w:ascii="Arial" w:cs="Arial" w:eastAsia="Arial" w:hAnsi="Arial"/>
                <w:sz w:val="13"/>
                <w:szCs w:val="13"/>
                <w:b w:val="1"/>
                <w:bCs w:val="1"/>
                <w:color w:val="auto"/>
              </w:rPr>
              <w:t>2,636</w:t>
            </w:r>
          </w:p>
        </w:tc>
        <w:tc>
          <w:tcPr>
            <w:tcW w:w="140" w:type="dxa"/>
            <w:vAlign w:val="bottom"/>
          </w:tcPr>
          <w:p>
            <w:pPr>
              <w:spacing w:after="0"/>
              <w:rPr>
                <w:sz w:val="10"/>
                <w:szCs w:val="10"/>
                <w:color w:val="auto"/>
              </w:rPr>
            </w:pPr>
          </w:p>
        </w:tc>
        <w:tc>
          <w:tcPr>
            <w:tcW w:w="22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2,191</w:t>
            </w:r>
          </w:p>
        </w:tc>
        <w:tc>
          <w:tcPr>
            <w:tcW w:w="140" w:type="dxa"/>
            <w:vAlign w:val="bottom"/>
          </w:tcPr>
          <w:p>
            <w:pPr>
              <w:spacing w:after="0"/>
              <w:rPr>
                <w:sz w:val="10"/>
                <w:szCs w:val="10"/>
                <w:color w:val="auto"/>
              </w:rPr>
            </w:pPr>
          </w:p>
        </w:tc>
        <w:tc>
          <w:tcPr>
            <w:tcW w:w="1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242</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w:t>
            </w:r>
          </w:p>
        </w:tc>
        <w:tc>
          <w:tcPr>
            <w:tcW w:w="98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1,949</w:t>
            </w:r>
          </w:p>
        </w:tc>
        <w:tc>
          <w:tcPr>
            <w:tcW w:w="160" w:type="dxa"/>
            <w:vAlign w:val="bottom"/>
          </w:tcPr>
          <w:p>
            <w:pPr>
              <w:spacing w:after="0"/>
              <w:rPr>
                <w:sz w:val="10"/>
                <w:szCs w:val="10"/>
                <w:color w:val="auto"/>
              </w:rPr>
            </w:pPr>
          </w:p>
        </w:tc>
        <w:tc>
          <w:tcPr>
            <w:tcW w:w="20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tcBorders>
          </w:tcPr>
          <w:p>
            <w:pPr>
              <w:jc w:val="right"/>
              <w:ind w:right="90"/>
              <w:spacing w:after="0" w:line="119" w:lineRule="exact"/>
              <w:rPr>
                <w:sz w:val="20"/>
                <w:szCs w:val="20"/>
                <w:color w:val="auto"/>
              </w:rPr>
            </w:pPr>
            <w:r>
              <w:rPr>
                <w:rFonts w:ascii="Arial" w:cs="Arial" w:eastAsia="Arial" w:hAnsi="Arial"/>
                <w:sz w:val="13"/>
                <w:szCs w:val="13"/>
                <w:b w:val="1"/>
                <w:bCs w:val="1"/>
                <w:color w:val="auto"/>
              </w:rPr>
              <w:t>4.41</w:t>
            </w:r>
          </w:p>
        </w:tc>
        <w:tc>
          <w:tcPr>
            <w:tcW w:w="0" w:type="dxa"/>
            <w:vAlign w:val="bottom"/>
          </w:tcPr>
          <w:p>
            <w:pPr>
              <w:spacing w:after="0"/>
              <w:rPr>
                <w:sz w:val="1"/>
                <w:szCs w:val="1"/>
                <w:color w:val="auto"/>
              </w:rPr>
            </w:pPr>
          </w:p>
        </w:tc>
      </w:tr>
      <w:tr>
        <w:trPr>
          <w:trHeight w:val="153"/>
        </w:trPr>
        <w:tc>
          <w:tcPr>
            <w:tcW w:w="4500" w:type="dxa"/>
            <w:vAlign w:val="bottom"/>
          </w:tcPr>
          <w:p>
            <w:pPr>
              <w:spacing w:after="0" w:line="153" w:lineRule="exact"/>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Impact of Tax Cuts and Jobs Act</w:t>
            </w:r>
          </w:p>
        </w:tc>
        <w:tc>
          <w:tcPr>
            <w:tcW w:w="220" w:type="dxa"/>
            <w:vAlign w:val="bottom"/>
          </w:tcPr>
          <w:p>
            <w:pPr>
              <w:spacing w:after="0"/>
              <w:rPr>
                <w:sz w:val="12"/>
                <w:szCs w:val="12"/>
                <w:color w:val="auto"/>
              </w:rPr>
            </w:pPr>
          </w:p>
        </w:tc>
        <w:tc>
          <w:tcPr>
            <w:tcW w:w="12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529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tcPr>
          <w:p>
            <w:pPr>
              <w:ind w:left="180"/>
              <w:spacing w:after="0" w:line="145" w:lineRule="exact"/>
              <w:rPr>
                <w:sz w:val="20"/>
                <w:szCs w:val="20"/>
                <w:color w:val="auto"/>
              </w:rPr>
            </w:pPr>
            <w:r>
              <w:rPr>
                <w:rFonts w:ascii="Arial" w:cs="Arial" w:eastAsia="Arial" w:hAnsi="Arial"/>
                <w:sz w:val="14"/>
                <w:szCs w:val="14"/>
                <w:color w:val="auto"/>
              </w:rPr>
              <w:t>Tax benefits related to equity-based compensation</w:t>
            </w:r>
          </w:p>
        </w:tc>
        <w:tc>
          <w:tcPr>
            <w:tcW w:w="220" w:type="dxa"/>
            <w:vAlign w:val="bottom"/>
          </w:tcPr>
          <w:p>
            <w:pPr>
              <w:spacing w:after="0"/>
              <w:rPr>
                <w:sz w:val="12"/>
                <w:szCs w:val="12"/>
                <w:color w:val="auto"/>
              </w:rPr>
            </w:pPr>
          </w:p>
        </w:tc>
        <w:tc>
          <w:tcPr>
            <w:tcW w:w="1240" w:type="dxa"/>
            <w:vAlign w:val="bottom"/>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9"/>
              <w:spacing w:after="0" w:line="145"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Pr>
          <w:p>
            <w:pPr>
              <w:ind w:left="180"/>
              <w:spacing w:after="0" w:line="153" w:lineRule="exact"/>
              <w:rPr>
                <w:sz w:val="20"/>
                <w:szCs w:val="20"/>
                <w:color w:val="auto"/>
              </w:rPr>
            </w:pPr>
            <w:r>
              <w:rPr>
                <w:rFonts w:ascii="Arial" w:cs="Arial" w:eastAsia="Arial" w:hAnsi="Arial"/>
                <w:sz w:val="14"/>
                <w:szCs w:val="14"/>
                <w:color w:val="auto"/>
              </w:rPr>
              <w:t xml:space="preserve">Gain from divestitures, asset impairments and unusual items, net </w:t>
            </w:r>
            <w:r>
              <w:rPr>
                <w:rFonts w:ascii="Arial" w:cs="Arial" w:eastAsia="Arial" w:hAnsi="Arial"/>
                <w:sz w:val="14"/>
                <w:szCs w:val="14"/>
                <w:b w:val="1"/>
                <w:bCs w:val="1"/>
                <w:color w:val="auto"/>
              </w:rPr>
              <w:t>(c)</w:t>
            </w:r>
          </w:p>
        </w:tc>
        <w:tc>
          <w:tcPr>
            <w:tcW w:w="220" w:type="dxa"/>
            <w:vAlign w:val="bottom"/>
          </w:tcPr>
          <w:p>
            <w:pPr>
              <w:spacing w:after="0"/>
              <w:rPr>
                <w:sz w:val="13"/>
                <w:szCs w:val="13"/>
                <w:color w:val="auto"/>
              </w:rPr>
            </w:pPr>
          </w:p>
        </w:tc>
        <w:tc>
          <w:tcPr>
            <w:tcW w:w="1240" w:type="dxa"/>
            <w:vAlign w:val="bottom"/>
          </w:tcPr>
          <w:p>
            <w:pPr>
              <w:jc w:val="right"/>
              <w:ind w:right="29"/>
              <w:spacing w:after="0" w:line="153"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49"/>
              <w:spacing w:after="0" w:line="153"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9"/>
              <w:spacing w:after="0" w:line="153"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9"/>
              <w:spacing w:after="0" w:line="153"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180"/>
              <w:spacing w:after="0" w:line="149" w:lineRule="exact"/>
              <w:rPr>
                <w:sz w:val="20"/>
                <w:szCs w:val="20"/>
                <w:color w:val="auto"/>
              </w:rPr>
            </w:pPr>
            <w:r>
              <w:rPr>
                <w:rFonts w:ascii="Arial" w:cs="Arial" w:eastAsia="Arial" w:hAnsi="Arial"/>
                <w:sz w:val="14"/>
                <w:szCs w:val="14"/>
                <w:color w:val="auto"/>
              </w:rPr>
              <w:t>Charges related to multiemployer pension plans</w:t>
            </w:r>
          </w:p>
        </w:tc>
        <w:tc>
          <w:tcPr>
            <w:tcW w:w="220" w:type="dxa"/>
            <w:vAlign w:val="bottom"/>
          </w:tcPr>
          <w:p>
            <w:pPr>
              <w:spacing w:after="0"/>
              <w:rPr>
                <w:sz w:val="12"/>
                <w:szCs w:val="12"/>
                <w:color w:val="auto"/>
              </w:rPr>
            </w:pPr>
          </w:p>
        </w:tc>
        <w:tc>
          <w:tcPr>
            <w:tcW w:w="12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00" w:type="dxa"/>
            <w:vAlign w:val="bottom"/>
          </w:tcPr>
          <w:p>
            <w:pPr>
              <w:ind w:left="180"/>
              <w:spacing w:after="0"/>
              <w:rPr>
                <w:sz w:val="20"/>
                <w:szCs w:val="20"/>
                <w:color w:val="auto"/>
              </w:rPr>
            </w:pPr>
            <w:r>
              <w:rPr>
                <w:rFonts w:ascii="Arial" w:cs="Arial" w:eastAsia="Arial" w:hAnsi="Arial"/>
                <w:sz w:val="14"/>
                <w:szCs w:val="14"/>
                <w:color w:val="auto"/>
              </w:rPr>
              <w:t>Loss on early extinguishment of debt</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2"/>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As adjusted amounts</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561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2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2,630</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2,228</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803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1,425</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3.22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For purposes of this press release table, all references to “Net income” refer to the financial statement line item “Net income attributable to Waste Management, Inc.”.</w:t>
      </w:r>
    </w:p>
    <w:p>
      <w:pPr>
        <w:ind w:left="500" w:hanging="492"/>
        <w:spacing w:after="0" w:line="221" w:lineRule="auto"/>
        <w:tabs>
          <w:tab w:leader="none" w:pos="50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full year 2018 adjusted effective tax rate was 22.1% .</w:t>
      </w:r>
    </w:p>
    <w:p>
      <w:pPr>
        <w:jc w:val="both"/>
        <w:ind w:left="500" w:hanging="492"/>
        <w:spacing w:after="0" w:line="232" w:lineRule="auto"/>
        <w:tabs>
          <w:tab w:leader="none" w:pos="50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Adjustments in 2017 included impairment charges associated with assets in the “Gain from divestitures, asset impairments and unusual items” and “Other, net” financial captions. Additionally, adjustments in 2017 include impairment charges associated with certain of our investments in unconsolidated entities that are included in the “Equity in net loss of unconsolidated entities” financial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WASTE MANAGEMENT, INC.</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CERTAIN NON-GAAP MEASURES</w:t>
      </w:r>
    </w:p>
    <w:p>
      <w:pPr>
        <w:ind w:left="5320"/>
        <w:spacing w:after="0" w:line="226" w:lineRule="auto"/>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EBITDA and Adjusted Operating EBITDA Margin</w:t>
            </w:r>
          </w:p>
        </w:tc>
        <w:tc>
          <w:tcPr>
            <w:tcW w:w="200" w:type="dxa"/>
            <w:vAlign w:val="bottom"/>
          </w:tcPr>
          <w:p>
            <w:pPr>
              <w:spacing w:after="0"/>
              <w:rPr>
                <w:sz w:val="24"/>
                <w:szCs w:val="24"/>
                <w:color w:val="auto"/>
              </w:rPr>
            </w:pPr>
          </w:p>
        </w:tc>
        <w:tc>
          <w:tcPr>
            <w:tcW w:w="2560" w:type="dxa"/>
            <w:vAlign w:val="bottom"/>
            <w:gridSpan w:val="6"/>
          </w:tcPr>
          <w:p>
            <w:pPr>
              <w:ind w:left="50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24"/>
                <w:szCs w:val="24"/>
                <w:color w:val="auto"/>
              </w:rPr>
            </w:pPr>
          </w:p>
        </w:tc>
        <w:tc>
          <w:tcPr>
            <w:tcW w:w="2440" w:type="dxa"/>
            <w:vAlign w:val="bottom"/>
            <w:gridSpan w:val="3"/>
          </w:tcPr>
          <w:p>
            <w:pPr>
              <w:jc w:val="right"/>
              <w:ind w:right="69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19"/>
        </w:trPr>
        <w:tc>
          <w:tcPr>
            <w:tcW w:w="5820" w:type="dxa"/>
            <w:vAlign w:val="bottom"/>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269"/>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ind w:left="360"/>
              <w:spacing w:after="0" w:line="119" w:lineRule="exact"/>
              <w:rPr>
                <w:sz w:val="20"/>
                <w:szCs w:val="20"/>
                <w:color w:val="auto"/>
              </w:rPr>
            </w:pPr>
            <w:r>
              <w:rPr>
                <w:rFonts w:ascii="Arial" w:cs="Arial" w:eastAsia="Arial" w:hAnsi="Arial"/>
                <w:sz w:val="13"/>
                <w:szCs w:val="13"/>
                <w:b w:val="1"/>
                <w:bCs w:val="1"/>
                <w:color w:val="auto"/>
              </w:rPr>
              <w:t>As a % of</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306"/>
        </w:trPr>
        <w:tc>
          <w:tcPr>
            <w:tcW w:w="5820" w:type="dxa"/>
            <w:vAlign w:val="bottom"/>
          </w:tcPr>
          <w:p>
            <w:pPr>
              <w:ind w:left="180"/>
              <w:spacing w:after="0"/>
              <w:rPr>
                <w:sz w:val="20"/>
                <w:szCs w:val="20"/>
                <w:color w:val="auto"/>
              </w:rPr>
            </w:pPr>
            <w:r>
              <w:rPr>
                <w:rFonts w:ascii="Arial" w:cs="Arial" w:eastAsia="Arial" w:hAnsi="Arial"/>
                <w:sz w:val="14"/>
                <w:szCs w:val="14"/>
                <w:b w:val="1"/>
                <w:bCs w:val="1"/>
                <w:color w:val="auto"/>
              </w:rPr>
              <w:t>Operating revenues, as reported</w:t>
            </w: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3,842</w:t>
            </w: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3,652</w:t>
            </w:r>
          </w:p>
        </w:tc>
        <w:tc>
          <w:tcPr>
            <w:tcW w:w="1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20" w:type="dxa"/>
            <w:vAlign w:val="bottom"/>
          </w:tcPr>
          <w:p>
            <w:pPr>
              <w:ind w:left="360"/>
              <w:spacing w:after="0"/>
              <w:rPr>
                <w:sz w:val="20"/>
                <w:szCs w:val="20"/>
                <w:color w:val="auto"/>
              </w:rPr>
            </w:pPr>
            <w:r>
              <w:rPr>
                <w:rFonts w:ascii="Arial" w:cs="Arial" w:eastAsia="Arial" w:hAnsi="Arial"/>
                <w:sz w:val="14"/>
                <w:szCs w:val="14"/>
                <w:color w:val="auto"/>
              </w:rPr>
              <w:t>Income from operations, as reported</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767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704</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5820" w:type="dxa"/>
            <w:vAlign w:val="bottom"/>
          </w:tcPr>
          <w:p>
            <w:pPr>
              <w:ind w:left="360"/>
              <w:spacing w:after="0"/>
              <w:rPr>
                <w:sz w:val="20"/>
                <w:szCs w:val="20"/>
                <w:color w:val="auto"/>
              </w:rPr>
            </w:pPr>
            <w:r>
              <w:rPr>
                <w:rFonts w:ascii="Arial" w:cs="Arial" w:eastAsia="Arial" w:hAnsi="Arial"/>
                <w:sz w:val="14"/>
                <w:szCs w:val="14"/>
                <w:color w:val="auto"/>
              </w:rPr>
              <w:t>Depreciation and amortization, as reported</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342</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Operating EBITDA, as reported</w:t>
            </w:r>
          </w:p>
        </w:tc>
        <w:tc>
          <w:tcPr>
            <w:tcW w:w="20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1,137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29.6%</w:t>
            </w:r>
          </w:p>
        </w:tc>
        <w:tc>
          <w:tcPr>
            <w:tcW w:w="180" w:type="dxa"/>
            <w:vAlign w:val="bottom"/>
          </w:tcPr>
          <w:p>
            <w:pPr>
              <w:spacing w:after="0"/>
              <w:rPr>
                <w:sz w:val="10"/>
                <w:szCs w:val="10"/>
                <w:color w:val="auto"/>
              </w:rPr>
            </w:pPr>
          </w:p>
        </w:tc>
        <w:tc>
          <w:tcPr>
            <w:tcW w:w="2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1,046</w:t>
            </w:r>
          </w:p>
        </w:tc>
        <w:tc>
          <w:tcPr>
            <w:tcW w:w="1480" w:type="dxa"/>
            <w:vAlign w:val="bottom"/>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28.6%</w:t>
            </w:r>
          </w:p>
        </w:tc>
        <w:tc>
          <w:tcPr>
            <w:tcW w:w="0" w:type="dxa"/>
            <w:vAlign w:val="bottom"/>
          </w:tcPr>
          <w:p>
            <w:pPr>
              <w:spacing w:after="0"/>
              <w:rPr>
                <w:sz w:val="1"/>
                <w:szCs w:val="1"/>
                <w:color w:val="auto"/>
              </w:rPr>
            </w:pPr>
          </w:p>
        </w:tc>
      </w:tr>
      <w:tr>
        <w:trPr>
          <w:trHeight w:val="153"/>
        </w:trPr>
        <w:tc>
          <w:tcPr>
            <w:tcW w:w="582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820" w:type="dxa"/>
            <w:vAlign w:val="bottom"/>
          </w:tcPr>
          <w:p>
            <w:pPr>
              <w:ind w:left="360"/>
              <w:spacing w:after="0"/>
              <w:rPr>
                <w:sz w:val="20"/>
                <w:szCs w:val="20"/>
                <w:color w:val="auto"/>
              </w:rPr>
            </w:pPr>
            <w:r>
              <w:rPr>
                <w:rFonts w:ascii="Arial" w:cs="Arial" w:eastAsia="Arial" w:hAnsi="Arial"/>
                <w:sz w:val="14"/>
                <w:szCs w:val="14"/>
                <w:color w:val="auto"/>
              </w:rPr>
              <w:t>Gain from divestitures, asset impairments and unusual items, net</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Adjusted operating EBITDA (a)</w:t>
            </w:r>
          </w:p>
        </w:tc>
        <w:tc>
          <w:tcPr>
            <w:tcW w:w="20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1,093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28.4%</w:t>
            </w:r>
          </w:p>
        </w:tc>
        <w:tc>
          <w:tcPr>
            <w:tcW w:w="180" w:type="dxa"/>
            <w:vAlign w:val="bottom"/>
          </w:tcPr>
          <w:p>
            <w:pPr>
              <w:spacing w:after="0"/>
              <w:rPr>
                <w:sz w:val="12"/>
                <w:szCs w:val="12"/>
                <w:color w:val="auto"/>
              </w:rPr>
            </w:pPr>
          </w:p>
        </w:tc>
        <w:tc>
          <w:tcPr>
            <w:tcW w:w="2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1,020</w:t>
            </w:r>
          </w:p>
        </w:tc>
        <w:tc>
          <w:tcPr>
            <w:tcW w:w="1480" w:type="dxa"/>
            <w:vAlign w:val="bottom"/>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769"/>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EBITDA and Adjusted Operating EBITDA Margin</w:t>
            </w:r>
          </w:p>
        </w:tc>
        <w:tc>
          <w:tcPr>
            <w:tcW w:w="200" w:type="dxa"/>
            <w:vAlign w:val="bottom"/>
          </w:tcPr>
          <w:p>
            <w:pPr>
              <w:spacing w:after="0"/>
              <w:rPr>
                <w:sz w:val="24"/>
                <w:szCs w:val="24"/>
                <w:color w:val="auto"/>
              </w:rPr>
            </w:pPr>
          </w:p>
        </w:tc>
        <w:tc>
          <w:tcPr>
            <w:tcW w:w="2560" w:type="dxa"/>
            <w:vAlign w:val="bottom"/>
            <w:gridSpan w:val="6"/>
          </w:tcPr>
          <w:p>
            <w:pPr>
              <w:ind w:left="50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24"/>
                <w:szCs w:val="24"/>
                <w:color w:val="auto"/>
              </w:rPr>
            </w:pPr>
          </w:p>
        </w:tc>
        <w:tc>
          <w:tcPr>
            <w:tcW w:w="2440" w:type="dxa"/>
            <w:vAlign w:val="bottom"/>
            <w:gridSpan w:val="3"/>
          </w:tcPr>
          <w:p>
            <w:pPr>
              <w:jc w:val="right"/>
              <w:ind w:right="69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19"/>
        </w:trPr>
        <w:tc>
          <w:tcPr>
            <w:tcW w:w="5820" w:type="dxa"/>
            <w:vAlign w:val="bottom"/>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269"/>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ind w:left="360"/>
              <w:spacing w:after="0" w:line="119" w:lineRule="exact"/>
              <w:rPr>
                <w:sz w:val="20"/>
                <w:szCs w:val="20"/>
                <w:color w:val="auto"/>
              </w:rPr>
            </w:pPr>
            <w:r>
              <w:rPr>
                <w:rFonts w:ascii="Arial" w:cs="Arial" w:eastAsia="Arial" w:hAnsi="Arial"/>
                <w:sz w:val="13"/>
                <w:szCs w:val="13"/>
                <w:b w:val="1"/>
                <w:bCs w:val="1"/>
                <w:color w:val="auto"/>
              </w:rPr>
              <w:t>As a % of</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306"/>
        </w:trPr>
        <w:tc>
          <w:tcPr>
            <w:tcW w:w="5820" w:type="dxa"/>
            <w:vAlign w:val="bottom"/>
          </w:tcPr>
          <w:p>
            <w:pPr>
              <w:ind w:left="180"/>
              <w:spacing w:after="0"/>
              <w:rPr>
                <w:sz w:val="20"/>
                <w:szCs w:val="20"/>
                <w:color w:val="auto"/>
              </w:rPr>
            </w:pPr>
            <w:r>
              <w:rPr>
                <w:rFonts w:ascii="Arial" w:cs="Arial" w:eastAsia="Arial" w:hAnsi="Arial"/>
                <w:sz w:val="14"/>
                <w:szCs w:val="14"/>
                <w:b w:val="1"/>
                <w:bCs w:val="1"/>
                <w:color w:val="auto"/>
              </w:rPr>
              <w:t>Operating revenues, as reported</w:t>
            </w: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14,914</w:t>
            </w: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14,485</w:t>
            </w:r>
          </w:p>
        </w:tc>
        <w:tc>
          <w:tcPr>
            <w:tcW w:w="1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20" w:type="dxa"/>
            <w:vAlign w:val="bottom"/>
          </w:tcPr>
          <w:p>
            <w:pPr>
              <w:ind w:left="360"/>
              <w:spacing w:after="0"/>
              <w:rPr>
                <w:sz w:val="20"/>
                <w:szCs w:val="20"/>
                <w:color w:val="auto"/>
              </w:rPr>
            </w:pPr>
            <w:r>
              <w:rPr>
                <w:rFonts w:ascii="Arial" w:cs="Arial" w:eastAsia="Arial" w:hAnsi="Arial"/>
                <w:sz w:val="14"/>
                <w:szCs w:val="14"/>
                <w:color w:val="auto"/>
              </w:rPr>
              <w:t>Income from operations, as reported</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2,789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2,636</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5820" w:type="dxa"/>
            <w:vAlign w:val="bottom"/>
          </w:tcPr>
          <w:p>
            <w:pPr>
              <w:ind w:left="360"/>
              <w:spacing w:after="0" w:line="145" w:lineRule="exact"/>
              <w:rPr>
                <w:sz w:val="20"/>
                <w:szCs w:val="20"/>
                <w:color w:val="auto"/>
              </w:rPr>
            </w:pPr>
            <w:r>
              <w:rPr>
                <w:rFonts w:ascii="Arial" w:cs="Arial" w:eastAsia="Arial" w:hAnsi="Arial"/>
                <w:sz w:val="14"/>
                <w:szCs w:val="14"/>
                <w:color w:val="auto"/>
              </w:rPr>
              <w:t>Depreciation and amortization, as reported</w:t>
            </w:r>
          </w:p>
        </w:tc>
        <w:tc>
          <w:tcPr>
            <w:tcW w:w="200" w:type="dxa"/>
            <w:vAlign w:val="bottom"/>
          </w:tcPr>
          <w:p>
            <w:pPr>
              <w:spacing w:after="0"/>
              <w:rPr>
                <w:sz w:val="12"/>
                <w:szCs w:val="12"/>
                <w:color w:val="auto"/>
              </w:rPr>
            </w:pPr>
          </w:p>
        </w:tc>
        <w:tc>
          <w:tcPr>
            <w:tcW w:w="10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1,477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49"/>
              <w:spacing w:after="0" w:line="145" w:lineRule="exact"/>
              <w:rPr>
                <w:sz w:val="20"/>
                <w:szCs w:val="20"/>
                <w:color w:val="auto"/>
              </w:rPr>
            </w:pPr>
            <w:r>
              <w:rPr>
                <w:rFonts w:ascii="Arial" w:cs="Arial" w:eastAsia="Arial" w:hAnsi="Arial"/>
                <w:sz w:val="14"/>
                <w:szCs w:val="14"/>
                <w:color w:val="auto"/>
              </w:rPr>
              <w:t>1,376</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Operating EBITDA, as reported</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28.6%</w:t>
            </w: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rPr>
              <w:t>27.7%</w:t>
            </w:r>
          </w:p>
        </w:tc>
        <w:tc>
          <w:tcPr>
            <w:tcW w:w="0" w:type="dxa"/>
            <w:vAlign w:val="bottom"/>
          </w:tcPr>
          <w:p>
            <w:pPr>
              <w:spacing w:after="0"/>
              <w:rPr>
                <w:sz w:val="1"/>
                <w:szCs w:val="1"/>
                <w:color w:val="auto"/>
              </w:rPr>
            </w:pPr>
          </w:p>
        </w:tc>
      </w:tr>
      <w:tr>
        <w:trPr>
          <w:trHeight w:val="119"/>
        </w:trPr>
        <w:tc>
          <w:tcPr>
            <w:tcW w:w="5820" w:type="dxa"/>
            <w:vAlign w:val="bottom"/>
            <w:vMerge w:val="continue"/>
          </w:tcPr>
          <w:p>
            <w:pPr>
              <w:spacing w:after="0"/>
              <w:rPr>
                <w:sz w:val="10"/>
                <w:szCs w:val="10"/>
                <w:color w:val="auto"/>
              </w:rPr>
            </w:pPr>
          </w:p>
        </w:tc>
        <w:tc>
          <w:tcPr>
            <w:tcW w:w="20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4,266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4,012</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82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360"/>
              <w:spacing w:after="0" w:line="149" w:lineRule="exact"/>
              <w:rPr>
                <w:sz w:val="20"/>
                <w:szCs w:val="20"/>
                <w:color w:val="auto"/>
              </w:rPr>
            </w:pPr>
            <w:r>
              <w:rPr>
                <w:rFonts w:ascii="Arial" w:cs="Arial" w:eastAsia="Arial" w:hAnsi="Arial"/>
                <w:sz w:val="14"/>
                <w:szCs w:val="14"/>
                <w:color w:val="auto"/>
              </w:rPr>
              <w:t>Gain from divestitures, asset impairments and unusual items, net</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9"/>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360"/>
              <w:spacing w:after="0" w:line="149" w:lineRule="exact"/>
              <w:rPr>
                <w:sz w:val="20"/>
                <w:szCs w:val="20"/>
                <w:color w:val="auto"/>
              </w:rPr>
            </w:pPr>
            <w:r>
              <w:rPr>
                <w:rFonts w:ascii="Arial" w:cs="Arial" w:eastAsia="Arial" w:hAnsi="Arial"/>
                <w:sz w:val="14"/>
                <w:szCs w:val="14"/>
                <w:color w:val="auto"/>
              </w:rPr>
              <w:t>Charges related to multiemployer pension plans</w:t>
            </w:r>
          </w:p>
        </w:tc>
        <w:tc>
          <w:tcPr>
            <w:tcW w:w="200" w:type="dxa"/>
            <w:vAlign w:val="bottom"/>
          </w:tcPr>
          <w:p>
            <w:pPr>
              <w:spacing w:after="0"/>
              <w:rPr>
                <w:sz w:val="12"/>
                <w:szCs w:val="12"/>
                <w:color w:val="auto"/>
              </w:rPr>
            </w:pP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20" w:type="dxa"/>
            <w:vAlign w:val="bottom"/>
          </w:tcPr>
          <w:p>
            <w:pPr>
              <w:ind w:left="360"/>
              <w:spacing w:after="0" w:line="145" w:lineRule="exact"/>
              <w:rPr>
                <w:sz w:val="20"/>
                <w:szCs w:val="20"/>
                <w:color w:val="auto"/>
              </w:rPr>
            </w:pPr>
            <w:r>
              <w:rPr>
                <w:rFonts w:ascii="Arial" w:cs="Arial" w:eastAsia="Arial" w:hAnsi="Arial"/>
                <w:sz w:val="14"/>
                <w:szCs w:val="14"/>
                <w:color w:val="auto"/>
              </w:rPr>
              <w:t>Restructuring</w:t>
            </w:r>
          </w:p>
        </w:tc>
        <w:tc>
          <w:tcPr>
            <w:tcW w:w="200" w:type="dxa"/>
            <w:vAlign w:val="bottom"/>
          </w:tcPr>
          <w:p>
            <w:pPr>
              <w:spacing w:after="0"/>
              <w:rPr>
                <w:sz w:val="12"/>
                <w:szCs w:val="12"/>
                <w:color w:val="auto"/>
              </w:rPr>
            </w:pPr>
          </w:p>
        </w:tc>
        <w:tc>
          <w:tcPr>
            <w:tcW w:w="10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Adjusted operating EBITDA (b)</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28.3%</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rPr>
              <w:t>27.7%</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4,216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4,006</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2019 Projected Free Cash Flow Reconciliation (c)</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820" w:type="dxa"/>
            <w:vAlign w:val="bottom"/>
            <w:vMerge w:val="restart"/>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Scenario 1</w:t>
            </w:r>
          </w:p>
        </w:tc>
        <w:tc>
          <w:tcPr>
            <w:tcW w:w="1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Scenario 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820" w:type="dxa"/>
            <w:vAlign w:val="bottom"/>
            <w:vMerge w:val="continue"/>
          </w:tcPr>
          <w:p>
            <w:pPr>
              <w:spacing w:after="0"/>
              <w:rPr>
                <w:sz w:val="10"/>
                <w:szCs w:val="10"/>
                <w:color w:val="auto"/>
              </w:rPr>
            </w:pPr>
          </w:p>
        </w:tc>
        <w:tc>
          <w:tcPr>
            <w:tcW w:w="200" w:type="dxa"/>
            <w:vAlign w:val="bottom"/>
            <w:tcBorders>
              <w:top w:val="single" w:sz="8" w:color="auto"/>
            </w:tcBorders>
          </w:tcPr>
          <w:p>
            <w:pPr>
              <w:jc w:val="right"/>
              <w:ind w:right="29"/>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3,625</w:t>
            </w:r>
          </w:p>
        </w:tc>
        <w:tc>
          <w:tcPr>
            <w:tcW w:w="160" w:type="dxa"/>
            <w:vAlign w:val="bottom"/>
          </w:tcPr>
          <w:p>
            <w:pPr>
              <w:spacing w:after="0"/>
              <w:rPr>
                <w:sz w:val="10"/>
                <w:szCs w:val="10"/>
                <w:color w:val="auto"/>
              </w:rPr>
            </w:pP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9"/>
              <w:spacing w:after="0" w:line="123" w:lineRule="exact"/>
              <w:rPr>
                <w:sz w:val="20"/>
                <w:szCs w:val="20"/>
                <w:color w:val="auto"/>
              </w:rPr>
            </w:pPr>
            <w:r>
              <w:rPr>
                <w:rFonts w:ascii="Arial" w:cs="Arial" w:eastAsia="Arial" w:hAnsi="Arial"/>
                <w:sz w:val="14"/>
                <w:szCs w:val="14"/>
                <w:color w:val="auto"/>
              </w:rPr>
              <w:t>3,725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360"/>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20" w:type="dxa"/>
            <w:vAlign w:val="bottom"/>
          </w:tcPr>
          <w:p>
            <w:pPr>
              <w:ind w:left="360"/>
              <w:spacing w:after="0" w:line="145" w:lineRule="exact"/>
              <w:rPr>
                <w:sz w:val="20"/>
                <w:szCs w:val="20"/>
                <w:color w:val="auto"/>
              </w:rPr>
            </w:pPr>
            <w:r>
              <w:rPr>
                <w:rFonts w:ascii="Arial" w:cs="Arial" w:eastAsia="Arial" w:hAnsi="Arial"/>
                <w:sz w:val="14"/>
                <w:szCs w:val="14"/>
                <w:color w:val="auto"/>
              </w:rPr>
              <w:t>Proceeds from divestitures of businesses and other assets (net of cash divested)</w:t>
            </w:r>
          </w:p>
        </w:tc>
        <w:tc>
          <w:tcPr>
            <w:tcW w:w="200" w:type="dxa"/>
            <w:vAlign w:val="bottom"/>
          </w:tcPr>
          <w:p>
            <w:pPr>
              <w:spacing w:after="0"/>
              <w:rPr>
                <w:sz w:val="12"/>
                <w:szCs w:val="12"/>
                <w:color w:val="auto"/>
              </w:rPr>
            </w:pPr>
          </w:p>
        </w:tc>
        <w:tc>
          <w:tcPr>
            <w:tcW w:w="1020" w:type="dxa"/>
            <w:vAlign w:val="bottom"/>
          </w:tcPr>
          <w:p>
            <w:pPr>
              <w:jc w:val="right"/>
              <w:ind w:right="68"/>
              <w:spacing w:after="0" w:line="145"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9"/>
              <w:spacing w:after="0" w:line="145"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Free cash flow</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2,075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Fourth quarter 2018 adjusted operating EBITDA as a percent of revenue improved 50 basis points as compared with fourth quarter 2017 adjusted operating EBITDA as a percent of revenue.</w:t>
      </w:r>
    </w:p>
    <w:p>
      <w:pPr>
        <w:spacing w:after="0" w:line="11" w:lineRule="exact"/>
        <w:rPr>
          <w:rFonts w:ascii="Arial" w:cs="Arial" w:eastAsia="Arial" w:hAnsi="Arial"/>
          <w:sz w:val="13"/>
          <w:szCs w:val="13"/>
          <w:b w:val="1"/>
          <w:bCs w:val="1"/>
          <w:color w:val="auto"/>
        </w:rPr>
      </w:pPr>
    </w:p>
    <w:p>
      <w:pPr>
        <w:ind w:left="500" w:hanging="492"/>
        <w:spacing w:after="0" w:line="221" w:lineRule="auto"/>
        <w:tabs>
          <w:tab w:leader="none" w:pos="50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Full year 2018 adjusted operating EBITDA as a percent of revenue improved 60 basis points as compared with 2017 adjusted operating EBITDA as a percent of revenue.</w:t>
      </w:r>
    </w:p>
    <w:p>
      <w:pPr>
        <w:ind w:left="500" w:hanging="492"/>
        <w:spacing w:after="0" w:line="237" w:lineRule="auto"/>
        <w:tabs>
          <w:tab w:leader="none" w:pos="50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The reconciliation includes two scenarios that illustrate our projected free cash flow range for 2019.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2019-12-28T16:26:43Z</dcterms:created>
  <dcterms:modified xsi:type="dcterms:W3CDTF">2019-12-28T16:26:43Z</dcterms:modified>
</cp:coreProperties>
</file>