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ind w:left="0" w:right="0" w:hanging="0"/>
        <w:rPr>
          <w:bdr w:val="single" w:sz="16" w:space="1" w:color="000000"/>
        </w:rPr>
      </w:pPr>
      <w:bookmarkStart w:id="0" w:name="tm2315236d1_8k.htm"/>
      <w:bookmarkStart w:id="1" w:name="kstm2315236d1_8k"/>
      <w:bookmarkEnd w:id="0"/>
      <w:bookmarkEnd w:id="1"/>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F_edei--DocumentType_c20230509__20"/>
      <w:bookmarkEnd w:id="2"/>
      <w:r>
        <w:rPr>
          <w:rFonts w:ascii="Times New Roman;Times;Serif" w:hAnsi="Times New Roman;Times;Serif"/>
          <w:b/>
          <w:i w:val="false"/>
          <w:caps w:val="false"/>
          <w:smallCaps w:val="false"/>
          <w:sz w:val="36"/>
        </w:rPr>
        <w:t>8-K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 the Securities Exchange Act of 1934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May 9,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48"/>
        </w:rPr>
      </w:pPr>
      <w:bookmarkStart w:id="4" w:name="xdx_90B_edei--EntityRegistrantName_c2023"/>
      <w:bookmarkEnd w:id="4"/>
      <w:r>
        <w:rPr>
          <w:rFonts w:ascii="Times New Roman;Times;Serif" w:hAnsi="Times New Roman;Times;Serif"/>
          <w:b/>
          <w:i w:val="false"/>
          <w:caps w:val="false"/>
          <w:smallCaps w:val="false"/>
          <w:sz w:val="48"/>
        </w:rPr>
        <w:t>Waste Management, Inc.</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Charter)</w:t>
      </w:r>
    </w:p>
    <w:p>
      <w:pPr>
        <w:pStyle w:val="TextBody"/>
        <w:spacing w:before="0" w:after="0"/>
        <w:ind w:left="0" w:right="0" w:hanging="0"/>
        <w:rPr>
          <w:caps w:val="false"/>
          <w:smallCaps w:val="false"/>
        </w:rPr>
      </w:pPr>
      <w:r>
        <w:rPr>
          <w:caps w:val="false"/>
          <w:smallCaps w:val="false"/>
        </w:rPr>
        <w:t> </w:t>
      </w:r>
    </w:p>
    <w:tbl>
      <w:tblPr>
        <w:tblW w:w="6045" w:type="dxa"/>
        <w:jc w:val="left"/>
        <w:tblInd w:w="0" w:type="dxa"/>
        <w:tblCellMar>
          <w:top w:w="0" w:type="dxa"/>
          <w:left w:w="0" w:type="dxa"/>
          <w:bottom w:w="0" w:type="dxa"/>
          <w:right w:w="0" w:type="dxa"/>
        </w:tblCellMar>
      </w:tblPr>
      <w:tblGrid>
        <w:gridCol w:w="2195"/>
        <w:gridCol w:w="60"/>
        <w:gridCol w:w="2210"/>
        <w:gridCol w:w="60"/>
        <w:gridCol w:w="1520"/>
      </w:tblGrid>
      <w:tr>
        <w:trPr/>
        <w:tc>
          <w:tcPr>
            <w:tcW w:w="2195" w:type="dxa"/>
            <w:tcBorders/>
            <w:shd w:fill="auto" w:val="clear"/>
            <w:vAlign w:val="center"/>
          </w:tcPr>
          <w:p>
            <w:pPr>
              <w:pStyle w:val="TableContents"/>
              <w:spacing w:before="0" w:after="283"/>
              <w:jc w:val="center"/>
              <w:rPr>
                <w:b/>
              </w:rPr>
            </w:pPr>
            <w:bookmarkStart w:id="5" w:name="xdx_902_edei--EntityIncorporationStateCo"/>
            <w:bookmarkEnd w:id="5"/>
            <w:r>
              <w:rPr>
                <w:b/>
              </w:rPr>
              <w:t>Delaware</w:t>
            </w:r>
          </w:p>
        </w:tc>
        <w:tc>
          <w:tcPr>
            <w:tcW w:w="60" w:type="dxa"/>
            <w:tcBorders/>
            <w:shd w:fill="auto" w:val="clear"/>
            <w:vAlign w:val="center"/>
          </w:tcPr>
          <w:p>
            <w:pPr>
              <w:pStyle w:val="TableContents"/>
              <w:spacing w:before="0" w:after="283"/>
              <w:rPr/>
            </w:pPr>
            <w:r>
              <w:rPr/>
              <w:t> </w:t>
            </w:r>
          </w:p>
        </w:tc>
        <w:tc>
          <w:tcPr>
            <w:tcW w:w="2210" w:type="dxa"/>
            <w:tcBorders/>
            <w:shd w:fill="auto" w:val="clear"/>
            <w:vAlign w:val="center"/>
          </w:tcPr>
          <w:p>
            <w:pPr>
              <w:pStyle w:val="TableContents"/>
              <w:spacing w:before="0" w:after="283"/>
              <w:jc w:val="center"/>
              <w:rPr>
                <w:rFonts w:ascii="Times New Roman;Times;Serif" w:hAnsi="Times New Roman;Times;Serif"/>
                <w:b/>
                <w:sz w:val="20"/>
              </w:rPr>
            </w:pPr>
            <w:bookmarkStart w:id="6" w:name="xdx_90C_edei--EntityFileNumber_c20230509"/>
            <w:bookmarkEnd w:id="6"/>
            <w:r>
              <w:rPr>
                <w:rFonts w:ascii="Times New Roman;Times;Serif" w:hAnsi="Times New Roman;Times;Serif"/>
                <w:b/>
                <w:sz w:val="20"/>
              </w:rPr>
              <w:t>1-12154</w:t>
            </w:r>
          </w:p>
        </w:tc>
        <w:tc>
          <w:tcPr>
            <w:tcW w:w="60" w:type="dxa"/>
            <w:tcBorders/>
            <w:shd w:fill="auto" w:val="clear"/>
            <w:vAlign w:val="center"/>
          </w:tcPr>
          <w:p>
            <w:pPr>
              <w:pStyle w:val="TableContents"/>
              <w:spacing w:before="0" w:after="283"/>
              <w:rPr/>
            </w:pPr>
            <w:r>
              <w:rPr/>
              <w:t> </w:t>
            </w:r>
          </w:p>
        </w:tc>
        <w:tc>
          <w:tcPr>
            <w:tcW w:w="1520" w:type="dxa"/>
            <w:tcBorders/>
            <w:shd w:fill="auto" w:val="clear"/>
            <w:vAlign w:val="center"/>
          </w:tcPr>
          <w:p>
            <w:pPr>
              <w:pStyle w:val="TableContents"/>
              <w:spacing w:before="0" w:after="283"/>
              <w:jc w:val="center"/>
              <w:rPr>
                <w:rFonts w:ascii="Times New Roman;Times;Serif" w:hAnsi="Times New Roman;Times;Serif"/>
                <w:b/>
                <w:sz w:val="20"/>
              </w:rPr>
            </w:pPr>
            <w:bookmarkStart w:id="7" w:name="xdx_90B_edei--EntityTaxIdentificationNum"/>
            <w:bookmarkEnd w:id="7"/>
            <w:r>
              <w:rPr>
                <w:rFonts w:ascii="Times New Roman;Times;Serif" w:hAnsi="Times New Roman;Times;Serif"/>
                <w:b/>
                <w:sz w:val="20"/>
              </w:rPr>
              <w:t>73-1309529</w:t>
            </w:r>
          </w:p>
        </w:tc>
      </w:tr>
      <w:tr>
        <w:trPr/>
        <w:tc>
          <w:tcPr>
            <w:tcW w:w="2195"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shd w:fill="auto" w:val="clear"/>
            <w:vAlign w:val="center"/>
          </w:tcPr>
          <w:p>
            <w:pPr>
              <w:pStyle w:val="TableContents"/>
              <w:spacing w:before="0" w:after="283"/>
              <w:rPr/>
            </w:pPr>
            <w:r>
              <w:rPr/>
              <w:t> </w:t>
            </w:r>
          </w:p>
        </w:tc>
        <w:tc>
          <w:tcPr>
            <w:tcW w:w="221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shd w:fill="auto" w:val="clear"/>
            <w:vAlign w:val="center"/>
          </w:tcPr>
          <w:p>
            <w:pPr>
              <w:pStyle w:val="TableContents"/>
              <w:spacing w:before="0" w:after="283"/>
              <w:rPr/>
            </w:pPr>
            <w:r>
              <w:rPr/>
              <w:t> </w:t>
            </w:r>
          </w:p>
        </w:tc>
        <w:tc>
          <w:tcPr>
            <w:tcW w:w="152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spacing w:before="0" w:after="0"/>
        <w:ind w:left="0" w:right="0" w:hanging="0"/>
        <w:rPr>
          <w:caps w:val="false"/>
          <w:smallCaps w:val="false"/>
        </w:rPr>
      </w:pPr>
      <w:r>
        <w:rPr>
          <w:caps w:val="false"/>
          <w:smallCaps w:val="false"/>
        </w:rPr>
        <w:t> </w:t>
      </w:r>
    </w:p>
    <w:tbl>
      <w:tblPr>
        <w:tblW w:w="4885" w:type="dxa"/>
        <w:jc w:val="left"/>
        <w:tblInd w:w="0" w:type="dxa"/>
        <w:tblCellMar>
          <w:top w:w="0" w:type="dxa"/>
          <w:left w:w="0" w:type="dxa"/>
          <w:bottom w:w="0" w:type="dxa"/>
          <w:right w:w="0" w:type="dxa"/>
        </w:tblCellMar>
      </w:tblPr>
      <w:tblGrid>
        <w:gridCol w:w="3920"/>
        <w:gridCol w:w="60"/>
        <w:gridCol w:w="905"/>
      </w:tblGrid>
      <w:tr>
        <w:trPr/>
        <w:tc>
          <w:tcPr>
            <w:tcW w:w="3920" w:type="dxa"/>
            <w:tcBorders/>
            <w:shd w:fill="auto" w:val="clear"/>
            <w:vAlign w:val="center"/>
          </w:tcPr>
          <w:p>
            <w:pPr>
              <w:pStyle w:val="TableContents"/>
              <w:spacing w:before="0" w:after="283"/>
              <w:jc w:val="center"/>
              <w:rPr/>
            </w:pPr>
            <w:bookmarkStart w:id="8" w:name="xdx_904_edei--EntityAddressAddressLine1_"/>
            <w:bookmarkEnd w:id="8"/>
            <w:r>
              <w:rPr>
                <w:rFonts w:ascii="Times New Roman;Times;Serif" w:hAnsi="Times New Roman;Times;Serif"/>
                <w:b/>
                <w:sz w:val="20"/>
              </w:rPr>
              <w:t xml:space="preserve">800 Capitol Street, </w:t>
            </w:r>
            <w:bookmarkStart w:id="9" w:name="xdx_905_edei--EntityAddressAddressLine2_"/>
            <w:bookmarkEnd w:id="9"/>
            <w:r>
              <w:rPr>
                <w:rFonts w:ascii="Times New Roman;Times;Serif" w:hAnsi="Times New Roman;Times;Serif"/>
                <w:b/>
                <w:sz w:val="20"/>
              </w:rPr>
              <w:t xml:space="preserve">Suite 3000, </w:t>
            </w:r>
            <w:bookmarkStart w:id="10" w:name="xdx_903_edei--EntityAddressCityOrTown_c2"/>
            <w:bookmarkEnd w:id="10"/>
            <w:r>
              <w:rPr>
                <w:rFonts w:ascii="Times New Roman;Times;Serif" w:hAnsi="Times New Roman;Times;Serif"/>
                <w:b/>
                <w:sz w:val="20"/>
              </w:rPr>
              <w:t xml:space="preserve">Houston, </w:t>
            </w:r>
            <w:bookmarkStart w:id="11" w:name="xdx_904_edei--EntityAddressStateOrProvin"/>
            <w:bookmarkEnd w:id="11"/>
            <w:r>
              <w:rPr>
                <w:rFonts w:ascii="Times New Roman;Times;Serif" w:hAnsi="Times New Roman;Times;Serif"/>
                <w:b/>
                <w:sz w:val="20"/>
              </w:rPr>
              <w:t>Texas</w:t>
            </w:r>
          </w:p>
        </w:tc>
        <w:tc>
          <w:tcPr>
            <w:tcW w:w="60" w:type="dxa"/>
            <w:tcBorders/>
            <w:shd w:fill="auto" w:val="clear"/>
            <w:vAlign w:val="center"/>
          </w:tcPr>
          <w:p>
            <w:pPr>
              <w:pStyle w:val="TableContents"/>
              <w:spacing w:before="0" w:after="283"/>
              <w:rPr/>
            </w:pPr>
            <w:r>
              <w:rPr/>
              <w:t> </w:t>
            </w:r>
          </w:p>
        </w:tc>
        <w:tc>
          <w:tcPr>
            <w:tcW w:w="905" w:type="dxa"/>
            <w:tcBorders/>
            <w:shd w:fill="auto" w:val="clear"/>
            <w:vAlign w:val="center"/>
          </w:tcPr>
          <w:p>
            <w:pPr>
              <w:pStyle w:val="TableContents"/>
              <w:spacing w:before="0" w:after="283"/>
              <w:jc w:val="center"/>
              <w:rPr>
                <w:rFonts w:ascii="Times New Roman;Times;Serif" w:hAnsi="Times New Roman;Times;Serif"/>
                <w:b/>
                <w:sz w:val="20"/>
              </w:rPr>
            </w:pPr>
            <w:bookmarkStart w:id="12" w:name="xdx_903_edei--EntityAddressPostalZipCode"/>
            <w:bookmarkEnd w:id="12"/>
            <w:r>
              <w:rPr>
                <w:rFonts w:ascii="Times New Roman;Times;Serif" w:hAnsi="Times New Roman;Times;Serif"/>
                <w:b/>
                <w:sz w:val="20"/>
              </w:rPr>
              <w:t>77002</w:t>
            </w:r>
          </w:p>
        </w:tc>
      </w:tr>
      <w:tr>
        <w:trPr/>
        <w:tc>
          <w:tcPr>
            <w:tcW w:w="392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shd w:fill="auto" w:val="clear"/>
            <w:vAlign w:val="center"/>
          </w:tcPr>
          <w:p>
            <w:pPr>
              <w:pStyle w:val="TableContents"/>
              <w:spacing w:before="0" w:after="283"/>
              <w:rPr/>
            </w:pPr>
            <w:r>
              <w:rPr/>
              <w:t> </w:t>
            </w:r>
          </w:p>
        </w:tc>
        <w:tc>
          <w:tcPr>
            <w:tcW w:w="905"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D_edei--CityAreaCode_c20230509__20"/>
      <w:bookmarkEnd w:id="13"/>
      <w:r>
        <w:rPr>
          <w:rFonts w:ascii="Times New Roman;Times;Serif" w:hAnsi="Times New Roman;Times;Serif"/>
          <w:b/>
          <w:i w:val="false"/>
          <w:caps w:val="false"/>
          <w:smallCaps w:val="false"/>
          <w:sz w:val="20"/>
        </w:rPr>
        <w:t xml:space="preserve">713) </w:t>
      </w:r>
      <w:bookmarkStart w:id="14" w:name="xdx_909_edei--LocalPhoneNumber_c20230509"/>
      <w:bookmarkEnd w:id="14"/>
      <w:r>
        <w:rPr>
          <w:rFonts w:ascii="Times New Roman;Times;Serif" w:hAnsi="Times New Roman;Times;Serif"/>
          <w:b/>
          <w:i w:val="false"/>
          <w:caps w:val="false"/>
          <w:smallCaps w:val="false"/>
          <w:sz w:val="20"/>
        </w:rPr>
        <w:t>512-6200</w:t>
      </w:r>
    </w:p>
    <w:p>
      <w:pPr>
        <w:pStyle w:val="TextBody"/>
        <w:spacing w:before="0" w:after="0"/>
        <w:ind w:left="0" w:right="0" w:hanging="0"/>
        <w:rPr>
          <w:caps w:val="false"/>
          <w:smallCaps w:val="false"/>
        </w:rPr>
      </w:pPr>
      <w:r>
        <w:rPr>
          <w:caps w:val="false"/>
          <w:smallCaps w:val="false"/>
        </w:rPr>
        <w:t> </w:t>
      </w:r>
    </w:p>
    <w:p>
      <w:pPr>
        <w:pStyle w:val="TextBody"/>
        <w:spacing w:before="60" w:after="60"/>
        <w:ind w:left="60" w:right="60" w:hanging="0"/>
        <w:rPr>
          <w:bdr w:val="single" w:sz="8" w:space="1" w:color="000000"/>
        </w:rPr>
      </w:pPr>
      <w:r>
        <w:rPr>
          <w:bdr w:val="single" w:sz="8" w:space="1" w:color="000000"/>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bookmarkStart w:id="15" w:name="xdx_90A_edei--WrittenCommunications_c202"/>
      <w:bookmarkEnd w:id="15"/>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spacing w:before="0" w:after="0"/>
        <w:ind w:left="0" w:right="0" w:hanging="0"/>
        <w:jc w:val="both"/>
        <w:rPr>
          <w:caps w:val="false"/>
          <w:smallCaps w:val="false"/>
        </w:rPr>
      </w:pPr>
      <w:bookmarkStart w:id="16" w:name="xdx_901_edei--SolicitingMaterial_c202305"/>
      <w:bookmarkEnd w:id="16"/>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spacing w:before="0" w:after="0"/>
        <w:ind w:left="0" w:right="0" w:hanging="0"/>
        <w:jc w:val="both"/>
        <w:rPr>
          <w:caps w:val="false"/>
          <w:smallCaps w:val="false"/>
        </w:rPr>
      </w:pPr>
      <w:bookmarkStart w:id="17" w:name="xdx_901_edei--PreCommencementTenderOffer"/>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spacing w:before="0" w:after="0"/>
        <w:ind w:left="0" w:right="0" w:hanging="0"/>
        <w:jc w:val="both"/>
        <w:rPr>
          <w:caps w:val="false"/>
          <w:smallCaps w:val="false"/>
        </w:rPr>
      </w:pPr>
      <w:bookmarkStart w:id="18" w:name="xdx_903_edei--PreCommencementIssuerTende"/>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pacing w:before="0" w:after="0"/>
        <w:ind w:left="0" w:right="0" w:hanging="0"/>
        <w:rPr>
          <w:caps w:val="false"/>
          <w:smallCaps w:val="false"/>
        </w:rPr>
      </w:pPr>
      <w:r>
        <w:rPr>
          <w:caps w:val="false"/>
          <w:smallCaps w:val="false"/>
        </w:rPr>
        <w:t> </w:t>
      </w:r>
    </w:p>
    <w:tbl>
      <w:tblPr>
        <w:tblW w:w="7860" w:type="dxa"/>
        <w:jc w:val="left"/>
        <w:tblInd w:w="0" w:type="dxa"/>
        <w:tblCellMar>
          <w:top w:w="28" w:type="dxa"/>
          <w:left w:w="0" w:type="dxa"/>
          <w:bottom w:w="0" w:type="dxa"/>
          <w:right w:w="0" w:type="dxa"/>
        </w:tblCellMar>
      </w:tblPr>
      <w:tblGrid>
        <w:gridCol w:w="2630"/>
        <w:gridCol w:w="60"/>
        <w:gridCol w:w="1535"/>
        <w:gridCol w:w="60"/>
        <w:gridCol w:w="3575"/>
      </w:tblGrid>
      <w:tr>
        <w:trPr/>
        <w:tc>
          <w:tcPr>
            <w:tcW w:w="2630" w:type="dxa"/>
            <w:tcBorders>
              <w:top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Title of each class</w:t>
            </w:r>
          </w:p>
        </w:tc>
        <w:tc>
          <w:tcPr>
            <w:tcW w:w="60" w:type="dxa"/>
            <w:tcBorders>
              <w:top w:val="single" w:sz="8" w:space="0" w:color="000000"/>
              <w:bottom w:val="single" w:sz="8" w:space="0" w:color="000000"/>
            </w:tcBorders>
            <w:shd w:fill="auto" w:val="clear"/>
            <w:tcMar>
              <w:bottom w:w="28" w:type="dxa"/>
            </w:tcMar>
            <w:vAlign w:val="center"/>
          </w:tcPr>
          <w:p>
            <w:pPr>
              <w:pStyle w:val="TableContents"/>
              <w:spacing w:before="0" w:after="283"/>
              <w:jc w:val="center"/>
              <w:rPr/>
            </w:pPr>
            <w:r>
              <w:rPr/>
              <w:t> </w:t>
            </w:r>
          </w:p>
        </w:tc>
        <w:tc>
          <w:tcPr>
            <w:tcW w:w="1535" w:type="dxa"/>
            <w:tcBorders>
              <w:top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Trading Symbol(s)</w:t>
            </w:r>
          </w:p>
        </w:tc>
        <w:tc>
          <w:tcPr>
            <w:tcW w:w="60" w:type="dxa"/>
            <w:tcBorders>
              <w:top w:val="single" w:sz="8" w:space="0" w:color="000000"/>
              <w:bottom w:val="single" w:sz="8" w:space="0" w:color="000000"/>
            </w:tcBorders>
            <w:shd w:fill="auto" w:val="clear"/>
            <w:tcMar>
              <w:bottom w:w="28" w:type="dxa"/>
            </w:tcMar>
            <w:vAlign w:val="center"/>
          </w:tcPr>
          <w:p>
            <w:pPr>
              <w:pStyle w:val="TableContents"/>
              <w:spacing w:before="0" w:after="283"/>
              <w:jc w:val="center"/>
              <w:rPr/>
            </w:pPr>
            <w:r>
              <w:rPr/>
              <w:t> </w:t>
            </w:r>
          </w:p>
        </w:tc>
        <w:tc>
          <w:tcPr>
            <w:tcW w:w="3575" w:type="dxa"/>
            <w:tcBorders>
              <w:top w:val="single" w:sz="8" w:space="0" w:color="000000"/>
              <w:right w:val="single" w:sz="8" w:space="0" w:color="000000"/>
            </w:tcBorders>
            <w:shd w:fill="auto" w:val="clear"/>
            <w:tcMar>
              <w:right w:w="60" w:type="dxa"/>
            </w:tcM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630" w:type="dxa"/>
            <w:tcBorders>
              <w:left w:val="single" w:sz="8" w:space="0" w:color="000000"/>
              <w:bottom w:val="single" w:sz="8" w:space="0" w:color="000000"/>
            </w:tcBorders>
            <w:shd w:fill="auto" w:val="clear"/>
            <w:tcMar>
              <w:top w:w="0" w:type="dxa"/>
              <w:left w:w="120" w:type="dxa"/>
              <w:bottom w:w="160" w:type="dxa"/>
            </w:tcMar>
            <w:vAlign w:val="center"/>
          </w:tcPr>
          <w:p>
            <w:pPr>
              <w:pStyle w:val="TableContents"/>
              <w:spacing w:before="0" w:after="283"/>
              <w:rPr>
                <w:rFonts w:ascii="Times New Roman;Times;Serif" w:hAnsi="Times New Roman;Times;Serif"/>
                <w:sz w:val="20"/>
              </w:rPr>
            </w:pPr>
            <w:bookmarkStart w:id="19" w:name="xdx_903_edei--Security12bTitle_c20230509"/>
            <w:bookmarkEnd w:id="19"/>
            <w:r>
              <w:rPr>
                <w:rFonts w:ascii="Times New Roman;Times;Serif" w:hAnsi="Times New Roman;Times;Serif"/>
                <w:sz w:val="20"/>
              </w:rPr>
              <w:t>Common Stock, $0.01 par value</w:t>
            </w:r>
          </w:p>
        </w:tc>
        <w:tc>
          <w:tcPr>
            <w:tcW w:w="60" w:type="dxa"/>
            <w:tcBorders>
              <w:bottom w:val="single" w:sz="8" w:space="0" w:color="000000"/>
            </w:tcBorders>
            <w:shd w:fill="auto" w:val="clear"/>
            <w:tcMar>
              <w:top w:w="0" w:type="dxa"/>
              <w:bottom w:w="160" w:type="dxa"/>
            </w:tcMar>
            <w:vAlign w:val="center"/>
          </w:tcPr>
          <w:p>
            <w:pPr>
              <w:pStyle w:val="TableContents"/>
              <w:spacing w:before="0" w:after="283"/>
              <w:rPr/>
            </w:pPr>
            <w:r>
              <w:rPr/>
              <w:t> </w:t>
            </w:r>
          </w:p>
        </w:tc>
        <w:tc>
          <w:tcPr>
            <w:tcW w:w="1535" w:type="dxa"/>
            <w:tcBorders>
              <w:left w:val="single" w:sz="8" w:space="0" w:color="000000"/>
              <w:bottom w:val="single" w:sz="8" w:space="0" w:color="000000"/>
            </w:tcBorders>
            <w:shd w:fill="auto" w:val="clear"/>
            <w:tcMar>
              <w:top w:w="0" w:type="dxa"/>
              <w:left w:w="120" w:type="dxa"/>
              <w:bottom w:w="160" w:type="dxa"/>
            </w:tcMar>
            <w:vAlign w:val="center"/>
          </w:tcPr>
          <w:p>
            <w:pPr>
              <w:pStyle w:val="TableContents"/>
              <w:spacing w:before="0" w:after="283"/>
              <w:rPr>
                <w:rFonts w:ascii="Times New Roman;Times;Serif" w:hAnsi="Times New Roman;Times;Serif"/>
                <w:sz w:val="20"/>
              </w:rPr>
            </w:pPr>
            <w:bookmarkStart w:id="20" w:name="xdx_90B_edei--TradingSymbol_c20230509__2"/>
            <w:bookmarkEnd w:id="20"/>
            <w:r>
              <w:rPr>
                <w:rFonts w:ascii="Times New Roman;Times;Serif" w:hAnsi="Times New Roman;Times;Serif"/>
                <w:sz w:val="20"/>
              </w:rPr>
              <w:t>WM</w:t>
            </w:r>
          </w:p>
        </w:tc>
        <w:tc>
          <w:tcPr>
            <w:tcW w:w="60" w:type="dxa"/>
            <w:tcBorders>
              <w:bottom w:val="single" w:sz="8" w:space="0" w:color="000000"/>
            </w:tcBorders>
            <w:shd w:fill="auto" w:val="clear"/>
            <w:tcMar>
              <w:top w:w="0" w:type="dxa"/>
              <w:bottom w:w="160" w:type="dxa"/>
            </w:tcMar>
            <w:vAlign w:val="center"/>
          </w:tcPr>
          <w:p>
            <w:pPr>
              <w:pStyle w:val="TableContents"/>
              <w:spacing w:before="0" w:after="283"/>
              <w:rPr/>
            </w:pPr>
            <w:r>
              <w:rPr/>
              <w:t> </w:t>
            </w:r>
          </w:p>
        </w:tc>
        <w:tc>
          <w:tcPr>
            <w:tcW w:w="3575" w:type="dxa"/>
            <w:tcBorders>
              <w:left w:val="single" w:sz="8" w:space="0" w:color="000000"/>
              <w:bottom w:val="single" w:sz="8" w:space="0" w:color="000000"/>
              <w:right w:val="single" w:sz="8" w:space="0" w:color="000000"/>
            </w:tcBorders>
            <w:shd w:fill="auto" w:val="clear"/>
            <w:tcMar>
              <w:top w:w="0" w:type="dxa"/>
              <w:left w:w="120" w:type="dxa"/>
              <w:bottom w:w="160" w:type="dxa"/>
              <w:right w:w="60" w:type="dxa"/>
            </w:tcMar>
            <w:vAlign w:val="center"/>
          </w:tcPr>
          <w:p>
            <w:pPr>
              <w:pStyle w:val="TableContents"/>
              <w:spacing w:before="0" w:after="283"/>
              <w:rPr>
                <w:rFonts w:ascii="Times New Roman;Times;Serif" w:hAnsi="Times New Roman;Times;Serif"/>
                <w:sz w:val="20"/>
              </w:rPr>
            </w:pPr>
            <w:bookmarkStart w:id="21" w:name="xdx_90E_edei--SecurityExchangeName_c2023"/>
            <w:bookmarkEnd w:id="21"/>
            <w:r>
              <w:rPr>
                <w:rFonts w:ascii="Times New Roman;Times;Serif" w:hAnsi="Times New Roman;Times;Serif"/>
                <w:sz w:val="20"/>
              </w:rPr>
              <w:t>New York Stock Exchange</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sz w:val="20"/>
        </w:rPr>
      </w:pPr>
      <w:r>
        <w:rPr>
          <w:rFonts w:ascii="Times New Roman;Times;Serif" w:hAnsi="Times New Roman;Times;Serif"/>
          <w:sz w:val="20"/>
        </w:rPr>
        <w:t xml:space="preserve">Emerging growth company </w:t>
      </w:r>
      <w:bookmarkStart w:id="22" w:name="xdx_90B_edei--EntityEmergingGrowthCompan"/>
      <w:bookmarkEnd w:id="22"/>
      <w:r>
        <w:rPr>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sz w:val="20"/>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spacing w:before="0" w:after="0"/>
        <w:ind w:left="0" w:right="0" w:hanging="0"/>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hd w:fill="FFFFFF" w:val="clear"/>
        <w:spacing w:before="0" w:after="0"/>
        <w:ind w:left="0" w:right="0" w:hanging="0"/>
        <w:jc w:val="left"/>
        <w:rPr>
          <w:caps w:val="false"/>
          <w:smallCaps w:val="false"/>
        </w:rPr>
      </w:pPr>
      <w:r>
        <w:rPr>
          <w:caps w:val="false"/>
          <w:smallCaps w:val="false"/>
        </w:rPr>
        <w:t> </w:t>
      </w:r>
    </w:p>
    <w:p>
      <w:pPr>
        <w:pStyle w:val="TextBody"/>
        <w:spacing w:before="0" w:after="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5.02.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Departure of Directors or Certain Officers; Election of Directors; Appointment of Certain Officers; Compensatory Arrangements of Certain Officers.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Annual Meeting of Stockholders of Waste Management, Inc. (the “Company”) held on May 9, 2023 (the “Annual Meeting”), the Company’s stockholders approved the 2023 Stock Incentive Plan (“2023 Plan”). The 2023 Plan had been previously approved by the Company’s Board of Directors, subject to stockholder approval. The Company did not approve any additional shares of the Company’s common stock for issuance under the 2023 Plan; instead, 15,160,725 shares that were previously approved by the Company’s stockholders for issuance under the Company’s 2014 Stock Incentive Plan (“2014 Plan”) and remained available for issuance, as of May 9, 2023, shall be reserved for issuance pursuant to awards under the 2023 Plan. Additionally, any shares of the Company’s common stock that were subject to outstanding awards under the 2014 Plan, as of May 9, 2023, that subsequently cease to be subject to such awards as a result of the forfeiture, cancellation or termination of such awards will become available for issuance under the 2023 Plan. The 2023 Plan authorizes the following types of awards to be made to employees, including executive officers, of the Company or its affiliates and non-employee directors: incentive stock options; options that do not constitute incentive stock options; restricted stock awards; restricted stock unit awards; phantom stock awards; bonus stock awards; cash awards; and other stock-based awards.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pPr>
      <w:r>
        <w:rPr>
          <w:rFonts w:ascii="Times New Roman;Times;Serif" w:hAnsi="Times New Roman;Times;Serif"/>
          <w:b w:val="false"/>
          <w:i w:val="false"/>
          <w:caps w:val="false"/>
          <w:smallCaps w:val="false"/>
          <w:sz w:val="20"/>
        </w:rPr>
        <w:t xml:space="preserve">A description of the material terms of the 2023 Plan is set forth under the heading “Approval of 2023 Stock Incentive Plan (Item 5 on the Proxy Card)” in the Company’s </w:t>
      </w:r>
      <w:hyperlink r:id="rId2">
        <w:r>
          <w:rPr>
            <w:rStyle w:val="InternetLink"/>
            <w:rFonts w:ascii="Times New Roman;Times;Serif" w:hAnsi="Times New Roman;Times;Serif"/>
            <w:b w:val="false"/>
            <w:i w:val="false"/>
            <w:caps w:val="false"/>
            <w:smallCaps w:val="false"/>
            <w:sz w:val="20"/>
          </w:rPr>
          <w:t>definitive proxy statement on Schedule 14A</w:t>
        </w:r>
      </w:hyperlink>
      <w:r>
        <w:rPr>
          <w:rFonts w:ascii="Times New Roman;Times;Serif" w:hAnsi="Times New Roman;Times;Serif"/>
          <w:b w:val="false"/>
          <w:i w:val="false"/>
          <w:caps w:val="false"/>
          <w:smallCaps w:val="false"/>
          <w:sz w:val="20"/>
        </w:rPr>
        <w:t xml:space="preserve"> for the Annual Meeting filed with the Securities and Exchange Commission on March 28, 2023 and is incorporated herein by reference. The foregoing is qualified by reference to the full text of the 2023 Plan, which is filed as Exhibit 10.1 to this Current Report on Form 8-K and is also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5.07.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Submission of Matters to a Vote of Security 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Annual Meeting, a total of 351,338,360 shares of the Company’s common stock, out of a total of 406,767,204 shares of common stock outstanding and entitled to vote, were present in person or represented by proxies. The items set forth below were voted on by the Company’s stockholders. Each of the director nominees listed under item 1 were elected, and the Company’s stockholders approved the proposals in each of items 2, 3 and 5. With respect to item 4, the stockholders recommended that future non-binding advisory votes on executive compensation be conducted annually. Final vote results are as follows:</w:t>
      </w:r>
    </w:p>
    <w:p>
      <w:pPr>
        <w:pStyle w:val="TextBody"/>
        <w:spacing w:before="0" w:after="0"/>
        <w:ind w:left="0" w:right="0" w:hanging="0"/>
        <w:rPr>
          <w:caps w:val="false"/>
          <w:smallCaps w:val="false"/>
        </w:rPr>
      </w:pPr>
      <w:r>
        <w:rPr>
          <w:caps w:val="false"/>
          <w:smallCaps w:val="false"/>
        </w:rPr>
        <w:t> </w:t>
      </w:r>
    </w:p>
    <w:tbl>
      <w:tblPr>
        <w:tblW w:w="8463" w:type="dxa"/>
        <w:jc w:val="left"/>
        <w:tblInd w:w="0" w:type="dxa"/>
        <w:tblCellMar>
          <w:top w:w="0" w:type="dxa"/>
          <w:left w:w="0" w:type="dxa"/>
          <w:bottom w:w="0" w:type="dxa"/>
          <w:right w:w="0" w:type="dxa"/>
        </w:tblCellMar>
      </w:tblPr>
      <w:tblGrid>
        <w:gridCol w:w="38"/>
        <w:gridCol w:w="200"/>
        <w:gridCol w:w="8225"/>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1.</w:t>
            </w:r>
          </w:p>
        </w:tc>
        <w:tc>
          <w:tcPr>
            <w:tcW w:w="8225" w:type="dxa"/>
            <w:tcBorders/>
            <w:shd w:fill="auto" w:val="clear"/>
            <w:vAlign w:val="center"/>
          </w:tcPr>
          <w:p>
            <w:pPr>
              <w:pStyle w:val="TableContents"/>
              <w:spacing w:before="0" w:after="283"/>
              <w:rPr/>
            </w:pPr>
            <w:r>
              <w:rPr/>
              <w:t>Election to the Company’s Board of Directors of the following nine director nominees:</w:t>
            </w:r>
          </w:p>
        </w:tc>
      </w:tr>
    </w:tbl>
    <w:p>
      <w:pPr>
        <w:pStyle w:val="TextBody"/>
        <w:spacing w:before="0" w:after="0"/>
        <w:ind w:left="0" w:right="0" w:hanging="0"/>
        <w:rPr>
          <w:caps w:val="false"/>
          <w:smallCaps w:val="false"/>
        </w:rPr>
      </w:pPr>
      <w:r>
        <w:rPr>
          <w:caps w:val="false"/>
          <w:smallCaps w:val="false"/>
        </w:rPr>
        <w:t> </w:t>
      </w:r>
    </w:p>
    <w:tbl>
      <w:tblPr>
        <w:tblW w:w="6430" w:type="dxa"/>
        <w:jc w:val="left"/>
        <w:tblInd w:w="0" w:type="dxa"/>
        <w:tblCellMar>
          <w:top w:w="0" w:type="dxa"/>
          <w:left w:w="0" w:type="dxa"/>
          <w:bottom w:w="28" w:type="dxa"/>
          <w:right w:w="0" w:type="dxa"/>
        </w:tblCellMar>
      </w:tblPr>
      <w:tblGrid>
        <w:gridCol w:w="1985"/>
        <w:gridCol w:w="60"/>
        <w:gridCol w:w="1055"/>
        <w:gridCol w:w="60"/>
        <w:gridCol w:w="60"/>
        <w:gridCol w:w="950"/>
        <w:gridCol w:w="60"/>
        <w:gridCol w:w="60"/>
        <w:gridCol w:w="995"/>
        <w:gridCol w:w="60"/>
        <w:gridCol w:w="60"/>
        <w:gridCol w:w="950"/>
        <w:gridCol w:w="75"/>
      </w:tblGrid>
      <w:tr>
        <w:trPr/>
        <w:tc>
          <w:tcPr>
            <w:tcW w:w="198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05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5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9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Abstentions</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5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w:t>
              <w:br/>
              <w:t>Non-Votes</w:t>
            </w:r>
          </w:p>
        </w:tc>
        <w:tc>
          <w:tcPr>
            <w:tcW w:w="7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98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Bruce E. Chinn</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307,373,741</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665,333</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420,421</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42,878,865</w:t>
            </w:r>
          </w:p>
        </w:tc>
        <w:tc>
          <w:tcPr>
            <w:tcW w:w="75"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985"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C. Fish, Jr.</w:t>
            </w:r>
          </w:p>
        </w:tc>
        <w:tc>
          <w:tcPr>
            <w:tcW w:w="6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305,091,092</w:t>
            </w:r>
          </w:p>
        </w:tc>
        <w:tc>
          <w:tcPr>
            <w:tcW w:w="6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2,960,485</w:t>
            </w:r>
          </w:p>
        </w:tc>
        <w:tc>
          <w:tcPr>
            <w:tcW w:w="6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95"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407,918</w:t>
            </w:r>
          </w:p>
        </w:tc>
        <w:tc>
          <w:tcPr>
            <w:tcW w:w="6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42,878,865</w:t>
            </w:r>
          </w:p>
        </w:tc>
        <w:tc>
          <w:tcPr>
            <w:tcW w:w="75"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98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Andrés R. Gluski</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299,778,330</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8,278,795</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402,370</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42,878,865</w:t>
            </w:r>
          </w:p>
        </w:tc>
        <w:tc>
          <w:tcPr>
            <w:tcW w:w="75"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985"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Victoria M. Holt</w:t>
            </w:r>
          </w:p>
        </w:tc>
        <w:tc>
          <w:tcPr>
            <w:tcW w:w="6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300,305,002</w:t>
            </w:r>
          </w:p>
        </w:tc>
        <w:tc>
          <w:tcPr>
            <w:tcW w:w="6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7,767,487</w:t>
            </w:r>
          </w:p>
        </w:tc>
        <w:tc>
          <w:tcPr>
            <w:tcW w:w="6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95"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387,006</w:t>
            </w:r>
          </w:p>
        </w:tc>
        <w:tc>
          <w:tcPr>
            <w:tcW w:w="6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42,878,865</w:t>
            </w:r>
          </w:p>
        </w:tc>
        <w:tc>
          <w:tcPr>
            <w:tcW w:w="75"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98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Kathleen M. Mazzarella</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298,370,433</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9,705,180</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383,882</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42,878,865</w:t>
            </w:r>
          </w:p>
        </w:tc>
        <w:tc>
          <w:tcPr>
            <w:tcW w:w="75"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985"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Sean E. Menke</w:t>
            </w:r>
          </w:p>
        </w:tc>
        <w:tc>
          <w:tcPr>
            <w:tcW w:w="6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304,078,362</w:t>
            </w:r>
          </w:p>
        </w:tc>
        <w:tc>
          <w:tcPr>
            <w:tcW w:w="6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3,958,940</w:t>
            </w:r>
          </w:p>
        </w:tc>
        <w:tc>
          <w:tcPr>
            <w:tcW w:w="6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95"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422,193</w:t>
            </w:r>
          </w:p>
        </w:tc>
        <w:tc>
          <w:tcPr>
            <w:tcW w:w="6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42,878,865</w:t>
            </w:r>
          </w:p>
        </w:tc>
        <w:tc>
          <w:tcPr>
            <w:tcW w:w="75"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98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B. Plummer</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303,225,459</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4,812,750</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421,286</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42,878,865</w:t>
            </w:r>
          </w:p>
        </w:tc>
        <w:tc>
          <w:tcPr>
            <w:tcW w:w="75"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985"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C. Pope</w:t>
            </w:r>
          </w:p>
        </w:tc>
        <w:tc>
          <w:tcPr>
            <w:tcW w:w="6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292,049,805</w:t>
            </w:r>
          </w:p>
        </w:tc>
        <w:tc>
          <w:tcPr>
            <w:tcW w:w="6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15,993,395</w:t>
            </w:r>
          </w:p>
        </w:tc>
        <w:tc>
          <w:tcPr>
            <w:tcW w:w="6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95"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416,295</w:t>
            </w:r>
          </w:p>
        </w:tc>
        <w:tc>
          <w:tcPr>
            <w:tcW w:w="6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42,878,865</w:t>
            </w:r>
          </w:p>
        </w:tc>
        <w:tc>
          <w:tcPr>
            <w:tcW w:w="75"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98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Maryrose T. Sylvester</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302,902,398</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5,178,415</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378,682</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42,878,865</w:t>
            </w:r>
          </w:p>
        </w:tc>
        <w:tc>
          <w:tcPr>
            <w:tcW w:w="75"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r>
    </w:tbl>
    <w:p>
      <w:pPr>
        <w:pStyle w:val="TextBody"/>
        <w:shd w:fill="FFFFFF" w:val="clear"/>
        <w:spacing w:before="0" w:after="0"/>
        <w:ind w:left="0" w:right="0" w:hanging="0"/>
        <w:jc w:val="both"/>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177"/>
        <w:gridCol w:w="10324"/>
      </w:tblGrid>
      <w:tr>
        <w:trPr/>
        <w:tc>
          <w:tcPr>
            <w:tcW w:w="3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pPr>
            <w:r>
              <w:rPr/>
              <w:t>2.</w:t>
            </w:r>
          </w:p>
        </w:tc>
        <w:tc>
          <w:tcPr>
            <w:tcW w:w="10324" w:type="dxa"/>
            <w:tcBorders/>
            <w:shd w:fill="auto" w:val="clear"/>
            <w:vAlign w:val="center"/>
          </w:tcPr>
          <w:p>
            <w:pPr>
              <w:pStyle w:val="TableContents"/>
              <w:spacing w:before="0" w:after="283"/>
              <w:rPr/>
            </w:pPr>
            <w:r>
              <w:rPr/>
              <w:t>Ratification of the appointment of Ernst &amp; Young LLP as the Company’s independent registered public accounting firm for the fiscal year ending December 31, 2023:</w:t>
            </w:r>
          </w:p>
        </w:tc>
      </w:tr>
    </w:tbl>
    <w:p>
      <w:pPr>
        <w:pStyle w:val="TextBody"/>
        <w:spacing w:before="0" w:after="0"/>
        <w:ind w:left="0" w:right="0" w:hanging="0"/>
        <w:rPr>
          <w:caps w:val="false"/>
          <w:smallCaps w:val="false"/>
        </w:rPr>
      </w:pPr>
      <w:r>
        <w:rPr>
          <w:caps w:val="false"/>
          <w:smallCaps w:val="false"/>
        </w:rPr>
        <w:t> </w:t>
      </w:r>
    </w:p>
    <w:tbl>
      <w:tblPr>
        <w:tblW w:w="3330" w:type="dxa"/>
        <w:jc w:val="left"/>
        <w:tblInd w:w="0" w:type="dxa"/>
        <w:tblCellMar>
          <w:top w:w="0" w:type="dxa"/>
          <w:left w:w="0" w:type="dxa"/>
          <w:bottom w:w="28" w:type="dxa"/>
          <w:right w:w="0" w:type="dxa"/>
        </w:tblCellMar>
      </w:tblPr>
      <w:tblGrid>
        <w:gridCol w:w="1070"/>
        <w:gridCol w:w="60"/>
        <w:gridCol w:w="60"/>
        <w:gridCol w:w="950"/>
        <w:gridCol w:w="60"/>
        <w:gridCol w:w="60"/>
        <w:gridCol w:w="995"/>
        <w:gridCol w:w="75"/>
      </w:tblGrid>
      <w:tr>
        <w:trPr/>
        <w:tc>
          <w:tcPr>
            <w:tcW w:w="107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5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9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Abstentions</w:t>
            </w:r>
          </w:p>
        </w:tc>
        <w:tc>
          <w:tcPr>
            <w:tcW w:w="7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07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334,478,144</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16,201,638</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658,578</w:t>
            </w:r>
          </w:p>
        </w:tc>
        <w:tc>
          <w:tcPr>
            <w:tcW w:w="75"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r>
    </w:tbl>
    <w:p>
      <w:pPr>
        <w:pStyle w:val="TextBody"/>
        <w:shd w:fill="FFFFFF" w:val="clear"/>
        <w:spacing w:before="0" w:after="0"/>
        <w:ind w:left="0" w:right="0" w:hanging="0"/>
        <w:jc w:val="both"/>
        <w:rPr>
          <w:caps w:val="false"/>
          <w:smallCaps w:val="false"/>
        </w:rPr>
      </w:pPr>
      <w:r>
        <w:rPr>
          <w:caps w:val="false"/>
          <w:smallCaps w:val="false"/>
        </w:rPr>
        <w:t> </w:t>
      </w:r>
    </w:p>
    <w:tbl>
      <w:tblPr>
        <w:tblW w:w="10539" w:type="dxa"/>
        <w:jc w:val="left"/>
        <w:tblInd w:w="0" w:type="dxa"/>
        <w:shd w:fill="FFFFFF" w:val="clear"/>
        <w:tblCellMar>
          <w:top w:w="0" w:type="dxa"/>
          <w:left w:w="0" w:type="dxa"/>
          <w:bottom w:w="0" w:type="dxa"/>
          <w:right w:w="0" w:type="dxa"/>
        </w:tblCellMar>
      </w:tblPr>
      <w:tblGrid>
        <w:gridCol w:w="38"/>
        <w:gridCol w:w="189"/>
        <w:gridCol w:w="10312"/>
      </w:tblGrid>
      <w:tr>
        <w:trPr/>
        <w:tc>
          <w:tcPr>
            <w:tcW w:w="38" w:type="dxa"/>
            <w:tcBorders/>
            <w:shd w:fill="FFFFFF" w:val="clear"/>
            <w:vAlign w:val="center"/>
          </w:tcPr>
          <w:p>
            <w:pPr>
              <w:pStyle w:val="TableContents"/>
              <w:spacing w:before="0" w:after="283"/>
              <w:rPr>
                <w:sz w:val="4"/>
                <w:szCs w:val="4"/>
              </w:rPr>
            </w:pPr>
            <w:r>
              <w:rPr>
                <w:sz w:val="4"/>
                <w:szCs w:val="4"/>
              </w:rPr>
            </w:r>
          </w:p>
        </w:tc>
        <w:tc>
          <w:tcPr>
            <w:tcW w:w="189" w:type="dxa"/>
            <w:tcBorders/>
            <w:shd w:fill="FFFFFF" w:val="clear"/>
            <w:vAlign w:val="center"/>
          </w:tcPr>
          <w:p>
            <w:pPr>
              <w:pStyle w:val="TableContents"/>
              <w:spacing w:before="0" w:after="283"/>
              <w:rPr/>
            </w:pPr>
            <w:r>
              <w:rPr/>
              <w:t>3.</w:t>
            </w:r>
          </w:p>
        </w:tc>
        <w:tc>
          <w:tcPr>
            <w:tcW w:w="10312" w:type="dxa"/>
            <w:tcBorders/>
            <w:shd w:fill="FFFFFF" w:val="clear"/>
            <w:vAlign w:val="center"/>
          </w:tcPr>
          <w:p>
            <w:pPr>
              <w:pStyle w:val="TableContents"/>
              <w:spacing w:before="0" w:after="283"/>
              <w:rPr/>
            </w:pPr>
            <w:r>
              <w:rPr/>
              <w:t>Approval, on an advisory basis, of the Company’s executive compensation as described in the Company’s 2023 proxy statement:</w:t>
            </w:r>
          </w:p>
        </w:tc>
      </w:tr>
    </w:tbl>
    <w:p>
      <w:pPr>
        <w:pStyle w:val="TextBody"/>
        <w:spacing w:before="0" w:after="0"/>
        <w:ind w:left="0" w:right="0" w:hanging="0"/>
        <w:rPr>
          <w:caps w:val="false"/>
          <w:smallCaps w:val="false"/>
        </w:rPr>
      </w:pPr>
      <w:r>
        <w:rPr>
          <w:caps w:val="false"/>
          <w:smallCaps w:val="false"/>
        </w:rPr>
        <w:t> </w:t>
      </w:r>
    </w:p>
    <w:tbl>
      <w:tblPr>
        <w:tblW w:w="5000" w:type="dxa"/>
        <w:jc w:val="left"/>
        <w:tblInd w:w="0" w:type="dxa"/>
        <w:tblCellMar>
          <w:top w:w="0" w:type="dxa"/>
          <w:left w:w="0" w:type="dxa"/>
          <w:bottom w:w="28" w:type="dxa"/>
          <w:right w:w="0" w:type="dxa"/>
        </w:tblCellMar>
      </w:tblPr>
      <w:tblGrid>
        <w:gridCol w:w="1070"/>
        <w:gridCol w:w="60"/>
        <w:gridCol w:w="60"/>
        <w:gridCol w:w="950"/>
        <w:gridCol w:w="60"/>
        <w:gridCol w:w="60"/>
        <w:gridCol w:w="995"/>
        <w:gridCol w:w="60"/>
        <w:gridCol w:w="60"/>
        <w:gridCol w:w="1550"/>
        <w:gridCol w:w="75"/>
      </w:tblGrid>
      <w:tr>
        <w:trPr/>
        <w:tc>
          <w:tcPr>
            <w:tcW w:w="107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5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9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Abstentions</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55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c>
          <w:tcPr>
            <w:tcW w:w="7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07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289,678,028</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17,715,298</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1,066,169</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55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42,878,865</w:t>
            </w:r>
          </w:p>
        </w:tc>
        <w:tc>
          <w:tcPr>
            <w:tcW w:w="75"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r>
    </w:tbl>
    <w:p>
      <w:pPr>
        <w:pStyle w:val="TextBody"/>
        <w:shd w:fill="FFFFFF" w:val="clear"/>
        <w:spacing w:before="0" w:after="0"/>
        <w:ind w:left="720" w:right="0" w:hanging="0"/>
        <w:rPr>
          <w:caps w:val="false"/>
          <w:smallCaps w:val="false"/>
        </w:rPr>
      </w:pPr>
      <w:r>
        <w:rPr>
          <w:caps w:val="false"/>
          <w:smallCaps w:val="false"/>
        </w:rPr>
        <w:t> </w:t>
      </w:r>
    </w:p>
    <w:tbl>
      <w:tblPr>
        <w:tblW w:w="10539" w:type="dxa"/>
        <w:jc w:val="left"/>
        <w:tblInd w:w="0" w:type="dxa"/>
        <w:shd w:fill="FFFFFF" w:val="clear"/>
        <w:tblCellMar>
          <w:top w:w="0" w:type="dxa"/>
          <w:left w:w="0" w:type="dxa"/>
          <w:bottom w:w="0" w:type="dxa"/>
          <w:right w:w="0" w:type="dxa"/>
        </w:tblCellMar>
      </w:tblPr>
      <w:tblGrid>
        <w:gridCol w:w="38"/>
        <w:gridCol w:w="190"/>
        <w:gridCol w:w="10311"/>
      </w:tblGrid>
      <w:tr>
        <w:trPr/>
        <w:tc>
          <w:tcPr>
            <w:tcW w:w="38" w:type="dxa"/>
            <w:tcBorders/>
            <w:shd w:fill="FFFFFF" w:val="clear"/>
            <w:vAlign w:val="center"/>
          </w:tcPr>
          <w:p>
            <w:pPr>
              <w:pStyle w:val="TableContents"/>
              <w:spacing w:before="0" w:after="283"/>
              <w:rPr>
                <w:sz w:val="4"/>
                <w:szCs w:val="4"/>
              </w:rPr>
            </w:pPr>
            <w:r>
              <w:rPr>
                <w:sz w:val="4"/>
                <w:szCs w:val="4"/>
              </w:rPr>
            </w:r>
          </w:p>
        </w:tc>
        <w:tc>
          <w:tcPr>
            <w:tcW w:w="190" w:type="dxa"/>
            <w:tcBorders/>
            <w:shd w:fill="FFFFFF" w:val="clear"/>
            <w:vAlign w:val="center"/>
          </w:tcPr>
          <w:p>
            <w:pPr>
              <w:pStyle w:val="TableContents"/>
              <w:spacing w:before="0" w:after="283"/>
              <w:rPr/>
            </w:pPr>
            <w:r>
              <w:rPr/>
              <w:t>4.</w:t>
            </w:r>
          </w:p>
        </w:tc>
        <w:tc>
          <w:tcPr>
            <w:tcW w:w="10311" w:type="dxa"/>
            <w:tcBorders/>
            <w:shd w:fill="FFFFFF" w:val="clear"/>
            <w:vAlign w:val="center"/>
          </w:tcPr>
          <w:p>
            <w:pPr>
              <w:pStyle w:val="TableContents"/>
              <w:spacing w:before="0" w:after="283"/>
              <w:rPr/>
            </w:pPr>
            <w:r>
              <w:rPr/>
              <w:t>Recommendation, on an advisory basis, of the frequency of future advisory votes on the Company’s executive compensation:</w:t>
            </w:r>
          </w:p>
        </w:tc>
      </w:tr>
    </w:tbl>
    <w:p>
      <w:pPr>
        <w:pStyle w:val="TextBody"/>
        <w:spacing w:before="0" w:after="0"/>
        <w:ind w:left="0" w:right="0" w:hanging="0"/>
        <w:rPr>
          <w:caps w:val="false"/>
          <w:smallCaps w:val="false"/>
        </w:rPr>
      </w:pPr>
      <w:r>
        <w:rPr>
          <w:caps w:val="false"/>
          <w:smallCaps w:val="false"/>
        </w:rPr>
        <w:t> </w:t>
      </w:r>
    </w:p>
    <w:tbl>
      <w:tblPr>
        <w:tblW w:w="5710" w:type="dxa"/>
        <w:jc w:val="left"/>
        <w:tblInd w:w="0" w:type="dxa"/>
        <w:tblCellMar>
          <w:top w:w="0" w:type="dxa"/>
          <w:left w:w="0" w:type="dxa"/>
          <w:bottom w:w="28" w:type="dxa"/>
          <w:right w:w="0" w:type="dxa"/>
        </w:tblCellMar>
      </w:tblPr>
      <w:tblGrid>
        <w:gridCol w:w="1070"/>
        <w:gridCol w:w="60"/>
        <w:gridCol w:w="60"/>
        <w:gridCol w:w="695"/>
        <w:gridCol w:w="60"/>
        <w:gridCol w:w="60"/>
        <w:gridCol w:w="845"/>
        <w:gridCol w:w="60"/>
        <w:gridCol w:w="60"/>
        <w:gridCol w:w="995"/>
        <w:gridCol w:w="60"/>
        <w:gridCol w:w="60"/>
        <w:gridCol w:w="1550"/>
        <w:gridCol w:w="75"/>
      </w:tblGrid>
      <w:tr>
        <w:trPr/>
        <w:tc>
          <w:tcPr>
            <w:tcW w:w="107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Year</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9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Years</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84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Years</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9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Abstentions</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55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c>
          <w:tcPr>
            <w:tcW w:w="7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07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302,329,846</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740,581</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4,753,082</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635,986</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55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42,878,865</w:t>
            </w:r>
          </w:p>
        </w:tc>
        <w:tc>
          <w:tcPr>
            <w:tcW w:w="75"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r>
    </w:tbl>
    <w:p>
      <w:pPr>
        <w:pStyle w:val="TextBody"/>
        <w:shd w:fill="FFFFFF" w:val="clear"/>
        <w:spacing w:before="0" w:after="0"/>
        <w:ind w:left="72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these results, the Company will follow the recommendation to hold the non-binding advisory vote on executive compensation annually until the next stockholder vote on the frequency of such vote.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5538" w:type="dxa"/>
        <w:jc w:val="left"/>
        <w:tblInd w:w="0" w:type="dxa"/>
        <w:shd w:fill="FFFFFF" w:val="clear"/>
        <w:tblCellMar>
          <w:top w:w="0" w:type="dxa"/>
          <w:left w:w="0" w:type="dxa"/>
          <w:bottom w:w="0" w:type="dxa"/>
          <w:right w:w="0" w:type="dxa"/>
        </w:tblCellMar>
      </w:tblPr>
      <w:tblGrid>
        <w:gridCol w:w="38"/>
        <w:gridCol w:w="200"/>
        <w:gridCol w:w="5300"/>
      </w:tblGrid>
      <w:tr>
        <w:trPr/>
        <w:tc>
          <w:tcPr>
            <w:tcW w:w="38" w:type="dxa"/>
            <w:tcBorders/>
            <w:shd w:fill="FFFFFF" w:val="clear"/>
            <w:vAlign w:val="center"/>
          </w:tcPr>
          <w:p>
            <w:pPr>
              <w:pStyle w:val="TableContents"/>
              <w:spacing w:before="0" w:after="283"/>
              <w:rPr>
                <w:sz w:val="4"/>
                <w:szCs w:val="4"/>
              </w:rPr>
            </w:pPr>
            <w:r>
              <w:rPr>
                <w:sz w:val="4"/>
                <w:szCs w:val="4"/>
              </w:rPr>
            </w:r>
          </w:p>
        </w:tc>
        <w:tc>
          <w:tcPr>
            <w:tcW w:w="200" w:type="dxa"/>
            <w:tcBorders/>
            <w:shd w:fill="FFFFFF" w:val="clear"/>
            <w:vAlign w:val="center"/>
          </w:tcPr>
          <w:p>
            <w:pPr>
              <w:pStyle w:val="TableContents"/>
              <w:spacing w:before="0" w:after="283"/>
              <w:rPr/>
            </w:pPr>
            <w:r>
              <w:rPr/>
              <w:t>5.</w:t>
            </w:r>
          </w:p>
        </w:tc>
        <w:tc>
          <w:tcPr>
            <w:tcW w:w="5300" w:type="dxa"/>
            <w:tcBorders/>
            <w:shd w:fill="FFFFFF" w:val="clear"/>
            <w:vAlign w:val="center"/>
          </w:tcPr>
          <w:p>
            <w:pPr>
              <w:pStyle w:val="TableContents"/>
              <w:spacing w:before="0" w:after="283"/>
              <w:rPr/>
            </w:pPr>
            <w:r>
              <w:rPr/>
              <w:t>Approval of the Company’s 2023 Stock Incentive Plan:</w:t>
            </w:r>
          </w:p>
        </w:tc>
      </w:tr>
    </w:tbl>
    <w:p>
      <w:pPr>
        <w:pStyle w:val="TextBody"/>
        <w:spacing w:before="0" w:after="0"/>
        <w:ind w:left="0" w:right="0" w:hanging="0"/>
        <w:rPr>
          <w:caps w:val="false"/>
          <w:smallCaps w:val="false"/>
        </w:rPr>
      </w:pPr>
      <w:r>
        <w:rPr>
          <w:caps w:val="false"/>
          <w:smallCaps w:val="false"/>
        </w:rPr>
        <w:t> </w:t>
      </w:r>
    </w:p>
    <w:tbl>
      <w:tblPr>
        <w:tblW w:w="5000" w:type="dxa"/>
        <w:jc w:val="left"/>
        <w:tblInd w:w="0" w:type="dxa"/>
        <w:tblCellMar>
          <w:top w:w="0" w:type="dxa"/>
          <w:left w:w="0" w:type="dxa"/>
          <w:bottom w:w="28" w:type="dxa"/>
          <w:right w:w="0" w:type="dxa"/>
        </w:tblCellMar>
      </w:tblPr>
      <w:tblGrid>
        <w:gridCol w:w="1070"/>
        <w:gridCol w:w="60"/>
        <w:gridCol w:w="60"/>
        <w:gridCol w:w="950"/>
        <w:gridCol w:w="60"/>
        <w:gridCol w:w="60"/>
        <w:gridCol w:w="995"/>
        <w:gridCol w:w="60"/>
        <w:gridCol w:w="60"/>
        <w:gridCol w:w="1550"/>
        <w:gridCol w:w="75"/>
      </w:tblGrid>
      <w:tr>
        <w:trPr/>
        <w:tc>
          <w:tcPr>
            <w:tcW w:w="107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5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9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Abstentions</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55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c>
          <w:tcPr>
            <w:tcW w:w="7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07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289,736,055</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17,959,277</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764,163</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55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42,878,865</w:t>
            </w:r>
          </w:p>
        </w:tc>
        <w:tc>
          <w:tcPr>
            <w:tcW w:w="75"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Statements and Exhibits.</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Index</w:t>
      </w:r>
    </w:p>
    <w:p>
      <w:pPr>
        <w:pStyle w:val="TextBody"/>
        <w:shd w:fill="FFFFFF" w:val="clear"/>
        <w:spacing w:before="0" w:after="0"/>
        <w:ind w:left="0" w:right="0" w:hanging="0"/>
        <w:jc w:val="both"/>
        <w:rPr>
          <w:caps w:val="false"/>
          <w:smallCaps w:val="false"/>
        </w:rPr>
      </w:pPr>
      <w:r>
        <w:rPr>
          <w:caps w:val="false"/>
          <w:smallCaps w:val="false"/>
        </w:rPr>
        <w:t> </w:t>
      </w:r>
    </w:p>
    <w:tbl>
      <w:tblPr>
        <w:tblW w:w="8575" w:type="dxa"/>
        <w:jc w:val="left"/>
        <w:tblInd w:w="0" w:type="dxa"/>
        <w:tblCellMar>
          <w:top w:w="0" w:type="dxa"/>
          <w:left w:w="0" w:type="dxa"/>
          <w:bottom w:w="28" w:type="dxa"/>
          <w:right w:w="0" w:type="dxa"/>
        </w:tblCellMar>
      </w:tblPr>
      <w:tblGrid>
        <w:gridCol w:w="890"/>
        <w:gridCol w:w="60"/>
        <w:gridCol w:w="7625"/>
      </w:tblGrid>
      <w:tr>
        <w:trPr/>
        <w:tc>
          <w:tcPr>
            <w:tcW w:w="890" w:type="dxa"/>
            <w:tcBorders>
              <w:bottom w:val="single" w:sz="8" w:space="0" w:color="000000"/>
            </w:tcBorders>
            <w:shd w:fill="auto" w:val="clear"/>
            <w:vAlign w:val="center"/>
          </w:tcPr>
          <w:p>
            <w:pPr>
              <w:pStyle w:val="TableContents"/>
              <w:spacing w:before="0" w:after="283"/>
              <w:rPr>
                <w:b/>
              </w:rPr>
            </w:pPr>
            <w:r>
              <w:rPr>
                <w:b/>
              </w:rPr>
              <w:t xml:space="preserve">Exhibit </w:t>
              <w:br/>
              <w:t>Number</w:t>
            </w:r>
          </w:p>
        </w:tc>
        <w:tc>
          <w:tcPr>
            <w:tcW w:w="60" w:type="dxa"/>
            <w:tcBorders/>
            <w:shd w:fill="auto" w:val="clear"/>
            <w:tcMar>
              <w:bottom w:w="0" w:type="dxa"/>
            </w:tcMar>
            <w:vAlign w:val="center"/>
          </w:tcPr>
          <w:p>
            <w:pPr>
              <w:pStyle w:val="TableContents"/>
              <w:spacing w:before="0" w:after="283"/>
              <w:jc w:val="both"/>
              <w:rPr/>
            </w:pPr>
            <w:r>
              <w:rPr/>
              <w:t> </w:t>
            </w:r>
          </w:p>
        </w:tc>
        <w:tc>
          <w:tcPr>
            <w:tcW w:w="7625" w:type="dxa"/>
            <w:tcBorders>
              <w:bottom w:val="single" w:sz="8" w:space="0" w:color="000000"/>
            </w:tcBorders>
            <w:shd w:fill="auto" w:val="clear"/>
            <w:vAlign w:val="center"/>
          </w:tcPr>
          <w:p>
            <w:pPr>
              <w:pStyle w:val="TableContents"/>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890" w:type="dxa"/>
            <w:tcBorders/>
            <w:shd w:fill="auto" w:val="clear"/>
            <w:tcMar>
              <w:bottom w:w="0" w:type="dxa"/>
            </w:tcMar>
            <w:vAlign w:val="center"/>
          </w:tcPr>
          <w:p>
            <w:pPr>
              <w:pStyle w:val="TableContents"/>
              <w:spacing w:before="0" w:after="283"/>
              <w:rPr/>
            </w:pPr>
            <w:hyperlink w:anchor="tm2315236d1_ex10-1.htm">
              <w:r>
                <w:rPr>
                  <w:rStyle w:val="InternetLink"/>
                </w:rPr>
                <w:t>10.1</w:t>
              </w:r>
            </w:hyperlink>
          </w:p>
        </w:tc>
        <w:tc>
          <w:tcPr>
            <w:tcW w:w="60" w:type="dxa"/>
            <w:tcBorders/>
            <w:shd w:fill="auto" w:val="clear"/>
            <w:tcMar>
              <w:bottom w:w="0" w:type="dxa"/>
            </w:tcMar>
            <w:vAlign w:val="center"/>
          </w:tcPr>
          <w:p>
            <w:pPr>
              <w:pStyle w:val="TableContents"/>
              <w:spacing w:before="0" w:after="283"/>
              <w:jc w:val="both"/>
              <w:rPr/>
            </w:pPr>
            <w:r>
              <w:rPr/>
              <w:t> </w:t>
            </w:r>
          </w:p>
        </w:tc>
        <w:tc>
          <w:tcPr>
            <w:tcW w:w="7625" w:type="dxa"/>
            <w:tcBorders/>
            <w:shd w:fill="auto" w:val="clear"/>
            <w:tcMar>
              <w:bottom w:w="0" w:type="dxa"/>
            </w:tcMar>
            <w:vAlign w:val="center"/>
          </w:tcPr>
          <w:p>
            <w:pPr>
              <w:pStyle w:val="TableContents"/>
              <w:spacing w:before="0" w:after="283"/>
              <w:rPr/>
            </w:pPr>
            <w:hyperlink w:anchor="tm2315236d1_ex10-1.htm">
              <w:r>
                <w:rPr>
                  <w:rStyle w:val="InternetLink"/>
                </w:rPr>
                <w:t>Waste Management, Inc. 2023 Stock Incentive Plan</w:t>
              </w:r>
            </w:hyperlink>
          </w:p>
        </w:tc>
      </w:tr>
      <w:tr>
        <w:trPr/>
        <w:tc>
          <w:tcPr>
            <w:tcW w:w="890" w:type="dxa"/>
            <w:tcBorders/>
            <w:shd w:fill="auto" w:val="clear"/>
            <w:tcMar>
              <w:bottom w:w="0" w:type="dxa"/>
            </w:tcMar>
            <w:vAlign w:val="center"/>
          </w:tcPr>
          <w:p>
            <w:pPr>
              <w:pStyle w:val="TableContents"/>
              <w:spacing w:before="0" w:after="283"/>
              <w:rPr/>
            </w:pPr>
            <w:r>
              <w:rPr/>
              <w:t>104</w:t>
            </w:r>
          </w:p>
        </w:tc>
        <w:tc>
          <w:tcPr>
            <w:tcW w:w="60" w:type="dxa"/>
            <w:tcBorders/>
            <w:shd w:fill="auto" w:val="clear"/>
            <w:tcMar>
              <w:bottom w:w="0" w:type="dxa"/>
            </w:tcMar>
            <w:vAlign w:val="center"/>
          </w:tcPr>
          <w:p>
            <w:pPr>
              <w:pStyle w:val="TableContents"/>
              <w:spacing w:before="0" w:after="283"/>
              <w:jc w:val="both"/>
              <w:rPr/>
            </w:pPr>
            <w:r>
              <w:rPr/>
              <w:t> </w:t>
            </w:r>
          </w:p>
        </w:tc>
        <w:tc>
          <w:tcPr>
            <w:tcW w:w="7625" w:type="dxa"/>
            <w:tcBorders/>
            <w:shd w:fill="auto" w:val="clear"/>
            <w:tcMar>
              <w:bottom w:w="0" w:type="dxa"/>
            </w:tcMar>
            <w:vAlign w:val="center"/>
          </w:tcPr>
          <w:p>
            <w:pPr>
              <w:pStyle w:val="TableContents"/>
              <w:spacing w:before="0" w:after="283"/>
              <w:rPr/>
            </w:pPr>
            <w:r>
              <w:rPr/>
              <w:t>Cover Page Interactive Data File (embedded within the Inline XBRL document)</w:t>
            </w:r>
          </w:p>
        </w:tc>
      </w:tr>
    </w:tbl>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caps w:val="false"/>
          <w:smallCaps w:val="false"/>
        </w:rPr>
      </w:pPr>
      <w:r>
        <w:rPr>
          <w:caps w:val="false"/>
          <w:smallCaps w:val="false"/>
        </w:rPr>
        <w:t> </w:t>
      </w:r>
    </w:p>
    <w:tbl>
      <w:tblPr>
        <w:tblW w:w="8085" w:type="dxa"/>
        <w:jc w:val="left"/>
        <w:tblInd w:w="0" w:type="dxa"/>
        <w:tblCellMar>
          <w:top w:w="0" w:type="dxa"/>
          <w:left w:w="0" w:type="dxa"/>
          <w:bottom w:w="0" w:type="dxa"/>
          <w:right w:w="0" w:type="dxa"/>
        </w:tblCellMar>
      </w:tblPr>
      <w:tblGrid>
        <w:gridCol w:w="1655"/>
        <w:gridCol w:w="365"/>
        <w:gridCol w:w="6065"/>
      </w:tblGrid>
      <w:tr>
        <w:trPr/>
        <w:tc>
          <w:tcPr>
            <w:tcW w:w="1655" w:type="dxa"/>
            <w:tcBorders/>
            <w:shd w:fill="auto" w:val="clear"/>
            <w:vAlign w:val="center"/>
          </w:tcPr>
          <w:p>
            <w:pPr>
              <w:pStyle w:val="TableContents"/>
              <w:spacing w:before="0" w:after="283"/>
              <w:jc w:val="both"/>
              <w:rPr/>
            </w:pPr>
            <w:r>
              <w:rPr/>
              <w:t> </w:t>
            </w:r>
          </w:p>
        </w:tc>
        <w:tc>
          <w:tcPr>
            <w:tcW w:w="6430" w:type="dxa"/>
            <w:gridSpan w:val="2"/>
            <w:tcBorders/>
            <w:shd w:fill="auto" w:val="clear"/>
            <w:vAlign w:val="center"/>
          </w:tcPr>
          <w:p>
            <w:pPr>
              <w:pStyle w:val="TableContents"/>
              <w:spacing w:before="0" w:after="283"/>
              <w:jc w:val="both"/>
              <w:rPr/>
            </w:pPr>
            <w:r>
              <w:rPr/>
              <w:t>WASTE MANAGEMENT, INC.</w:t>
            </w:r>
          </w:p>
        </w:tc>
      </w:tr>
      <w:tr>
        <w:trPr/>
        <w:tc>
          <w:tcPr>
            <w:tcW w:w="1655" w:type="dxa"/>
            <w:tcBorders/>
            <w:shd w:fill="auto" w:val="clear"/>
            <w:vAlign w:val="center"/>
          </w:tcPr>
          <w:p>
            <w:pPr>
              <w:pStyle w:val="TableContents"/>
              <w:spacing w:before="0" w:after="283"/>
              <w:jc w:val="both"/>
              <w:rPr/>
            </w:pPr>
            <w:r>
              <w:rPr/>
              <w:t> </w:t>
            </w:r>
          </w:p>
        </w:tc>
        <w:tc>
          <w:tcPr>
            <w:tcW w:w="6430" w:type="dxa"/>
            <w:gridSpan w:val="2"/>
            <w:tcBorders/>
            <w:shd w:fill="auto" w:val="clear"/>
            <w:vAlign w:val="center"/>
          </w:tcPr>
          <w:p>
            <w:pPr>
              <w:pStyle w:val="TableContents"/>
              <w:spacing w:before="0" w:after="283"/>
              <w:jc w:val="both"/>
              <w:rPr/>
            </w:pPr>
            <w:r>
              <w:rPr/>
              <w:t> </w:t>
            </w:r>
          </w:p>
        </w:tc>
      </w:tr>
      <w:tr>
        <w:trPr/>
        <w:tc>
          <w:tcPr>
            <w:tcW w:w="165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Date: May 10, 2023</w:t>
            </w:r>
          </w:p>
        </w:tc>
        <w:tc>
          <w:tcPr>
            <w:tcW w:w="36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 xml:space="preserve">By: </w:t>
            </w:r>
          </w:p>
        </w:tc>
        <w:tc>
          <w:tcPr>
            <w:tcW w:w="6065" w:type="dxa"/>
            <w:tcBorders>
              <w:bottom w:val="single" w:sz="8" w:space="0" w:color="000000"/>
            </w:tcBorders>
            <w:shd w:fill="auto" w:val="clear"/>
            <w:tcMar>
              <w:bottom w:w="28" w:type="dxa"/>
            </w:tcMar>
            <w:vAlign w:val="center"/>
          </w:tcPr>
          <w:p>
            <w:pPr>
              <w:pStyle w:val="TableContents"/>
              <w:spacing w:before="0" w:after="283"/>
              <w:jc w:val="both"/>
              <w:rPr>
                <w:rFonts w:ascii="Times New Roman;Times;Serif" w:hAnsi="Times New Roman;Times;Serif"/>
                <w:i/>
                <w:sz w:val="20"/>
              </w:rPr>
            </w:pPr>
            <w:r>
              <w:rPr>
                <w:rFonts w:ascii="Times New Roman;Times;Serif" w:hAnsi="Times New Roman;Times;Serif"/>
                <w:i/>
                <w:sz w:val="20"/>
              </w:rPr>
              <w:t>/s/ Charles C. Boettcher</w:t>
            </w:r>
          </w:p>
        </w:tc>
      </w:tr>
      <w:tr>
        <w:trPr/>
        <w:tc>
          <w:tcPr>
            <w:tcW w:w="1655" w:type="dxa"/>
            <w:tcBorders/>
            <w:shd w:fill="auto" w:val="clear"/>
            <w:vAlign w:val="center"/>
          </w:tcPr>
          <w:p>
            <w:pPr>
              <w:pStyle w:val="TableContents"/>
              <w:spacing w:before="0" w:after="283"/>
              <w:jc w:val="left"/>
              <w:rPr/>
            </w:pPr>
            <w:r>
              <w:rPr/>
              <w:t> </w:t>
            </w:r>
          </w:p>
        </w:tc>
        <w:tc>
          <w:tcPr>
            <w:tcW w:w="365" w:type="dxa"/>
            <w:tcBorders/>
            <w:shd w:fill="auto" w:val="clear"/>
            <w:vAlign w:val="center"/>
          </w:tcPr>
          <w:p>
            <w:pPr>
              <w:pStyle w:val="TableContents"/>
              <w:spacing w:before="0" w:after="283"/>
              <w:jc w:val="left"/>
              <w:rPr/>
            </w:pPr>
            <w:r>
              <w:rPr/>
              <w:t> </w:t>
            </w:r>
          </w:p>
        </w:tc>
        <w:tc>
          <w:tcPr>
            <w:tcW w:w="606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Charles C. Boettcher</w:t>
            </w:r>
          </w:p>
        </w:tc>
      </w:tr>
      <w:tr>
        <w:trPr/>
        <w:tc>
          <w:tcPr>
            <w:tcW w:w="1655" w:type="dxa"/>
            <w:tcBorders/>
            <w:shd w:fill="auto" w:val="clear"/>
            <w:vAlign w:val="center"/>
          </w:tcPr>
          <w:p>
            <w:pPr>
              <w:pStyle w:val="TableContents"/>
              <w:spacing w:before="0" w:after="283"/>
              <w:jc w:val="left"/>
              <w:rPr/>
            </w:pPr>
            <w:r>
              <w:rPr/>
              <w:t> </w:t>
            </w:r>
          </w:p>
        </w:tc>
        <w:tc>
          <w:tcPr>
            <w:tcW w:w="365" w:type="dxa"/>
            <w:tcBorders/>
            <w:shd w:fill="auto" w:val="clear"/>
            <w:vAlign w:val="center"/>
          </w:tcPr>
          <w:p>
            <w:pPr>
              <w:pStyle w:val="TableContents"/>
              <w:spacing w:before="0" w:after="283"/>
              <w:jc w:val="left"/>
              <w:rPr/>
            </w:pPr>
            <w:r>
              <w:rPr/>
              <w:t> </w:t>
            </w:r>
          </w:p>
        </w:tc>
        <w:tc>
          <w:tcPr>
            <w:tcW w:w="606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Executive Vice President, Corporate Development and Chief Legal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r>
        <w:br w:type="page"/>
      </w:r>
    </w:p>
    <w:p>
      <w:pPr>
        <w:pStyle w:val="TextBody"/>
        <w:spacing w:before="0" w:after="0"/>
        <w:ind w:left="0" w:right="0" w:hanging="0"/>
        <w:jc w:val="right"/>
        <w:rPr>
          <w:rFonts w:ascii="Times New Roman;Times;Serif" w:hAnsi="Times New Roman;Times;Serif"/>
          <w:b/>
          <w:i w:val="false"/>
          <w:caps w:val="false"/>
          <w:smallCaps w:val="false"/>
          <w:sz w:val="20"/>
        </w:rPr>
      </w:pPr>
      <w:bookmarkStart w:id="23" w:name="tm2315236d1_ex10-1.htm"/>
      <w:bookmarkStart w:id="24" w:name="kstm2315236d1_ex101"/>
      <w:bookmarkEnd w:id="23"/>
      <w:bookmarkEnd w:id="24"/>
      <w:r>
        <w:rPr>
          <w:rFonts w:ascii="Times New Roman;Times;Serif" w:hAnsi="Times New Roman;Times;Serif"/>
          <w:b/>
          <w:i w:val="false"/>
          <w:caps w:val="false"/>
          <w:smallCaps w:val="false"/>
          <w:sz w:val="20"/>
        </w:rPr>
        <w:t>Exhibit 10.1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 STOCK INCENTIVE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 PURPOSE OF THE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purpose of the </w:t>
      </w:r>
      <w:r>
        <w:rPr>
          <w:rFonts w:ascii="Times New Roman;Times;Serif" w:hAnsi="Times New Roman;Times;Serif"/>
          <w:b/>
          <w:i w:val="false"/>
          <w:caps w:val="false"/>
          <w:smallCaps w:val="false"/>
          <w:sz w:val="20"/>
        </w:rPr>
        <w:t>WASTE MANAGEMENT, INC. 2023 STOCK INCENTIVE PLAN</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xml:space="preserve">”) is to provide a means through which </w:t>
      </w:r>
      <w:r>
        <w:rPr>
          <w:rFonts w:ascii="Times New Roman;Times;Serif" w:hAnsi="Times New Roman;Times;Serif"/>
          <w:b/>
          <w:i w:val="false"/>
          <w:caps w:val="false"/>
          <w:smallCaps w:val="false"/>
          <w:sz w:val="20"/>
        </w:rPr>
        <w:t>WASTE MANAGEMENT, INC.</w:t>
      </w:r>
      <w:r>
        <w:rPr>
          <w:rFonts w:ascii="Times New Roman;Times;Serif" w:hAnsi="Times New Roman;Times;Serif"/>
          <w:b w:val="false"/>
          <w:i w:val="false"/>
          <w:caps w:val="false"/>
          <w:smallCaps w:val="false"/>
          <w:sz w:val="20"/>
        </w:rPr>
        <w:t>,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its Affiliates may attract and retain able persons to serve as Directors or Consultants or to enter the employ of the Company and its Affiliates and to provide a means whereby those individuals upon whom the responsibilities of the successful administration and management of the Company and its Affiliates rest, and whose present and potential contributions to the Company and its Affiliates are of importance, can acquire and maintain stock ownership or other awards, thereby strengthening their concern for the welfare of the Company and its Affiliates and their desire to remain employed by, or continue providing services to, the Company and its Affiliates. A further purpose of the Plan is to provide such individuals with additional incentive and reward opportunities designed to enhance the profitable growth of the Company and its Affiliates. Accordingly, the Plan provides for granting Incentive Stock Options, Options that do not constitute Incentive Stock Options, Restricted Stock Awards, Restricted Stock Unit Awards, Phantom Stock Awards, Bonus Stock Awards, Cash Awards, Other Stock-Based Awards or any combination of the foregoing, as is best suited to the circumstances of the particular Eligible Person as provided herein.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II. DEFINITIONS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definitions shall be applicable throughout the Plan unless specifically modified by any paragraph: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means any corporation, partnership, limited liability company or partnership, association, trust, or other organization which, directly or indirectly, controls, is controlled by, or is under common control with, the Company. For purposes of the preceding sentence, “control” (including, with correlative meanings, the terms “controlled by” and “under common control with”), as used with respect to any entity or organization, shall mean the possession, directly or indirectly, of the power (i) to vote more than 50% of the securities having ordinary voting power for the election of directors of the controlled entity or organization or (ii) to direct or cause the direction of the management and policies of the controlled entity or organization, whether through the ownership of voting securities or by contract or otherwise.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caps w:val="false"/>
          <w:smallCaps w:val="false"/>
          <w:sz w:val="20"/>
        </w:rPr>
        <w:t>Award</w:t>
      </w:r>
      <w:r>
        <w:rPr>
          <w:rFonts w:ascii="Times New Roman;Times;Serif" w:hAnsi="Times New Roman;Times;Serif"/>
          <w:b w:val="false"/>
          <w:i w:val="false"/>
          <w:caps w:val="false"/>
          <w:smallCaps w:val="false"/>
          <w:sz w:val="20"/>
        </w:rPr>
        <w:t>” means, individually or collectively, any Option, Restricted Stock Award, Restricted Stock Unit Award, Phantom Stock Award, Bonus Stock Award, Cash Award or Other Stock-Based Award.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caps w:val="false"/>
          <w:smallCaps w:val="false"/>
          <w:sz w:val="20"/>
        </w:rPr>
        <w:t>Award Agreement</w:t>
      </w:r>
      <w:r>
        <w:rPr>
          <w:rFonts w:ascii="Times New Roman;Times;Serif" w:hAnsi="Times New Roman;Times;Serif"/>
          <w:b w:val="false"/>
          <w:i w:val="false"/>
          <w:caps w:val="false"/>
          <w:smallCaps w:val="false"/>
          <w:sz w:val="20"/>
        </w:rPr>
        <w:t>” means, a written agreement between the Company and a Participant with respect to an Award, which may also be in electronic form.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means the Board of Directors of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caps w:val="false"/>
          <w:smallCaps w:val="false"/>
          <w:sz w:val="20"/>
        </w:rPr>
        <w:t>Bonus Stock Award</w:t>
      </w:r>
      <w:r>
        <w:rPr>
          <w:rFonts w:ascii="Times New Roman;Times;Serif" w:hAnsi="Times New Roman;Times;Serif"/>
          <w:b w:val="false"/>
          <w:i w:val="false"/>
          <w:caps w:val="false"/>
          <w:smallCaps w:val="false"/>
          <w:sz w:val="20"/>
        </w:rPr>
        <w:t>” means an Award granted under Paragraph XI of the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caps w:val="false"/>
          <w:smallCaps w:val="false"/>
          <w:sz w:val="20"/>
        </w:rPr>
        <w:t>Bonus Stock Award Agreement</w:t>
      </w:r>
      <w:r>
        <w:rPr>
          <w:rFonts w:ascii="Times New Roman;Times;Serif" w:hAnsi="Times New Roman;Times;Serif"/>
          <w:b w:val="false"/>
          <w:i w:val="false"/>
          <w:caps w:val="false"/>
          <w:smallCaps w:val="false"/>
          <w:sz w:val="20"/>
        </w:rPr>
        <w:t>” means a written agreement between the Company and a Participant with respect to a Bonus Stock Award.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caps w:val="false"/>
          <w:smallCaps w:val="false"/>
          <w:sz w:val="20"/>
        </w:rPr>
        <w:t>Cash Award</w:t>
      </w:r>
      <w:r>
        <w:rPr>
          <w:rFonts w:ascii="Times New Roman;Times;Serif" w:hAnsi="Times New Roman;Times;Serif"/>
          <w:b w:val="false"/>
          <w:i w:val="false"/>
          <w:caps w:val="false"/>
          <w:smallCaps w:val="false"/>
          <w:sz w:val="20"/>
        </w:rPr>
        <w:t>” means an Award denominated in cash granted under Paragraph XII.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caps w:val="false"/>
          <w:smallCaps w:val="false"/>
          <w:sz w:val="20"/>
        </w:rPr>
        <w:t>Change of Control Value</w:t>
      </w:r>
      <w:r>
        <w:rPr>
          <w:rFonts w:ascii="Times New Roman;Times;Serif" w:hAnsi="Times New Roman;Times;Serif"/>
          <w:b w:val="false"/>
          <w:i w:val="false"/>
          <w:caps w:val="false"/>
          <w:smallCaps w:val="false"/>
          <w:sz w:val="20"/>
        </w:rPr>
        <w:t>” shall have the meaning assigned to such term in Paragraph XIV(c) of the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means the Internal Revenue Code of 1986, as amended from time to time. Reference in the Plan to any section of the Code shall be deemed to include any amendments or successor provisions to such section and any regulations under such section.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caps w:val="false"/>
          <w:smallCaps w:val="false"/>
          <w:sz w:val="20"/>
        </w:rPr>
        <w:t>Committee</w:t>
      </w:r>
      <w:r>
        <w:rPr>
          <w:rFonts w:ascii="Times New Roman;Times;Serif" w:hAnsi="Times New Roman;Times;Serif"/>
          <w:b w:val="false"/>
          <w:i w:val="false"/>
          <w:caps w:val="false"/>
          <w:smallCaps w:val="false"/>
          <w:sz w:val="20"/>
        </w:rPr>
        <w:t>” means the Management Development and Compensation Committee of the Board or such other committee that is selected by the Board, in conformance with Paragraph IV(a).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means the common stock, par value $0.01 per share, of the Company, or any security into which such common stock may be changed by reason of any transaction or event of the type described in Paragraph XIV.</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means Waste Management, Inc., a Delaware corporation.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caps w:val="false"/>
          <w:smallCaps w:val="false"/>
          <w:sz w:val="20"/>
        </w:rPr>
        <w:t>Consultant</w:t>
      </w:r>
      <w:r>
        <w:rPr>
          <w:rFonts w:ascii="Times New Roman;Times;Serif" w:hAnsi="Times New Roman;Times;Serif"/>
          <w:b w:val="false"/>
          <w:i w:val="false"/>
          <w:caps w:val="false"/>
          <w:smallCaps w:val="false"/>
          <w:sz w:val="20"/>
        </w:rPr>
        <w:t>” means any person who is not an Employee or a Director and who is providing advisory or consulting services to the Company or any Affiliate.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caps w:val="false"/>
          <w:smallCaps w:val="false"/>
          <w:sz w:val="20"/>
        </w:rPr>
        <w:t>Corporate Change</w:t>
      </w:r>
      <w:r>
        <w:rPr>
          <w:rFonts w:ascii="Times New Roman;Times;Serif" w:hAnsi="Times New Roman;Times;Serif"/>
          <w:b w:val="false"/>
          <w:i w:val="false"/>
          <w:caps w:val="false"/>
          <w:smallCaps w:val="false"/>
          <w:sz w:val="20"/>
        </w:rPr>
        <w:t>” shall have the meaning assigned to such term in Paragraph XIV(c) of the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caps w:val="false"/>
          <w:smallCaps w:val="false"/>
          <w:sz w:val="20"/>
        </w:rPr>
        <w:t>Director</w:t>
      </w:r>
      <w:r>
        <w:rPr>
          <w:rFonts w:ascii="Times New Roman;Times;Serif" w:hAnsi="Times New Roman;Times;Serif"/>
          <w:b w:val="false"/>
          <w:i w:val="false"/>
          <w:caps w:val="false"/>
          <w:smallCaps w:val="false"/>
          <w:sz w:val="20"/>
        </w:rPr>
        <w:t>” means an individual who is a member of the Board, or, where the context of the Plan so permits, a member of the board of directors (or any analogous governing body) of an Affiliate of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caps w:val="false"/>
          <w:smallCaps w:val="false"/>
          <w:sz w:val="20"/>
        </w:rPr>
        <w:t>Dividend Equivalents</w:t>
      </w:r>
      <w:r>
        <w:rPr>
          <w:rFonts w:ascii="Times New Roman;Times;Serif" w:hAnsi="Times New Roman;Times;Serif"/>
          <w:b w:val="false"/>
          <w:i w:val="false"/>
          <w:caps w:val="false"/>
          <w:smallCaps w:val="false"/>
          <w:sz w:val="20"/>
        </w:rPr>
        <w:t>” means an amount equal to all dividends and other distributions (or the economic equivalent thereof) that are payable by the Company on one share of Common Stock to stockholders of record, which, in the discretion of the Committee, may be awarded in connection with any Award (except for an Option or Stock Appreciation Right) under the Plan on a like number of shares of Common Stock under such Award.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shall have the meaning assigned to such term in Paragraph III.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caps w:val="false"/>
          <w:smallCaps w:val="false"/>
          <w:sz w:val="20"/>
        </w:rPr>
        <w:t>Eligible Person</w:t>
      </w:r>
      <w:r>
        <w:rPr>
          <w:rFonts w:ascii="Times New Roman;Times;Serif" w:hAnsi="Times New Roman;Times;Serif"/>
          <w:b w:val="false"/>
          <w:i w:val="false"/>
          <w:caps w:val="false"/>
          <w:smallCaps w:val="false"/>
          <w:sz w:val="20"/>
        </w:rPr>
        <w:t xml:space="preserve">” means any individual who, as of the date of grant of an Award, is an officer or Employee of the Company or of any Affiliate, and any other person who provides services to the Company or any Affiliate, including Directors of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such individual must be an “employee” of the Company or any of its parents or subsidiaries within the meaning of General Instruction A.1(a) to Form S-8 if such individual is granted an Award that may be settled in Common Stock. An Employee on leave of absence may be an Eligible Person.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caps w:val="false"/>
          <w:smallCaps w:val="false"/>
          <w:sz w:val="20"/>
        </w:rPr>
        <w:t>Employee</w:t>
      </w:r>
      <w:r>
        <w:rPr>
          <w:rFonts w:ascii="Times New Roman;Times;Serif" w:hAnsi="Times New Roman;Times;Serif"/>
          <w:b w:val="false"/>
          <w:i w:val="false"/>
          <w:caps w:val="false"/>
          <w:smallCaps w:val="false"/>
          <w:sz w:val="20"/>
        </w:rPr>
        <w:t>” means any person (including a Director) in an employment relationship with the Company or any Affiliate.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caps w:val="false"/>
          <w:smallCaps w:val="false"/>
          <w:sz w:val="20"/>
        </w:rPr>
        <w:t>Fair Market Value</w:t>
      </w:r>
      <w:r>
        <w:rPr>
          <w:rFonts w:ascii="Times New Roman;Times;Serif" w:hAnsi="Times New Roman;Times;Serif"/>
          <w:b w:val="false"/>
          <w:i w:val="false"/>
          <w:caps w:val="false"/>
          <w:smallCaps w:val="false"/>
          <w:sz w:val="20"/>
        </w:rPr>
        <w:t>” means, as to a share of Common Stock, as of a particular date, (i) if shares of Common Stock are listed on a national securities exchange, the average of the highest and lowest sales price per share of such Common Stock on the consolidated transaction reporting system for the principal national securities exchange on which shares of Common Stock are listed on that date, or, if there shall have been no such sale so reported on that date, on the last preceding date on which such a sale was so reported, (ii) if shares of Common Stock are not so listed but are quoted by The Nasdaq Stock Market, Inc., the average of the highest and lowest sales price per share of Common Stock reported on the consolidated transaction reporting system for The Nasdaq Stock Market, Inc., or, if there shall have been no such sale so reported on that date, on the last preceding date on which such a sale was so reported, or, at the discretion of the Committee, the price prevailing as quoted by The Nasdaq Stock Market, Inc. on that date, (iii) if shares of Common Stock are not so listed or quoted, the average of the closing bid and asked price on that date, or, if there are no quotations available for such date, on the last preceding date on which such quotations are available, as reported by The Nasdaq Stock Market, Inc., or, if not reported by The Nasdaq Stock Market, Inc., by the National Quotation Bureau Incorporated or (iv) if shares of Common Stock are not publicly traded, the most recent value determined by an independent appraiser appointed by the Company for such purpose or any other valuation deemed to be consistent with the requirements of the Nonqualified Deferred Compensation Rules.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caps w:val="false"/>
          <w:smallCaps w:val="false"/>
          <w:sz w:val="20"/>
        </w:rPr>
        <w:t>Forfeiture Restrictions</w:t>
      </w:r>
      <w:r>
        <w:rPr>
          <w:rFonts w:ascii="Times New Roman;Times;Serif" w:hAnsi="Times New Roman;Times;Serif"/>
          <w:b w:val="false"/>
          <w:i w:val="false"/>
          <w:caps w:val="false"/>
          <w:smallCaps w:val="false"/>
          <w:sz w:val="20"/>
        </w:rPr>
        <w:t>” shall have the meaning assigned to such term in Paragraph VIII(a) of the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caps w:val="false"/>
          <w:smallCaps w:val="false"/>
          <w:sz w:val="20"/>
        </w:rPr>
        <w:t>Incentive Stock Option</w:t>
      </w:r>
      <w:r>
        <w:rPr>
          <w:rFonts w:ascii="Times New Roman;Times;Serif" w:hAnsi="Times New Roman;Times;Serif"/>
          <w:b w:val="false"/>
          <w:i w:val="false"/>
          <w:caps w:val="false"/>
          <w:smallCaps w:val="false"/>
          <w:sz w:val="20"/>
        </w:rPr>
        <w:t>” means an incentive stock option within the meaning of Section 422 of the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caps w:val="false"/>
          <w:smallCaps w:val="false"/>
          <w:sz w:val="20"/>
        </w:rPr>
        <w:t>Nonqualified Deferred Compensation Rules</w:t>
      </w:r>
      <w:r>
        <w:rPr>
          <w:rFonts w:ascii="Times New Roman;Times;Serif" w:hAnsi="Times New Roman;Times;Serif"/>
          <w:b w:val="false"/>
          <w:i w:val="false"/>
          <w:caps w:val="false"/>
          <w:smallCaps w:val="false"/>
          <w:sz w:val="20"/>
        </w:rPr>
        <w:t>” means the limitations and requirements of Section 409A of the Code, as amended from time to time, including the guidance and regulations promulgated thereunder and successor provisions, guidance and regulations thereto.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caps w:val="false"/>
          <w:smallCaps w:val="false"/>
          <w:sz w:val="20"/>
        </w:rPr>
        <w:t>Option</w:t>
      </w:r>
      <w:r>
        <w:rPr>
          <w:rFonts w:ascii="Times New Roman;Times;Serif" w:hAnsi="Times New Roman;Times;Serif"/>
          <w:b w:val="false"/>
          <w:i w:val="false"/>
          <w:caps w:val="false"/>
          <w:smallCaps w:val="false"/>
          <w:sz w:val="20"/>
        </w:rPr>
        <w:t>” means an Award granted under Paragraph VII of the Plan and includes both Incentive Stock Options to purchase Common Stock and Options that do not constitute Incentive Stock Options to purchase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i/>
          <w:caps w:val="false"/>
          <w:smallCaps w:val="false"/>
          <w:sz w:val="20"/>
        </w:rPr>
        <w:t>Option Agreement</w:t>
      </w:r>
      <w:r>
        <w:rPr>
          <w:rFonts w:ascii="Times New Roman;Times;Serif" w:hAnsi="Times New Roman;Times;Serif"/>
          <w:b w:val="false"/>
          <w:i w:val="false"/>
          <w:caps w:val="false"/>
          <w:smallCaps w:val="false"/>
          <w:sz w:val="20"/>
        </w:rPr>
        <w:t>” means a written agreement between the Company and a Participant with respect to an Option.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i/>
          <w:caps w:val="false"/>
          <w:smallCaps w:val="false"/>
          <w:sz w:val="20"/>
        </w:rPr>
        <w:t>Other Stock-Based Award</w:t>
      </w:r>
      <w:r>
        <w:rPr>
          <w:rFonts w:ascii="Times New Roman;Times;Serif" w:hAnsi="Times New Roman;Times;Serif"/>
          <w:b w:val="false"/>
          <w:i w:val="false"/>
          <w:caps w:val="false"/>
          <w:smallCaps w:val="false"/>
          <w:sz w:val="20"/>
        </w:rPr>
        <w:t>” means an Award granted to an Eligible Person under Paragraph XIII.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i/>
          <w:caps w:val="false"/>
          <w:smallCaps w:val="false"/>
          <w:sz w:val="20"/>
        </w:rPr>
        <w:t>Participant</w:t>
      </w:r>
      <w:r>
        <w:rPr>
          <w:rFonts w:ascii="Times New Roman;Times;Serif" w:hAnsi="Times New Roman;Times;Serif"/>
          <w:b w:val="false"/>
          <w:i w:val="false"/>
          <w:caps w:val="false"/>
          <w:smallCaps w:val="false"/>
          <w:sz w:val="20"/>
        </w:rPr>
        <w:t>” means an Eligible Person who has been granted an Award.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i/>
          <w:caps w:val="false"/>
          <w:smallCaps w:val="false"/>
          <w:sz w:val="20"/>
        </w:rPr>
        <w:t>Phantom Stock Award</w:t>
      </w:r>
      <w:r>
        <w:rPr>
          <w:rFonts w:ascii="Times New Roman;Times;Serif" w:hAnsi="Times New Roman;Times;Serif"/>
          <w:b w:val="false"/>
          <w:i w:val="false"/>
          <w:caps w:val="false"/>
          <w:smallCaps w:val="false"/>
          <w:sz w:val="20"/>
        </w:rPr>
        <w:t>” means an Award granted under Paragraph X of the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i/>
          <w:caps w:val="false"/>
          <w:smallCaps w:val="false"/>
          <w:sz w:val="20"/>
        </w:rPr>
        <w:t>Phantom Stock Award Agreement</w:t>
      </w:r>
      <w:r>
        <w:rPr>
          <w:rFonts w:ascii="Times New Roman;Times;Serif" w:hAnsi="Times New Roman;Times;Serif"/>
          <w:b w:val="false"/>
          <w:i w:val="false"/>
          <w:caps w:val="false"/>
          <w:smallCaps w:val="false"/>
          <w:sz w:val="20"/>
        </w:rPr>
        <w:t>” means a written agreement between the Company and a Participant with respect to a Phantom Stock Award.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means the Waste Management, Inc. 2023 Stock Incentive Plan, as amended from time to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i/>
          <w:caps w:val="false"/>
          <w:smallCaps w:val="false"/>
          <w:sz w:val="20"/>
        </w:rPr>
        <w:t>Prior Plan</w:t>
      </w:r>
      <w:r>
        <w:rPr>
          <w:rFonts w:ascii="Times New Roman;Times;Serif" w:hAnsi="Times New Roman;Times;Serif"/>
          <w:b w:val="false"/>
          <w:i w:val="false"/>
          <w:caps w:val="false"/>
          <w:smallCaps w:val="false"/>
          <w:sz w:val="20"/>
        </w:rPr>
        <w:t>” means the Waste Management, Inc. 2014 Stock Incentive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i/>
          <w:caps w:val="false"/>
          <w:smallCaps w:val="false"/>
          <w:sz w:val="20"/>
        </w:rPr>
        <w:t>Qualified Member</w:t>
      </w:r>
      <w:r>
        <w:rPr>
          <w:rFonts w:ascii="Times New Roman;Times;Serif" w:hAnsi="Times New Roman;Times;Serif"/>
          <w:b w:val="false"/>
          <w:i w:val="false"/>
          <w:caps w:val="false"/>
          <w:smallCaps w:val="false"/>
          <w:sz w:val="20"/>
        </w:rPr>
        <w:t>” means a member of the Board who is (i) a “non-employee director” within the meaning of Rule 16b-3(b)(3) and (ii) “independent” under the listing standards or rules of the securities exchange upon which the Common Stock is traded, but only to the extent such independence is required in order to take the action at issue pursuant to such standards or rules.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i/>
          <w:caps w:val="false"/>
          <w:smallCaps w:val="false"/>
          <w:sz w:val="20"/>
        </w:rPr>
        <w:t>Restricted Stock Agreement</w:t>
      </w:r>
      <w:r>
        <w:rPr>
          <w:rFonts w:ascii="Times New Roman;Times;Serif" w:hAnsi="Times New Roman;Times;Serif"/>
          <w:b w:val="false"/>
          <w:i w:val="false"/>
          <w:caps w:val="false"/>
          <w:smallCaps w:val="false"/>
          <w:sz w:val="20"/>
        </w:rPr>
        <w:t>” means a written agreement between the Company and a Participant with respect to a Restricted Stock Award.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caps w:val="false"/>
          <w:smallCaps w:val="false"/>
          <w:sz w:val="20"/>
        </w:rPr>
        <w:t>Restricted Stock Award</w:t>
      </w:r>
      <w:r>
        <w:rPr>
          <w:rFonts w:ascii="Times New Roman;Times;Serif" w:hAnsi="Times New Roman;Times;Serif"/>
          <w:b w:val="false"/>
          <w:i w:val="false"/>
          <w:caps w:val="false"/>
          <w:smallCaps w:val="false"/>
          <w:sz w:val="20"/>
        </w:rPr>
        <w:t>” means an Award granted under Paragraph VIII of the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i/>
          <w:caps w:val="false"/>
          <w:smallCaps w:val="false"/>
          <w:sz w:val="20"/>
        </w:rPr>
        <w:t>Restricted Stock Unit Award</w:t>
      </w:r>
      <w:r>
        <w:rPr>
          <w:rFonts w:ascii="Times New Roman;Times;Serif" w:hAnsi="Times New Roman;Times;Serif"/>
          <w:b w:val="false"/>
          <w:i w:val="false"/>
          <w:caps w:val="false"/>
          <w:smallCaps w:val="false"/>
          <w:sz w:val="20"/>
        </w:rPr>
        <w:t>” means an Award granted under Paragraph IX of the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i/>
          <w:caps w:val="false"/>
          <w:smallCaps w:val="false"/>
          <w:sz w:val="20"/>
        </w:rPr>
        <w:t>Restricted Stock Unit Award Agreement</w:t>
      </w:r>
      <w:r>
        <w:rPr>
          <w:rFonts w:ascii="Times New Roman;Times;Serif" w:hAnsi="Times New Roman;Times;Serif"/>
          <w:b w:val="false"/>
          <w:i w:val="false"/>
          <w:caps w:val="false"/>
          <w:smallCaps w:val="false"/>
          <w:sz w:val="20"/>
        </w:rPr>
        <w:t>” means a written agreement between the Company and a Participant with respect to a Restricted Stock Unit Award.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i/>
          <w:caps w:val="false"/>
          <w:smallCaps w:val="false"/>
          <w:sz w:val="20"/>
        </w:rPr>
        <w:t>RSUs</w:t>
      </w:r>
      <w:r>
        <w:rPr>
          <w:rFonts w:ascii="Times New Roman;Times;Serif" w:hAnsi="Times New Roman;Times;Serif"/>
          <w:b w:val="false"/>
          <w:i w:val="false"/>
          <w:caps w:val="false"/>
          <w:smallCaps w:val="false"/>
          <w:sz w:val="20"/>
        </w:rPr>
        <w:t>” shall have the meaning assigned to such term in Paragraph IX(a) of the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i/>
          <w:caps w:val="false"/>
          <w:smallCaps w:val="false"/>
          <w:sz w:val="20"/>
        </w:rPr>
        <w:t>Rule 16b-3</w:t>
      </w:r>
      <w:r>
        <w:rPr>
          <w:rFonts w:ascii="Times New Roman;Times;Serif" w:hAnsi="Times New Roman;Times;Serif"/>
          <w:b w:val="false"/>
          <w:i w:val="false"/>
          <w:caps w:val="false"/>
          <w:smallCaps w:val="false"/>
          <w:sz w:val="20"/>
        </w:rPr>
        <w:t>” means Securities Exchange Commission Rule 16b-3 promulgated under the Exchange Act, as such may be amended from time to time, and any successor rule, regulation, or statute fulfilling the same or a similar function.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w:t>
      </w:r>
      <w:r>
        <w:rPr>
          <w:rFonts w:ascii="Times New Roman;Times;Serif" w:hAnsi="Times New Roman;Times;Serif"/>
          <w:b/>
          <w:i/>
          <w:caps w:val="false"/>
          <w:smallCaps w:val="false"/>
          <w:sz w:val="20"/>
        </w:rPr>
        <w:t>Section 409A Payment Date</w:t>
      </w:r>
      <w:r>
        <w:rPr>
          <w:rFonts w:ascii="Times New Roman;Times;Serif" w:hAnsi="Times New Roman;Times;Serif"/>
          <w:b w:val="false"/>
          <w:i w:val="false"/>
          <w:caps w:val="false"/>
          <w:smallCaps w:val="false"/>
          <w:sz w:val="20"/>
        </w:rPr>
        <w:t>” shall have the meaning assigned to such term in Paragraph XVI(g) of the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 from time to time, including the guidance, rules and regulations promulgated thereunder and successor provisions, guidance, rules and regulations thereto.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w:t>
      </w:r>
      <w:r>
        <w:rPr>
          <w:rFonts w:ascii="Times New Roman;Times;Serif" w:hAnsi="Times New Roman;Times;Serif"/>
          <w:b/>
          <w:i/>
          <w:caps w:val="false"/>
          <w:smallCaps w:val="false"/>
          <w:sz w:val="20"/>
        </w:rPr>
        <w:t>Stock Appreciation Right</w:t>
      </w:r>
      <w:r>
        <w:rPr>
          <w:rFonts w:ascii="Times New Roman;Times;Serif" w:hAnsi="Times New Roman;Times;Serif"/>
          <w:b w:val="false"/>
          <w:i w:val="false"/>
          <w:caps w:val="false"/>
          <w:smallCaps w:val="false"/>
          <w:sz w:val="20"/>
        </w:rPr>
        <w:t>” means a right to acquire, upon exercise of the right, Common Stock and/or, in the sole discretion of the Committee, cash having an aggregate value equal to the then excess of the Fair Market Value of the shares with respect to which the right is exercised over the exercise price therefor. The Committee shall retain final authority to determine whether a Participant shall be permitted, and to approve an election by a Participant, to receive cash in full or partial settlement of a Stock Appreciation Right.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w:t>
      </w:r>
      <w:r>
        <w:rPr>
          <w:rFonts w:ascii="Times New Roman;Times;Serif" w:hAnsi="Times New Roman;Times;Serif"/>
          <w:b/>
          <w:i/>
          <w:caps w:val="false"/>
          <w:smallCaps w:val="false"/>
          <w:sz w:val="20"/>
        </w:rPr>
        <w:t>Substitute Awards</w:t>
      </w:r>
      <w:r>
        <w:rPr>
          <w:rFonts w:ascii="Times New Roman;Times;Serif" w:hAnsi="Times New Roman;Times;Serif"/>
          <w:b w:val="false"/>
          <w:i w:val="false"/>
          <w:caps w:val="false"/>
          <w:smallCaps w:val="false"/>
          <w:sz w:val="20"/>
        </w:rPr>
        <w:t>” shall mean Awards granted or shares issued by the Company in assumption of, or in substitution or exchange for, awards previously granted, or the right or obligation to make future awards, in each case by a company acquired by the Company or any subsidiary or with which the Company or any subsidiary combines.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III. EFFECTIVE DATE AND DURATION OF THE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shall become effective following (a) its adoption by the Board and (b) its approval by the stockholders of the Company within 12 months of such adoption in a manner that satisfies the requirements of Section 422 of the Code and the regulations thereunder (the “</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Notwithstanding any provision in the Plan to the contrary, no Option shall be exercisable, no Restricted Stock Award, Bonus Stock Award, Cash Award, or Other Stock-Based Award shall be granted, and no Restricted Stock Unit Award or Phantom Stock Award shall vest or become satisfiable prior to the Effective Date. No further Awards may be granted under the Plan after 10 years from the Effective Date. The Plan shall remain in effect until all Options granted under the Plan have been exercised or expired, all Restricted Stock Awards granted under the Plan have vested or been forfeited, and all Restricted Stock Unit Awards, Phantom Stock Awards, Bonus Stock Awards, Cash Awards, and Other Stock-Based Awards have been settled, forfeited, or expired.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IV. ADMINISTRATION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u w:val="single"/>
        </w:rPr>
        <w:t>Composition of Committee</w:t>
      </w:r>
      <w:r>
        <w:rPr>
          <w:rFonts w:ascii="Times New Roman;Times;Serif" w:hAnsi="Times New Roman;Times;Serif"/>
          <w:b w:val="false"/>
          <w:i w:val="false"/>
          <w:caps w:val="false"/>
          <w:smallCaps w:val="false"/>
          <w:sz w:val="20"/>
        </w:rPr>
        <w:t>. The Plan shall be administered by a committee of, and appointed by, the Board that shall be comprised solely of two or more Qualified Members.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u w:val="single"/>
        </w:rPr>
        <w:t>Powers</w:t>
      </w:r>
      <w:r>
        <w:rPr>
          <w:rFonts w:ascii="Times New Roman;Times;Serif" w:hAnsi="Times New Roman;Times;Serif"/>
          <w:b w:val="false"/>
          <w:i w:val="false"/>
          <w:caps w:val="false"/>
          <w:smallCaps w:val="false"/>
          <w:sz w:val="20"/>
        </w:rPr>
        <w:t>. Subject to the express provisions of the Plan, the Committee shall have authority, in its discretion, to determine which Eligible Persons shall receive an Award, the time or times when such Award shall be made, the type of Award that shall be made, the number of shares of Common Stock to be subject to each Option, Restricted Stock Award, or Bonus Stock Award, and the number of shares of Common Stock to be subject to or the value of each Restricted Stock Unit Award, Phantom Stock Award, or Other Stock-Based Award. In making such determinations the Committee shall take into account the nature of the services rendered by the respective Eligible Persons, their present and potential contribution to the Company’s success, and such other factors as the Committee in its sole discretion shall deem relevant.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u w:val="single"/>
        </w:rPr>
        <w:t>Additional Powers</w:t>
      </w:r>
      <w:r>
        <w:rPr>
          <w:rFonts w:ascii="Times New Roman;Times;Serif" w:hAnsi="Times New Roman;Times;Serif"/>
          <w:b w:val="false"/>
          <w:i w:val="false"/>
          <w:caps w:val="false"/>
          <w:smallCaps w:val="false"/>
          <w:sz w:val="20"/>
        </w:rPr>
        <w:t>. The Committee shall have such additional powers as are delegated to it by the other provisions of the Plan. Subject to the express provisions of the Plan, this shall include the power to construe the Plan and the respective agreements executed hereunder, to prescribe, amend, suspend or waive rules and regulations relating to the Plan, to determine the terms, restrictions, and provisions of the agreement relating to each Award, including such terms, restrictions, and provisions as shall be requisite in the judgment of the Committee to cause designated Options to qualify as Incentive Stock Options, and to make all other determinations necessary or advisable for administering the Plan. The Committee may, in its discretion, amend the terms of any Award Agreement provided the amendment (i) is not adverse to the Participant, or (ii) is consented to by the Participant. The Committee may correct any defect or supply any omission or reconcile any inconsistency in the Plan or in any agreement relating to an Award in the manner and to the extent the Committee shall deem expedient to carry the Plan or any such agreement into effect. All determinations and decisions made by the Committee on the matters referred to in this Paragraph IV and in construing the provisions of the Plan shall be conclusive.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u w:val="single"/>
        </w:rPr>
        <w:t>Delegation of Authority by the Committee</w:t>
      </w:r>
      <w:r>
        <w:rPr>
          <w:rFonts w:ascii="Times New Roman;Times;Serif" w:hAnsi="Times New Roman;Times;Serif"/>
          <w:b w:val="false"/>
          <w:i w:val="false"/>
          <w:caps w:val="false"/>
          <w:smallCaps w:val="false"/>
          <w:sz w:val="20"/>
        </w:rPr>
        <w:t>. Notwithstanding the preceding provisions of this Paragraph IV or any other provision of the Plan to the contrary, subject to the constraints of applicable law, the Committee may from time to time, in its sole discretion, delegate to the Chief Executive Officer of the Company (the “</w:t>
      </w:r>
      <w:r>
        <w:rPr>
          <w:rFonts w:ascii="Times New Roman;Times;Serif" w:hAnsi="Times New Roman;Times;Serif"/>
          <w:b/>
          <w:i/>
          <w:caps w:val="false"/>
          <w:smallCaps w:val="false"/>
          <w:sz w:val="20"/>
        </w:rPr>
        <w:t>CEO</w:t>
      </w:r>
      <w:r>
        <w:rPr>
          <w:rFonts w:ascii="Times New Roman;Times;Serif" w:hAnsi="Times New Roman;Times;Serif"/>
          <w:b w:val="false"/>
          <w:i w:val="false"/>
          <w:caps w:val="false"/>
          <w:smallCaps w:val="false"/>
          <w:sz w:val="20"/>
        </w:rPr>
        <w:t>”) the administration (or interpretation of any provision) of the Plan, and the right to grant Awards under the Plan, insofar as such administration (and interpretation) and power to grant Awards relates to any person who is not then subject to Section 16 of the Exchange Act (including any successor section to the same or similar effect). Any such delegation may be effective only so long as the CEO is a member of the Board, and the Committee may revoke such delegation at any time. The Committee may put any conditions and restrictions on the powers that may be exercised by the CEO upon such delegation as the Committee determines in its sole discretion. In the event of any conflict in a determination or interpretation under the Plan as between the Committee and the CEO, the determination or interpretation, as applicable, of the Committee shall be conclusive.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u w:val="single"/>
        </w:rPr>
        <w:t>Authority as to Non-Employee Directors</w:t>
      </w:r>
      <w:r>
        <w:rPr>
          <w:rFonts w:ascii="Times New Roman;Times;Serif" w:hAnsi="Times New Roman;Times;Serif"/>
          <w:b w:val="false"/>
          <w:i w:val="false"/>
          <w:caps w:val="false"/>
          <w:smallCaps w:val="false"/>
          <w:sz w:val="20"/>
        </w:rPr>
        <w:t>. The Committee’s actions respecting grants of Awards to non-employee Directors shall be in accordance with Board approval.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u w:val="single"/>
        </w:rPr>
        <w:t>Liability</w:t>
      </w:r>
      <w:r>
        <w:rPr>
          <w:rFonts w:ascii="Times New Roman;Times;Serif" w:hAnsi="Times New Roman;Times;Serif"/>
          <w:b w:val="false"/>
          <w:i w:val="false"/>
          <w:caps w:val="false"/>
          <w:smallCaps w:val="false"/>
          <w:sz w:val="20"/>
        </w:rPr>
        <w:t>. The Committee and each member thereof shall be entitled to, in good faith, rely or act upon any report or other information furnished to him or her by any officer or Employee of the Company or any Affiliate, the Company’s legal counsel, independent auditors, Consultants or any other agents assisting in the administration of the Plan. No member of the Committee or its delegatee shall be liable for actions or inactions under the Plan except for willful misconduct or as expressly provided by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u w:val="single"/>
        </w:rPr>
        <w:t>Participants in Non-U.S. Jurisdictions</w:t>
      </w:r>
      <w:r>
        <w:rPr>
          <w:rFonts w:ascii="Times New Roman;Times;Serif" w:hAnsi="Times New Roman;Times;Serif"/>
          <w:b w:val="false"/>
          <w:i w:val="false"/>
          <w:caps w:val="false"/>
          <w:smallCaps w:val="false"/>
          <w:sz w:val="20"/>
        </w:rPr>
        <w:t>. Notwithstanding any provision of the Plan to the contrary, to comply with applicable laws in countries other than the United States in which the Company or any Affiliate operates or has employees, directors, or other service providers from time to time, or to ensure that the Company complies with any applicable requirements of foreign securities exchanges, the Committee, in its sole discretion, shall have the power and authority to: (i) determine which of the Affiliates shall be covered by the Plan, (ii) determine which Employees, Directors, or other service providers outside the United States are eligible to participate in the Plan, (iii) modify the terms and conditions of any Award granted to any Employees, Directors, or other service providers outside the United States to comply with applicable foreign laws or listing requirements of any foreign exchange, (iv) establish sub-plans and modify exercise procedures and other terms and procedures, to the extent such actions may be necessary or advisable (any such sub-plans and/or modifications shall be attached to the Plan as appendices), provided, however, that no such sub-plans and/or modifications shall increase the share limitations contained in Paragraph V, and (v) take any action, before or after an Award is granted, that it deems advisable to comply with any applicable governmental regulatory exemptions or approval or listing requirements of any such foreign securities exchange. For purposes of the Plan, all references to foreign laws, rules, regulations or taxes shall be references to the laws, rules, regulations and taxes of any applicable jurisdiction other than the United States or a political subdivision thereof.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V. SHARES SUBJECT TO THE PLAN; AWARD LIMITS; GRANT OF AWARDS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u w:val="single"/>
        </w:rPr>
        <w:t>Shares Subject to the Plan and Award Limits</w:t>
      </w:r>
      <w:r>
        <w:rPr>
          <w:rFonts w:ascii="Times New Roman;Times;Serif" w:hAnsi="Times New Roman;Times;Serif"/>
          <w:b w:val="false"/>
          <w:i w:val="false"/>
          <w:caps w:val="false"/>
          <w:smallCaps w:val="false"/>
          <w:sz w:val="20"/>
        </w:rPr>
        <w:t>. Subject to adjustment in the same manner as provided in Paragraph XIV with respect to shares of Common Stock subject to Options then outstanding, and subject to adjustment as provided in this Paragraph, the aggregate maximum number of shares of Common Stock that may be issued under the Plan, and the aggregate maximum number of shares of Common Stock that may be issued under the Plan through Incentive Stock Options, shall not exceed 15,161,485 shares, which will be further reduced by one share for every share subject to an equity-based award granted under our Prior Plan after March 14, 2023 and prior to the effective date of the Plan. No new awards will be granted under the Prior Plan. Shares shall be deemed to have been issued under the Plan only to the extent actually issued and delivered pursuant to an Award. To the extent that an Award lapses or the rights of its holder terminate, any shares of Common Stock subject to such Award shall again be available for the grant of an Award under the Plan. In addition, shares issued under the Plan (or under the Prior Plan) that are forfeited back to the Plan, shares subject to any Award (or any award under the Prior Plan) that expires, is cancelled or settled for cash, in each such case, to the extent of such forfeiture, expiration, cancellation or cash settlement, such shares shall be added to the shares available for Awards under the Plan on a one-for-one basis. Shares (i) surrendered in payment of the exercise price or purchase price of an Award, (ii) shares withheld for payment of applicable employment taxes and/or withholding obligations associated with an Award, (iii) shares subject to a Stock Appreciation Right that are not issued in connection with its stock settlement on exercise thereof, and (iv) shares reacquired by the Company on the open market or otherwise using cash proceeds from the exercise of Options, in all such cases, shall not be added back to the Plan and shall not again be available for the grant of an Award under the Plan. Notwithstanding any other provision of the Plan to the contrary, the aggregate grant date fair value (computed as of the date of grant in accordance with generally accepted accounting principles in the United States) of all Awards granted to any non-employee Director during any single calendar year, plus the total cash compensation paid to such non-employee Director for services rendered for such calendar year, shall not exceed $1,000,000; provided, however, that this limitation shall not apply to any amounts, including any severance, consulting fees or similar fees, paid to a non-employee Director for prior or current service as an employee or consultant of the Company; and provided, further, that any deferred compensation shall be counted for purposes of this limitation in the year it is first earned regardless of when paid or settled.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u w:val="single"/>
        </w:rPr>
        <w:t>Grant of Awards</w:t>
      </w:r>
      <w:r>
        <w:rPr>
          <w:rFonts w:ascii="Times New Roman;Times;Serif" w:hAnsi="Times New Roman;Times;Serif"/>
          <w:b w:val="false"/>
          <w:i w:val="false"/>
          <w:caps w:val="false"/>
          <w:smallCaps w:val="false"/>
          <w:sz w:val="20"/>
        </w:rPr>
        <w:t>. The Committee may from time to time grant Awards to one or more Eligible Persons.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u w:val="single"/>
        </w:rPr>
        <w:t>General Terms of Awards</w:t>
      </w:r>
      <w:r>
        <w:rPr>
          <w:rFonts w:ascii="Times New Roman;Times;Serif" w:hAnsi="Times New Roman;Times;Serif"/>
          <w:b w:val="false"/>
          <w:i w:val="false"/>
          <w:caps w:val="false"/>
          <w:smallCaps w:val="false"/>
          <w:sz w:val="20"/>
        </w:rPr>
        <w:t>. Awards granted under the Plan may, in the absolute discretion of the Committee, be granted either alone, in addition to, or in tandem with any other Award. In the event dividends or Dividend Equivalents are awarded in connection with any Award, such dividends or Dividend Equivalents shall be accrued in a bookkeeping account on behalf of the Participant during all applicable vesting periods and will be settled only in conjunction with the settlement of the underlying Award (or vested portion thereof). In addition, the Committee may, in its absolute discretion impose on any Award or the exercise thereof, at the date of grant or thereafter (subject to Paragraph IV), such additional terms and conditions, not inconsistent with the provisions of the Plan, as the Committee shall determine, including subjecting such awards to service- or performance-based vesting conditions. Without limiting the scope of the preceding sentence, with respect to any performance-based conditions, (i) the Committee may use one or more business criteria or other measures of performance as it may deem appropriate in establishing any performance goals applicable to an Award, (ii) any such performance goals may relate to the performance of the Participant, the Company (on a consolidated basis), or to specified subsidiaries, business or geographical units or operating areas of the Company, (iii) the performance period or periods over which performance goals will be measured shall be established by the Committee, and (iv) any such performance goals and performance periods may differ among Awards granted to any one Participant or to different Participants. To the extent provided in an Award Agreement, the Committee may exercise its absolute discretion to reduce or increase the amounts payable under any Award.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u w:val="single"/>
        </w:rPr>
        <w:t>Stock Offered</w:t>
      </w:r>
      <w:r>
        <w:rPr>
          <w:rFonts w:ascii="Times New Roman;Times;Serif" w:hAnsi="Times New Roman;Times;Serif"/>
          <w:b w:val="false"/>
          <w:i w:val="false"/>
          <w:caps w:val="false"/>
          <w:smallCaps w:val="false"/>
          <w:sz w:val="20"/>
        </w:rPr>
        <w:t>. Subject to the limitations set forth in Paragraph V(a), the stock to be offered pursuant to the grant of an Award may be authorized but unissued Common Stock or Common Stock previously issued and outstanding and reacquired by the Company. Any of such shares that remain unissued and that are not subject to outstanding Awards at the termination of the Plan shall cease to be subject to the Plan but, until termination of the Plan, the Company shall at all times make available a sufficient number of shares to meet the requirements of the Plan. The shares of the Company’s stock to be issued pursuant to any Award may be represented by physical stock certificates or may be uncertificated. Notwithstanding references in the Plan to certificates, the Company may deliver uncertificated shares of Common Stock in connection with any Award.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u w:val="single"/>
        </w:rPr>
        <w:t>Acquired Companies</w:t>
      </w:r>
      <w:r>
        <w:rPr>
          <w:rFonts w:ascii="Times New Roman;Times;Serif" w:hAnsi="Times New Roman;Times;Serif"/>
          <w:b w:val="false"/>
          <w:i w:val="false"/>
          <w:caps w:val="false"/>
          <w:smallCaps w:val="false"/>
          <w:sz w:val="20"/>
        </w:rPr>
        <w:t>. If a company is acquired by or combined with the Company and has shares available under a pre-existing plan approved by its stockholders and not adopted in contemplation of such acquisition or combination, the shares available under such pre-existing plan (as adjusted, to the extent appropriate) may be used for Awards under the Plan and shall not reduce the shares of Common Stock authorized for issuance under the Plan. Awards using such available shares shall be made prior to the date that awards could have been made under the pre-existing plan and shall be made to individuals who were not Eligible Persons prior to such acquisition or combination. Moreover, shares of Common Stock respecting Awards granted upon the assumption of, or in substitution or exchange for, awards outstanding under such pre-existing plan shall not reduce the shares of Common Stock authorized for issuance under the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u w:val="single"/>
        </w:rPr>
        <w:t>Minimum Vesting Periods</w:t>
      </w:r>
      <w:r>
        <w:rPr>
          <w:rFonts w:ascii="Times New Roman;Times;Serif" w:hAnsi="Times New Roman;Times;Serif"/>
          <w:b w:val="false"/>
          <w:i w:val="false"/>
          <w:caps w:val="false"/>
          <w:smallCaps w:val="false"/>
          <w:sz w:val="20"/>
        </w:rPr>
        <w:t>. Subject to Paragraph XIV, any equity-based Award (or portion thereof) granted under the Plan shall vest no earlier than the first anniversary of the date the Award is granted (excluding, for this purpose, any (i) Substitute Awards and (ii) shares delivered in lieu of fully vested cash Awards); provided, however, that, notwithstanding the foregoing, Awards that result in the issuance of an aggregate of up to 5% of the shares of Stock available pursuant to Paragraph V(a) (subject to adjustment pursuant to Paragraph XIV) may be granted to any one or more Eligible Persons without respect to and/or administered without regard for this minimum vesting provision. No Award Agreement shall be permitted to reduce or eliminate the requirements of this subparagraph (f). Nothing in this subparagraph (f) shall preclude the Committee from permitting accelerated vesting of any Award (including in cases of retirement, death, disability or a Corporate Change) in the terms of an Award or otherwise, for any reason in accordance with this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VI. ELIGIBILITY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Awards may be granted only to persons who, at the time of grant, are Eligible Persons. An Award may be granted on more than one occasion to the same person, and, subject to the limitations set forth in the Plan, such Award may include an Incentive Stock Option, an Option that is not an Incentive Stock Option, a Restricted Stock Award, a Restricted Stock Unit Award, a Phantom Stock Award, a Bonus Stock Award, a Cash Award, an Other Stock-Based Award or any combination thereof.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VII. STOCK OPTIONS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u w:val="single"/>
        </w:rPr>
        <w:t>Option Period</w:t>
      </w:r>
      <w:r>
        <w:rPr>
          <w:rFonts w:ascii="Times New Roman;Times;Serif" w:hAnsi="Times New Roman;Times;Serif"/>
          <w:b w:val="false"/>
          <w:i w:val="false"/>
          <w:caps w:val="false"/>
          <w:smallCaps w:val="false"/>
          <w:sz w:val="20"/>
        </w:rPr>
        <w:t>. The term of each Option, and each Stock Appreciation Right shall be as specified by the Committee at the date of grant, but in no event shall an Option, or a Stock Appreciation Right, be exercisable after the expiration of 10 years from the date of grant.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u w:val="single"/>
        </w:rPr>
        <w:t>Limitations on Exercise of Option</w:t>
      </w:r>
      <w:r>
        <w:rPr>
          <w:rFonts w:ascii="Times New Roman;Times;Serif" w:hAnsi="Times New Roman;Times;Serif"/>
          <w:b w:val="false"/>
          <w:i w:val="false"/>
          <w:caps w:val="false"/>
          <w:smallCaps w:val="false"/>
          <w:sz w:val="20"/>
        </w:rPr>
        <w:t>. An Option shall be exercisable in whole or in such installments and at such times as determined by the Committee.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u w:val="single"/>
        </w:rPr>
        <w:t>Special Limitations on Incentive Stock Options</w:t>
      </w:r>
      <w:r>
        <w:rPr>
          <w:rFonts w:ascii="Times New Roman;Times;Serif" w:hAnsi="Times New Roman;Times;Serif"/>
          <w:b w:val="false"/>
          <w:i w:val="false"/>
          <w:caps w:val="false"/>
          <w:smallCaps w:val="false"/>
          <w:sz w:val="20"/>
        </w:rPr>
        <w:t>. An Incentive Stock Option may be granted only to an individual who is employed by the Company or any “parent corporation” or “subsidiary corporation” (as such terms are defined in Section 424 of the Code) of the Company at the time the Option is granted. To the extent that the aggregate fair market value (determined at the time the respective Incentive Stock Option is granted) of stock with respect to which Incentive Stock Options are exercisable for the first time by an individual during any calendar year under all incentive stock option plans of the Company and its parent and subsidiary corporations, within the meaning of Section 424 of the Code, exceeds $100,000 or such other amount as may be prescribed under Section 422 of the Code or applicable regulations or rulings from time to time, such Incentive Stock Options shall be treated as Options that do not constitute Incentive Stock Options. The Committee shall determine, in accordance with applicable provisions of the Code, Treasury regulations, and other administrative pronouncements, which of a Participant’s Incentive Stock Options will not constitute Incentive Stock Options because of such limitation and shall notify the Participant of such determination as soon as practicable after such determination. No Incentive Stock Option shall be granted to an individual if, at the time the Option is granted, such individual owns stock possessing more than 10% of the total combined voting power of all classes of stock of the Company or of its parent or subsidiary corporation, within the meaning of Section 422(b)(6) of the Code, unless (i) at the time such Option is granted, the option price is at least 110% of the Fair Market Value of the Common Stock subject to the Option and (ii) such Option by its terms is not exercisable after the expiration of five years from the date of grant. Except as otherwise provided in Sections 421 or 422 of the Code, an Incentive Stock Option shall not be transferable otherwise than by will or the laws of descent and distribution and shall be exercisable during the Participant’s lifetime only by such Participant or the Participant’s guardian or legal representative.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9</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u w:val="single"/>
        </w:rPr>
        <w:t>Option Agreement</w:t>
      </w:r>
      <w:r>
        <w:rPr>
          <w:rFonts w:ascii="Times New Roman;Times;Serif" w:hAnsi="Times New Roman;Times;Serif"/>
          <w:b w:val="false"/>
          <w:i w:val="false"/>
          <w:caps w:val="false"/>
          <w:smallCaps w:val="false"/>
          <w:sz w:val="20"/>
        </w:rPr>
        <w:t>. Each Option shall be evidenced by an Option Agreement in such form and containing such provisions not inconsistent with the provisions of the Plan as the Committee from time to time shall approve, including, without limitation, provisions to qualify an Option as an Incentive Stock Option under Section 422 of the Code. Each Option Agreement shall specify the effect of termination of (i) employment, (ii) the consulting or advisory relationship or (iii) membership on the Board or the board of directors (or analogous governing body) of an Affiliate of the Company, as applicable, on the exercisability of the Option. An Option Agreement may provide for the payment of the option price, in whole or in part, by the delivery of a number of shares of Common Stock (plus cash if necessary) having a Fair Market Value equal to such option price. Moreover, an Option Agreement may provide for a “cashless exercise” of the Option by establishing procedures satisfactory to the Committee with respect thereto. Further, an Option Agreement may provide, on such terms and conditions as the Committee in its sole discretion may prescribe, for the grant of a Stock Appreciation Right in connection with the grant of an Option and, in such case, the exercise of the Stock Appreciation Right shall result in the surrender of the right to purchase a number of shares under the Option equal to the number of shares with respect to which the Stock Appreciation Right is exercised (and vice versa). In the case of any Stock Appreciation Right that is granted in connection with an Incentive Stock Option, such right shall be exercisable only when the Fair Market Value of the Common Stock exceeds the exercise price specified therefor in the Option or the portion thereof to be surrendered. The terms and conditions of the respective Option Agreements need not be identical. The Committee may, in its sole discretion, amend an outstanding Option Agreement from time to time in any manner that is not inconsistent with the provisions of the Plan (including, without limitation, an amendment that accelerates the time at which the Option, or a portion thereof, may be exercisable), provided that, except as otherwise provided in the Plan or the applicable Option Agreement, any such amendment shall not materially reduce the rights of a Participant without the consent of such Participant.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u w:val="single"/>
        </w:rPr>
        <w:t>Option Price and Payment</w:t>
      </w:r>
      <w:r>
        <w:rPr>
          <w:rFonts w:ascii="Times New Roman;Times;Serif" w:hAnsi="Times New Roman;Times;Serif"/>
          <w:b w:val="false"/>
          <w:i w:val="false"/>
          <w:caps w:val="false"/>
          <w:smallCaps w:val="false"/>
          <w:sz w:val="20"/>
        </w:rPr>
        <w:t>. The price at which a share of Common Stock may be purchased upon exercise of an Option shall be determined by the Committee but, subject to the special limitations on Incentive Stock Options set forth in Paragraph VII(c) and to adjustment as provided in Paragraph XIV, such purchase price shall not be less than the Fair Market Value of a share of Common Stock on the date such Option is granted. The Option or portion thereof may be exercised by delivery of an irrevocable notice of exercise to the Company, as specified by the Committee. The purchase price of the Option or portion thereof shall be paid in full in the manner prescribed by the Committee. Separate stock certificates shall be issued by the Company for those shares acquired pursuant to the exercise of an Incentive Stock Option and for those shares acquired pursuant to the exercise of any Option that does not constitute an Incentive Stock Option.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u w:val="single"/>
        </w:rPr>
        <w:t>Restrictions on Repricing of Options</w:t>
      </w:r>
      <w:r>
        <w:rPr>
          <w:rFonts w:ascii="Times New Roman;Times;Serif" w:hAnsi="Times New Roman;Times;Serif"/>
          <w:b w:val="false"/>
          <w:i w:val="false"/>
          <w:caps w:val="false"/>
          <w:smallCaps w:val="false"/>
          <w:sz w:val="20"/>
        </w:rPr>
        <w:t>. Except as provided in Paragraph XIV, the Committee may not, without approval of the stockholders of the Company, (i) amend any outstanding Option Agreement to lower the option price, (ii) cancel and replace any outstanding Option Agreement with Option Agreements having a lower option price, or (iii) repurchase any Option (or any exchange of such Option for cash or another Award) at a time when the Fair Market Value of the Common Stock is less than the exercise price of the Option.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u w:val="single"/>
        </w:rPr>
        <w:t>Stockholder Rights and Privileges</w:t>
      </w:r>
      <w:r>
        <w:rPr>
          <w:rFonts w:ascii="Times New Roman;Times;Serif" w:hAnsi="Times New Roman;Times;Serif"/>
          <w:b w:val="false"/>
          <w:i w:val="false"/>
          <w:caps w:val="false"/>
          <w:smallCaps w:val="false"/>
          <w:sz w:val="20"/>
        </w:rPr>
        <w:t>. The Participant shall be entitled to all the privileges and rights of a stockholder only with respect to such shares of Common Stock as have been purchased under the Option and for which shares of stock have been issued to the Participant.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u w:val="single"/>
        </w:rPr>
        <w:t>Options and Rights in Substitution for Options Granted by Other Employers</w:t>
      </w:r>
      <w:r>
        <w:rPr>
          <w:rFonts w:ascii="Times New Roman;Times;Serif" w:hAnsi="Times New Roman;Times;Serif"/>
          <w:b w:val="false"/>
          <w:i w:val="false"/>
          <w:caps w:val="false"/>
          <w:smallCaps w:val="false"/>
          <w:sz w:val="20"/>
        </w:rPr>
        <w:t>. Options and Stock Appreciation Rights may be granted under the Plan from time to time in substitution for options and such rights held by individuals providing services to corporations or other entities who become Eligible Persons as a result of a merger or consolidation or other business transaction with the Company or any Affiliate.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10</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VIII. RESTRICTED STOCK AWARDS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u w:val="single"/>
        </w:rPr>
        <w:t>Forfeiture Restrictions to be Established by the Committee</w:t>
      </w:r>
      <w:r>
        <w:rPr>
          <w:rFonts w:ascii="Times New Roman;Times;Serif" w:hAnsi="Times New Roman;Times;Serif"/>
          <w:b w:val="false"/>
          <w:i w:val="false"/>
          <w:caps w:val="false"/>
          <w:smallCaps w:val="false"/>
          <w:sz w:val="20"/>
        </w:rPr>
        <w:t>. Shares of Common Stock that are the subject of a Restricted Stock Award shall be subject to restrictions on transferability by the Participant and an obligation of the Participant to forfeit and surrender the shares to the Company under certain circumstances (the “</w:t>
      </w:r>
      <w:r>
        <w:rPr>
          <w:rFonts w:ascii="Times New Roman;Times;Serif" w:hAnsi="Times New Roman;Times;Serif"/>
          <w:b/>
          <w:i/>
          <w:caps w:val="false"/>
          <w:smallCaps w:val="false"/>
          <w:sz w:val="20"/>
        </w:rPr>
        <w:t>Forfeiture Restrictions</w:t>
      </w:r>
      <w:r>
        <w:rPr>
          <w:rFonts w:ascii="Times New Roman;Times;Serif" w:hAnsi="Times New Roman;Times;Serif"/>
          <w:b w:val="false"/>
          <w:i w:val="false"/>
          <w:caps w:val="false"/>
          <w:smallCaps w:val="false"/>
          <w:sz w:val="20"/>
        </w:rPr>
        <w:t>”). The Forfeiture Restrictions shall be determined by the Committee in its sole discretion, and the Committee may provide that the Forfeiture Restrictions shall lapse upon (i) the attainment of one or more performance measures, as described in Paragraph V(c), (ii) the Participant’s continued employment with the Company or one of its Affiliates or continued service as a Consultant or Director for a specified period of time, (iii) the occurrence of any event or the satisfaction of any other condition specified by the Committee in its sole discretion, or (iv) a combination of any of the foregoing. Each Restricted Stock Award may have different Forfeiture Restrictions, in the discretion of the Committee.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u w:val="single"/>
        </w:rPr>
        <w:t>Other Terms and Conditions</w:t>
      </w:r>
      <w:r>
        <w:rPr>
          <w:rFonts w:ascii="Times New Roman;Times;Serif" w:hAnsi="Times New Roman;Times;Serif"/>
          <w:b w:val="false"/>
          <w:i w:val="false"/>
          <w:caps w:val="false"/>
          <w:smallCaps w:val="false"/>
          <w:sz w:val="20"/>
        </w:rPr>
        <w:t>. The Participant shall have the right to receive dividends with respect to Common Stock subject to a Restricted Stock Award, to vote Common Stock subject thereto, and to enjoy all other stockholder rights, except that (i) the Participant shall not be entitled to delivery of the stock certificate until the Forfeiture Restrictions have expired, (ii) the Company shall retain custody of the stock until the Forfeiture Restrictions have expired, (iii) the Participant may not sell, transfer, pledge, exchange, hypothecate, or otherwise dispose of or encumber the stock until the Forfeiture Restrictions have expired, (iv) dividends will not be paid on outstanding Restricted Stock Awards until the Forfeiture Restrictions have expired, although dividends may accrue subject to satisfaction of the Forfeiture Restrictions, and (v) a breach of the terms and conditions established by the Committee pursuant to the Restricted Stock Agreement shall result in a forfeiture of the Restricted Stock Award as determined by the Committee. At the time a Restricted Stock Award is granted, the Committee may, in its sole discretion, prescribe additional terms, conditions, or restrictions relating to Restricted Stock Awards, including, but not limited to, rules pertaining to the termination of employment or service as a Consultant or Director (by retirement, disability, death, or otherwise) of a Participant prior to expiration of the Forfeitures Restrictions. Such additional terms, conditions, or restrictions shall be set forth in a Restricted Stock Agreement made in conjunction with the Award.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u w:val="single"/>
        </w:rPr>
        <w:t>Payment for Restricted Stock</w:t>
      </w:r>
      <w:r>
        <w:rPr>
          <w:rFonts w:ascii="Times New Roman;Times;Serif" w:hAnsi="Times New Roman;Times;Serif"/>
          <w:b w:val="false"/>
          <w:i w:val="false"/>
          <w:caps w:val="false"/>
          <w:smallCaps w:val="false"/>
          <w:sz w:val="20"/>
        </w:rPr>
        <w:t>. The Committee shall determine the amount and form of any payment for Common Stock received pursuant to a Restricted Stock Award, provided that in the absence of such a determination, a Participant shall not be required to make any payment for Common Stock received pursuant to a Restricted Stock Award, except to the extent otherwise required by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u w:val="single"/>
        </w:rPr>
        <w:t>Committee’s Discretion to Accelerate Vesting of Restricted Stock Awards</w:t>
      </w:r>
      <w:r>
        <w:rPr>
          <w:rFonts w:ascii="Times New Roman;Times;Serif" w:hAnsi="Times New Roman;Times;Serif"/>
          <w:b w:val="false"/>
          <w:i w:val="false"/>
          <w:caps w:val="false"/>
          <w:smallCaps w:val="false"/>
          <w:sz w:val="20"/>
        </w:rPr>
        <w:t>. The Committee may, in its discretion and as of a date determined by the Committee, fully vest any or all Common Stock awarded to a Participant pursuant to a Restricted Stock Award and, upon such vesting, all Forfeiture Restrictions applicable to such Restricted Stock Award shall terminate as of such date. Any action by the Committee pursuant to this Subparagraph (d) may vary among individual Participants and may vary among the Restricted Stock Awards held by any individual Participant.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u w:val="single"/>
        </w:rPr>
        <w:t>Restricted Stock Agreements</w:t>
      </w:r>
      <w:r>
        <w:rPr>
          <w:rFonts w:ascii="Times New Roman;Times;Serif" w:hAnsi="Times New Roman;Times;Serif"/>
          <w:b w:val="false"/>
          <w:i w:val="false"/>
          <w:caps w:val="false"/>
          <w:smallCaps w:val="false"/>
          <w:sz w:val="20"/>
        </w:rPr>
        <w:t>. At the time any Award is made under this Paragraph VIII, the Company and the Participant shall enter into a Restricted Stock Agreement setting forth each of the matters contemplated hereby and such other matters as the Committee may determine to be appropriate. The terms and provisions of the respective Restricted Stock Agreements need not be identical. Subject to the restriction set forth in the first sentence of Subparagraph (d) above, the Committee may, in its sole discretion, amend an outstanding Restricted Stock Agreement from time to time in any manner that is not inconsistent with the provisions of the Plan, provided that, except as otherwise provided in the Plan or the applicable Restricted Stock Agreement, any such amendment shall not materially reduce the rights of a Participant without the consent of such Participant.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IX. RESTRICTED STOCK UNIT AWARDS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u w:val="single"/>
        </w:rPr>
        <w:t>Restricted Stock Unit Awards</w:t>
      </w:r>
      <w:r>
        <w:rPr>
          <w:rFonts w:ascii="Times New Roman;Times;Serif" w:hAnsi="Times New Roman;Times;Serif"/>
          <w:b w:val="false"/>
          <w:i w:val="false"/>
          <w:caps w:val="false"/>
          <w:smallCaps w:val="false"/>
          <w:sz w:val="20"/>
        </w:rPr>
        <w:t>. The Committee is authorized to grant restricted stock units (“</w:t>
      </w:r>
      <w:r>
        <w:rPr>
          <w:rFonts w:ascii="Times New Roman;Times;Serif" w:hAnsi="Times New Roman;Times;Serif"/>
          <w:b/>
          <w:i/>
          <w:caps w:val="false"/>
          <w:smallCaps w:val="false"/>
          <w:sz w:val="20"/>
        </w:rPr>
        <w:t>RSUs</w:t>
      </w:r>
      <w:r>
        <w:rPr>
          <w:rFonts w:ascii="Times New Roman;Times;Serif" w:hAnsi="Times New Roman;Times;Serif"/>
          <w:b w:val="false"/>
          <w:i w:val="false"/>
          <w:caps w:val="false"/>
          <w:smallCaps w:val="false"/>
          <w:sz w:val="20"/>
        </w:rPr>
        <w:t>”) to Eligible Persons.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u w:val="single"/>
        </w:rPr>
        <w:t>Restrictions</w:t>
      </w:r>
      <w:r>
        <w:rPr>
          <w:rFonts w:ascii="Times New Roman;Times;Serif" w:hAnsi="Times New Roman;Times;Serif"/>
          <w:b w:val="false"/>
          <w:i w:val="false"/>
          <w:caps w:val="false"/>
          <w:smallCaps w:val="false"/>
          <w:sz w:val="20"/>
        </w:rPr>
        <w:t>. RSUs shall be subject to such restrictions (which may include a risk of forfeiture) as the Committee may impose.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u w:val="single"/>
        </w:rPr>
        <w:t>Performance Conditions</w:t>
      </w:r>
      <w:r>
        <w:rPr>
          <w:rFonts w:ascii="Times New Roman;Times;Serif" w:hAnsi="Times New Roman;Times;Serif"/>
          <w:b w:val="false"/>
          <w:i w:val="false"/>
          <w:caps w:val="false"/>
          <w:smallCaps w:val="false"/>
          <w:sz w:val="20"/>
        </w:rPr>
        <w:t>. In accordance with Paragraph VI, the Committee, in its absolute discretion, may subject any Restricted Stock Unit Award, at the date of grant or thereafter, to performance-based vesting conditions. Without limiting the scope of the preceding sentence, with respect to any performance-based conditions, (i) the Committee may use one or more business criteria or other measures of performance as it may deem appropriate in establishing any performance goals applicable to a Restricted Stock Unit Award, (ii) any such performance goals may relate to the performance of the Participant, the Company (on a consolidated basis), or to specified subsidiaries, business or geographical units or operating areas of the Company, (iii) the performance period or periods over which performance goals will be measured shall be established by the Committee, and (iv) any such performance goals and performance periods may differ among Restricted Stock Unit Awards granted to any one Participant or to different Participants.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u w:val="single"/>
        </w:rPr>
        <w:t>Settlement</w:t>
      </w:r>
      <w:r>
        <w:rPr>
          <w:rFonts w:ascii="Times New Roman;Times;Serif" w:hAnsi="Times New Roman;Times;Serif"/>
          <w:b w:val="false"/>
          <w:i w:val="false"/>
          <w:caps w:val="false"/>
          <w:smallCaps w:val="false"/>
          <w:sz w:val="20"/>
        </w:rPr>
        <w:t>. Settlement of vested RSUs shall occur upon vesting or upon expiration of the deferral period specified for such RSUs by the Committee (or, if permitted by the Committee, as elected by the Participant). RSUs shall be settled by delivery of (A) a number of shares of Stock equal to the number of RSUs for which settlement is due, or (B) cash in an amount equal to the Fair Market Value of the specified number of shares of Stock equal to the number of RSUs for which settlement is due, or a combination thereof, as determined by the Committee at the date of grant or thereafter.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u w:val="single"/>
        </w:rPr>
        <w:t>Deferrals</w:t>
      </w:r>
      <w:r>
        <w:rPr>
          <w:rFonts w:ascii="Times New Roman;Times;Serif" w:hAnsi="Times New Roman;Times;Serif"/>
          <w:b w:val="false"/>
          <w:i w:val="false"/>
          <w:caps w:val="false"/>
          <w:smallCaps w:val="false"/>
          <w:sz w:val="20"/>
        </w:rPr>
        <w:t>. With the consent of the Committee, amounts payable in respect of Restricted Stock Unit Awards (and accompanying Dividend Equivalent rights) may be subject to elective deferral by the Participant pursuant to the terms and conditions determined by the Committee and in accordance with the provisions of the Waste Management, Inc. 409A Deferral Savings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u w:val="single"/>
        </w:rPr>
        <w:t>Termination of Award</w:t>
      </w:r>
      <w:r>
        <w:rPr>
          <w:rFonts w:ascii="Times New Roman;Times;Serif" w:hAnsi="Times New Roman;Times;Serif"/>
          <w:b w:val="false"/>
          <w:i w:val="false"/>
          <w:caps w:val="false"/>
          <w:smallCaps w:val="false"/>
          <w:sz w:val="20"/>
        </w:rPr>
        <w:t>. A Restricted Stock Unit Award shall terminate if the Participant does not remain continuously in the employ of the Company and its Affiliates or does not continue to perform services as a Consultant or a Director for the Company and its Affiliates at all times during the applicable vesting period, except as may be otherwise determined by the Committee.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u w:val="single"/>
        </w:rPr>
        <w:t>Restricted Stock Unit Award Agreements</w:t>
      </w:r>
      <w:r>
        <w:rPr>
          <w:rFonts w:ascii="Times New Roman;Times;Serif" w:hAnsi="Times New Roman;Times;Serif"/>
          <w:b w:val="false"/>
          <w:i w:val="false"/>
          <w:caps w:val="false"/>
          <w:smallCaps w:val="false"/>
          <w:sz w:val="20"/>
        </w:rPr>
        <w:t>. At the time any Award is made under this Paragraph IX, the Company and the Participant shall enter into a Restricted Stock Unit Award Agreement setting forth each of the matters contemplated hereby and such additional matters as the Committee may determine to be appropriate. The terms and provisions of the respective Restricted Stock Unit Award Agreements need not be identical.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X. PHANTOM STOCK AWARDS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u w:val="single"/>
        </w:rPr>
        <w:t>Phantom Stock Awards</w:t>
      </w:r>
      <w:r>
        <w:rPr>
          <w:rFonts w:ascii="Times New Roman;Times;Serif" w:hAnsi="Times New Roman;Times;Serif"/>
          <w:b w:val="false"/>
          <w:i w:val="false"/>
          <w:caps w:val="false"/>
          <w:smallCaps w:val="false"/>
          <w:sz w:val="20"/>
        </w:rPr>
        <w:t>. Phantom Stock Awards are rights to receive the Fair Market Value of a share of Common Stock, or rights to receive an amount equal to any appreciation or increase in the Fair Market Value of Common Stock over a specified period of time, which vest over a period of time as established by the Committee. The Committee may, in its discretion, require payment or other conditions of the Participant respecting any Phantom Stock Award. Specifically. A Phantom Stock Award may include, without limitation, a Stock Appreciation Right that is granted independently of an Option; provided, however, that the exercise price per share of Common Stock subject to the Stock Appreciation Right shall be (i) determined by the Committee but, subject to adjustment as provided in Paragraph XIV, such exercise price shall not be less than the Fair Market Value of a share of Common Stock on the date such Stock Appreciation Right is granted, and (ii) subject to the restrictions on repricings described in Paragraph VII(f) in the same manner as applies to Options.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u w:val="single"/>
        </w:rPr>
        <w:t>Award Period</w:t>
      </w:r>
      <w:r>
        <w:rPr>
          <w:rFonts w:ascii="Times New Roman;Times;Serif" w:hAnsi="Times New Roman;Times;Serif"/>
          <w:b w:val="false"/>
          <w:i w:val="false"/>
          <w:caps w:val="false"/>
          <w:smallCaps w:val="false"/>
          <w:sz w:val="20"/>
        </w:rPr>
        <w:t>. The Committee shall establish, with respect to and at the time of each Phantom Stock Award, a period over which the Award shall vest with respect to the Participant.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u w:val="single"/>
        </w:rPr>
        <w:t>Awards Criteria</w:t>
      </w:r>
      <w:r>
        <w:rPr>
          <w:rFonts w:ascii="Times New Roman;Times;Serif" w:hAnsi="Times New Roman;Times;Serif"/>
          <w:b w:val="false"/>
          <w:i w:val="false"/>
          <w:caps w:val="false"/>
          <w:smallCaps w:val="false"/>
          <w:sz w:val="20"/>
        </w:rPr>
        <w:t>. In determining the value of Phantom Stock Awards, the Committee shall take into account a Participant’s responsibility level, performance, potential, other Awards, and such other considerations as it deems appropriate.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u w:val="single"/>
        </w:rPr>
        <w:t>Payment</w:t>
      </w:r>
      <w:r>
        <w:rPr>
          <w:rFonts w:ascii="Times New Roman;Times;Serif" w:hAnsi="Times New Roman;Times;Serif"/>
          <w:b w:val="false"/>
          <w:i w:val="false"/>
          <w:caps w:val="false"/>
          <w:smallCaps w:val="false"/>
          <w:sz w:val="20"/>
        </w:rPr>
        <w:t>. Following the end of the vesting period for a Phantom Stock Award (or at such other time as the applicable Phantom Stock Award Agreement may provide), the holder of a Phantom Stock Award shall be entitled to receive payment of an amount, not exceeding the maximum value of the Phantom Stock Award, based on the then vested value of the Award. Payment shall be made in a lump sum or in installments as prescribed by the Committee. Any payment to be made in cash shall be based on the Fair Market Value of the Common Stock on the payment date or such other date as may be specified by the Committee in the Phantom Stock Award Agreement. A Participant shall not be entitled to the privileges and rights of a stockholder with respect to a Phantom Stock Award.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u w:val="single"/>
        </w:rPr>
        <w:t>Termination of Award</w:t>
      </w:r>
      <w:r>
        <w:rPr>
          <w:rFonts w:ascii="Times New Roman;Times;Serif" w:hAnsi="Times New Roman;Times;Serif"/>
          <w:b w:val="false"/>
          <w:i w:val="false"/>
          <w:caps w:val="false"/>
          <w:smallCaps w:val="false"/>
          <w:sz w:val="20"/>
        </w:rPr>
        <w:t>. A Phantom Stock Award shall terminate if the Participant does not remain continuously in the employ of the Company and its Affiliates or does not continue to perform services as a Consultant or a Director for the Company and its Affiliates at all times during the applicable vesting period, except as may be otherwise determined by the Committee.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u w:val="single"/>
        </w:rPr>
        <w:t>Phantom Stock Award Agreements</w:t>
      </w:r>
      <w:r>
        <w:rPr>
          <w:rFonts w:ascii="Times New Roman;Times;Serif" w:hAnsi="Times New Roman;Times;Serif"/>
          <w:b w:val="false"/>
          <w:i w:val="false"/>
          <w:caps w:val="false"/>
          <w:smallCaps w:val="false"/>
          <w:sz w:val="20"/>
        </w:rPr>
        <w:t>. At the time any Award is made under this Paragraph X, the Company and the Participant shall enter into a Phantom Stock Award Agreement setting forth each of the matters contemplated hereby and such additional matters as the Committee may determine to be appropriate. The terms and provisions of the respective Phantom Stock Award Agreements need not be identical.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XI. BONUS STOCK AWARDS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Bonus Stock Award granted to a Participant shall constitute a transfer of unrestricted shares of Common Stock on such terms and conditions as the Committee shall determine. Bonus Stock Awards shall be made in shares of Common Stock and need not be subject to performance criteria or objectives or to forfeiture. The purchase price, if any, for shares of Common Stock issued in connection with a Bonus Stock Award shall be determined by the Committee in its sole discretion. The Company and the Participant shall enter into a Bonus Stock Award Agreement setting forth the terms of any such Award.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XII. CASH AWARDS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is authorized to grant Cash Awards, on a free-standing basis or as an element of, a supplement to, or in lieu of any other Award under the Plan to Eligible Persons in such amounts and subject to such other terms as the Committee, in its discretion, determines to be appropriate, including for purposes of any annual or short-term incentive or other bonus program.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XIII. Other stock-based awards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is authorized, subject to limitations under applicable law, to grant to Eligible Persons such other Awards that may be denominated or payable in, valued in whole or in part by reference to, or otherwise based on, or related to, Common Stock, as deemed by the Committee to be consistent with the purposes of the Plan, including convertible or exchangeable debt securities, other rights convertible or exchangeable into Common Stock, purchase rights for Common Stock, Awards with value and payment contingent upon performance of the Company or any other factors designated by the Committee, and Awards valued by reference to the book value of Common Stock or the value of securities of, or the performance of, specified Affiliates. The Committee shall determine the terms and conditions of such Other Stock-Based Awards. Common Stock delivered pursuant to an Other Stock-Based Award in the nature of a purchase right granted under this Paragraph XIII shall be purchased for such consideration, paid for at such times, by such methods, and in such forms, including cash, Common Stock, other Awards, or other property, as the Committee shall determine.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XIV. RECAPITALIZATION OR REORGANIZATION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u w:val="single"/>
        </w:rPr>
        <w:t>No Effect on Right or Power</w:t>
      </w:r>
      <w:r>
        <w:rPr>
          <w:rFonts w:ascii="Times New Roman;Times;Serif" w:hAnsi="Times New Roman;Times;Serif"/>
          <w:b w:val="false"/>
          <w:i w:val="false"/>
          <w:caps w:val="false"/>
          <w:smallCaps w:val="false"/>
          <w:sz w:val="20"/>
        </w:rPr>
        <w:t>. The existence of the Plan and the Awards granted hereunder shall not affect in any way the right or power of the Board or the stockholders of the Company to make or authorize any adjustment, recapitalization, reorganization, or other change in the Company’s or any Affiliate’s capital structure or its business, any merger, consolidation or other business combination of the Company or any Affiliate, any issue of debt or equity securities ahead of or affecting Common Stock or the rights thereof, the dissolution or liquidation of the Company or any Affiliate, any sale, lease, exchange, or other disposition of all or any part of its assets or business, or any other corporate act or proceeding.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u w:val="single"/>
        </w:rPr>
        <w:t>Subdivision or Consolidation of Shares; Stock Dividends</w:t>
      </w:r>
      <w:r>
        <w:rPr>
          <w:rFonts w:ascii="Times New Roman;Times;Serif" w:hAnsi="Times New Roman;Times;Serif"/>
          <w:b w:val="false"/>
          <w:i w:val="false"/>
          <w:caps w:val="false"/>
          <w:smallCaps w:val="false"/>
          <w:sz w:val="20"/>
        </w:rPr>
        <w:t>. The shares with respect to which Awards may be granted are shares of Common Stock as presently constituted, but if, and whenever, prior to the expiration of an Award theretofore granted, the Company shall effect a subdivision or consolidation of shares of Common Stock or the payment of a stock dividend on Common Stock without receipt of consideration by the Company, the number of shares of Common Stock with respect to which such Award may thereafter be exercised or satisfied, as applicable, (i) in the event of an increase in the number of outstanding shares, shall be proportionately increased, and the purchase price per share, if any, shall be proportionately reduced, and (ii) in the event of a reduction in the number of outstanding shares, shall be proportionately reduced, and the purchase price per share, if any, shall be proportionately increased. Any fractional share resulting from such adjustment shall be rounded up to the next whole share.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u w:val="single"/>
        </w:rPr>
        <w:t>Recapitalizations and Corporate Changes</w:t>
      </w:r>
      <w:r>
        <w:rPr>
          <w:rFonts w:ascii="Times New Roman;Times;Serif" w:hAnsi="Times New Roman;Times;Serif"/>
          <w:b w:val="false"/>
          <w:i w:val="false"/>
          <w:caps w:val="false"/>
          <w:smallCaps w:val="false"/>
          <w:sz w:val="20"/>
        </w:rPr>
        <w:t>. If the Company recapitalizes, reclassifies its capital stock, or otherwise changes its capital structure (a “</w:t>
      </w:r>
      <w:r>
        <w:rPr>
          <w:rFonts w:ascii="Times New Roman;Times;Serif" w:hAnsi="Times New Roman;Times;Serif"/>
          <w:b/>
          <w:i/>
          <w:caps w:val="false"/>
          <w:smallCaps w:val="false"/>
          <w:sz w:val="20"/>
        </w:rPr>
        <w:t>recapitalization</w:t>
      </w:r>
      <w:r>
        <w:rPr>
          <w:rFonts w:ascii="Times New Roman;Times;Serif" w:hAnsi="Times New Roman;Times;Serif"/>
          <w:b w:val="false"/>
          <w:i w:val="false"/>
          <w:caps w:val="false"/>
          <w:smallCaps w:val="false"/>
          <w:sz w:val="20"/>
        </w:rPr>
        <w:t>”), the number and class of shares of Common Stock or other property covered by an Award theretofore granted and the purchase price of Common Stock or other consideration subject to such Award shall be adjusted so that such Award shall thereafter cover the number and class of shares of stock and securities to which the Participant would have been entitled pursuant to the terms of the recapitalization if, immediately prior to the recapitalization, the Participant had been the holder of record of the number of shares of Common Stock then covered by such Award. If (i) the Company shall not be the surviving entity in any consummated merger, consolidation or other business combination or reorganization (or survives only as a subsidiary of an entity), (ii) the Company sells, leases, or exchanges all or substantially all of its assets to any other person or entity, (iii) the Company is dissolved and liquidated, (iv) any person or entity, including a “group” as contemplated by Section 13(d)(3) of the Exchange Act, acquires or gains ownership or control (including, without limitation, the power to vote) of more than 50% of the outstanding shares of the Company’s voting stock (based upon voting power), or (v) as a result of or in connection with a contested election of directors of the Company, the persons who were directors of the Company before such election shall cease to constitute a majority of the Board (each such event is referred to herein as a “</w:t>
      </w:r>
      <w:r>
        <w:rPr>
          <w:rFonts w:ascii="Times New Roman;Times;Serif" w:hAnsi="Times New Roman;Times;Serif"/>
          <w:b/>
          <w:i/>
          <w:caps w:val="false"/>
          <w:smallCaps w:val="false"/>
          <w:sz w:val="20"/>
        </w:rPr>
        <w:t>Corporate Change</w:t>
      </w:r>
      <w:r>
        <w:rPr>
          <w:rFonts w:ascii="Times New Roman;Times;Serif" w:hAnsi="Times New Roman;Times;Serif"/>
          <w:b w:val="false"/>
          <w:i w:val="false"/>
          <w:caps w:val="false"/>
          <w:smallCaps w:val="false"/>
          <w:sz w:val="20"/>
        </w:rPr>
        <w:t>”), then no later than (x) 10 days after such merger, consolidation, business combination, reorganization, sale, lease, or exchange of assets or dissolution and liquidation or such election of directors or (y) 30 days after a Corporate Change of the type described in clause (iv), the Committee, acting in its sole discretion without the consent or approval of any Participant, shall effect one or more of the following alternatives in an equitable and appropriate manner to prevent dilution or enlargement of the benefits or potential benefits intended to be made available under the Plan, which alternatives may vary among individual Participants and which may vary among Awards held by any individual Participant, and which shall be contingent upon the occurrence of such Corporate Change: (A) accelerate the time at which Options or Stock Appreciation Rights then outstanding may be exercised so that such Awards may be exercised in full for a limited period of time on or before a specified date (before or after such Corporate Change) fixed by the Committee, after which specified date all such unexercised Awards and all rights of Participants thereunder shall terminate, (B) require the mandatory surrender to the Company by all or selected Participants of some or all of the outstanding Options or Stock Appreciation Rights and/or other Awards held by such Participants (irrespective of whether such Awards are then exercisable under the provisions of the Plan) as of a date, before or after such Corporate Change, specified by the Committee, in which event the Committee shall thereupon cancel such Awards and the Company shall pay (or cause to be paid) to each Participant an amount of cash per share equal to the excess, if any, of the amount calculated in Subparagraph (d) below (the “</w:t>
      </w:r>
      <w:r>
        <w:rPr>
          <w:rFonts w:ascii="Times New Roman;Times;Serif" w:hAnsi="Times New Roman;Times;Serif"/>
          <w:b/>
          <w:i/>
          <w:caps w:val="false"/>
          <w:smallCaps w:val="false"/>
          <w:sz w:val="20"/>
        </w:rPr>
        <w:t>Change of Control Value</w:t>
      </w:r>
      <w:r>
        <w:rPr>
          <w:rFonts w:ascii="Times New Roman;Times;Serif" w:hAnsi="Times New Roman;Times;Serif"/>
          <w:b w:val="false"/>
          <w:i w:val="false"/>
          <w:caps w:val="false"/>
          <w:smallCaps w:val="false"/>
          <w:sz w:val="20"/>
        </w:rPr>
        <w:t>”) of the shares subject to such Awards over the exercise price(s) under such Awards for such shares, or in the case of Awards that are not appreciation awards, an amount equal to the Change of Control Value per share subject to such Awards (with any Awards subject to performance-based vesting to be calculated in accordance with the applicable Award Agreements or as otherwise determined by the Committee), or (C) make such adjustments to Awards then outstanding as the Committee deems appropriate to reflect such Corporate Change and to prevent the dilution or enlargement of rights (provided, however, that the Committee may determine in its sole discretion that no adjustment is necessary to such Awards then outstanding), including, without limitation, adjusting such an Award to provide that the number and class of shares of Common Stock covered by such Award shall be adjusted so that such Award shall thereafter cover securities of the surviving or acquiring corporation or other property (including, without limitation, cash) as determined by the Committee in its sole discretion.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u w:val="single"/>
        </w:rPr>
        <w:t>Change of Control Value</w:t>
      </w:r>
      <w:r>
        <w:rPr>
          <w:rFonts w:ascii="Times New Roman;Times;Serif" w:hAnsi="Times New Roman;Times;Serif"/>
          <w:b w:val="false"/>
          <w:i w:val="false"/>
          <w:caps w:val="false"/>
          <w:smallCaps w:val="false"/>
          <w:sz w:val="20"/>
        </w:rPr>
        <w:t>. For the purposes of clause (B) in Subparagraph (c) above, the “Change of Control Value” shall equal the amount determined in the following clauses (i), (ii), or (iii), whichever is applicable: (i) the per share price offered to stockholders of the Company in any such merger, consolidation, or other business combination, reorganization, sale of assets or dissolution and liquidation transaction, (ii) the per share price offered to stockholders of the Company in any tender offer or exchange offer whereby a Corporate Change takes place, or (iii) if such Corporate Change occurs other than pursuant to a tender or exchange offer, the fair market value per share of the shares into which such Options or Stock Appreciation Rights being surrendered are exercisable (or as applicable to Awards other than Options or Stock Appreciation Rights), as determined by the Committee as of the date determined by the Committee to be the date of cancellation and surrender of such Awards. In the event that the consideration offered to stockholders of the Company in any transaction described in this Subparagraph (d) or Subparagraph (c) above consists of anything other than cash, the Committee shall determine the fair cash equivalent of the portion of the consideration offered which is other than cash. Notwithstanding the foregoing, the Committee shall have the right to provide that in the event of a Corporate Change of the Company, Options and Stock Appreciation Rights outstanding as of the date of the Corporate Change shall be cancelled and terminated without payment if the Fair Market Value of one share of Common Stock as of the date of the Corporate Change is less than the per share Option exercise price or Stock Appreciation Right grant price.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u w:val="single"/>
        </w:rPr>
        <w:t>Other Changes in the Common Stock</w:t>
      </w:r>
      <w:r>
        <w:rPr>
          <w:rFonts w:ascii="Times New Roman;Times;Serif" w:hAnsi="Times New Roman;Times;Serif"/>
          <w:b w:val="false"/>
          <w:i w:val="false"/>
          <w:caps w:val="false"/>
          <w:smallCaps w:val="false"/>
          <w:sz w:val="20"/>
        </w:rPr>
        <w:t>. In the event of changes in the outstanding Common Stock by reason of recapitalizations, reorganizations, mergers, consolidations, combinations, split-ups, split-offs, spin-offs, exchanges, or other relevant changes in capitalization or distributions (other than ordinary dividends) to the holders of Common Stock occurring after the date of the grant of any Award and not otherwise provided for by this Paragraph XIV, such Award and any agreement evidencing such Award shall be subject to adjustment by the Committee at its sole discretion as to the number and price of shares of Common Stock or other consideration subject to such Award, accelerated vesting, conversion into other securities or interests or cash settlement in exchange for cancellation in an equitable and appropriate manner so as to prevent the dilution or enlargement of the benefits or potential benefits intended to be made available under such Award. Notwithstanding the foregoing, with respect to a change that constitutes an “equity restructuring” that would be subject to a compensation expense pursuant to Accounting Standards Codification Topic 718, Compensation — Stock Compensation, or any successor accounting standard, the provisions in Subparagraph (c) above shall control to the extent they are in conflict with the discretionary provisions of this Subparagraph (e). In the event of any such change in the outstanding Common Stock or distribution to the holders of Common Stock, or upon the occurrence of any other event described in this Paragraph XIV, the aggregate maximum number of shares available under the Plan, and the aggregate maximum number of shares that may be issued under the Plan through Incentive Stock Options shall be appropriately adjusted to the extent, if any, determined by the Committee, whose determination shall be conclusive.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u w:val="single"/>
        </w:rPr>
        <w:t>Stockholder Action</w:t>
      </w:r>
      <w:r>
        <w:rPr>
          <w:rFonts w:ascii="Times New Roman;Times;Serif" w:hAnsi="Times New Roman;Times;Serif"/>
          <w:b w:val="false"/>
          <w:i w:val="false"/>
          <w:caps w:val="false"/>
          <w:smallCaps w:val="false"/>
          <w:sz w:val="20"/>
        </w:rPr>
        <w:t>. Any adjustment provided for in the above Subparagraphs shall be subject to any stockholder action required by applicable law or regulation or the Company’s certificate of incorporation or bylaws.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u w:val="single"/>
        </w:rPr>
        <w:t>No Adjustments Unless Otherwise Provided</w:t>
      </w:r>
      <w:r>
        <w:rPr>
          <w:rFonts w:ascii="Times New Roman;Times;Serif" w:hAnsi="Times New Roman;Times;Serif"/>
          <w:b w:val="false"/>
          <w:i w:val="false"/>
          <w:caps w:val="false"/>
          <w:smallCaps w:val="false"/>
          <w:sz w:val="20"/>
        </w:rPr>
        <w:t>. Except as hereinbefore expressly provided, the issuance by the Company of shares of stock of any class or securities convertible into shares of stock of any class, for cash, property, labor or services, upon direct sale, upon the exercise of rights or warrants to subscribe therefor, or upon conversion of shares or obligations of the Company convertible into such shares or other securities, and in any case whether or not for fair value, shall not affect, and no adjustment by reason thereof shall be made with respect to, the number of shares of Common Stock subject to Awards theretofore granted or the purchase price per share, if applicable.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XV. AMENDMENT AND TERMINATION OF THE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in its discretion may terminate the Plan at any time with respect to any shares of Common Stock for which Awards have not theretofore been granted. The Board shall have the right to alter or amend the Plan or any part thereof from time to time; provided that no change in the Plan may be made that would materially impair the rights of a Participant with respect to an Award theretofore granted without the consent of the Participant, unless otherwise provided for in the Plan, and provided, further, that the Board may not, without approval of the stockholders of the Company, (a) amend the Plan to increase the aggregate maximum number of shares that may be issued under the Plan, increase the aggregate maximum number of shares that may be issued under the Plan through Incentive Stock Options, or change the class of individuals eligible to receive Awards under the Plan or (b) amend or delete Paragraph VII(f).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XVI. MISCELLANEOUS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u w:val="single"/>
        </w:rPr>
        <w:t>No Right To An Award</w:t>
      </w:r>
      <w:r>
        <w:rPr>
          <w:rFonts w:ascii="Times New Roman;Times;Serif" w:hAnsi="Times New Roman;Times;Serif"/>
          <w:b w:val="false"/>
          <w:i w:val="false"/>
          <w:caps w:val="false"/>
          <w:smallCaps w:val="false"/>
          <w:sz w:val="20"/>
        </w:rPr>
        <w:t>. Neither the adoption of the Plan nor any action of the Board or of the Committee shall be deemed to give any individual any right to be granted an Award, or any other rights hereunder except as may be evidenced by an Award agreement duly executed on behalf of the Company, and then only to the extent and on the terms and conditions expressly set forth therein. The Plan shall be unfunded. The Company shall not be required to establish any special or separate fund or to make any other segregation of funds or assets to assure the performance of its obligations under any Award.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u w:val="single"/>
        </w:rPr>
        <w:t>No Employment/Membership Rights Conferred</w:t>
      </w:r>
      <w:r>
        <w:rPr>
          <w:rFonts w:ascii="Times New Roman;Times;Serif" w:hAnsi="Times New Roman;Times;Serif"/>
          <w:b w:val="false"/>
          <w:i w:val="false"/>
          <w:caps w:val="false"/>
          <w:smallCaps w:val="false"/>
          <w:sz w:val="20"/>
        </w:rPr>
        <w:t>. Nothing contained in the Plan shall (i) confer upon any Employee or Consultant any right with respect to continuation of employment or of a consulting or advisory relationship with the Company or any Affiliate or (ii) interfere in any way with the right of the Company or any Affiliate to terminate his or her employment or consulting or advisory relationship at any time. Nothing contained in the Plan shall confer upon any Director any right with respect to continuation of membership on the Board or the board of directors (or analogous governing body) of any Affiliate of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u w:val="single"/>
        </w:rPr>
        <w:t>Other Laws; Withholding</w:t>
      </w:r>
      <w:r>
        <w:rPr>
          <w:rFonts w:ascii="Times New Roman;Times;Serif" w:hAnsi="Times New Roman;Times;Serif"/>
          <w:b w:val="false"/>
          <w:i w:val="false"/>
          <w:caps w:val="false"/>
          <w:smallCaps w:val="false"/>
          <w:sz w:val="20"/>
        </w:rPr>
        <w:t>. The Company shall not be obligated to issue any Common Stock pursuant to any Award granted under the Plan at any time when the shares covered by such Award have not been registered under the Securities Act, as amended, and such other state and federal laws, rules, and regulations as the Company or the Committee deems applicable and, in the opinion of legal counsel for the Company, there is no exemption from the registration requirements of such laws, rules, and regulations available for the issuance and sale of such shares. No fractional shares of Common Stock shall be delivered, nor shall any cash in lieu of fractional shares be paid unless otherwise determined by the Committee. The Company and any Affiliate are authorized to withhold from any Award granted, or any payment relating to an Award, including from a distribution of Common Stock, taxes due or potentially payable in connection with any transaction involving an Award, and to take such other action as the Committee may deem advisable to enable the Company, the Affiliates and Participants to satisfy the payment of withholding taxes and other tax obligations relating to any Award in such amounts as may be determined by the Committee. The Committee shall determine, in its sole discretion, the form of payment acceptable for such tax withholding obligations, including the delivery of cash or cash equivalents, Common Stock (including through delivery of previously owned shares, net settlement, a broker-assisted sale, or other cashless withholding or reduction of the amount of shares otherwise issuable or delivered pursuant to the Award), other property, or any other legal consideration the Committee deems appropriate. Any determination made by the Committee to allow a Participant who is subject to Rule 16b-3 to pay taxes with shares of Common Stock through net settlement or previously owned shares shall be approved by either a committee made up of solely two or more Qualified Members or the full Board. If such tax withholding amounts are satisfied through net settlement or previously owned shares, the maximum number of shares of Common Stock that may be so withheld or surrendered shall be the number of shares of Common Stock that have an aggregate Fair Market Value on the date of withholding or surrender equal to the aggregate amount of such tax liabilities determined based on the greatest withholding rates for federal, state, foreign and/or local tax purposes, including payroll taxes, that may be utilized without creating adverse accounting treatment for the Company with respect to such Award, as determined by the Committee.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u w:val="single"/>
        </w:rPr>
        <w:t>No Restriction on Corporate Action</w:t>
      </w:r>
      <w:r>
        <w:rPr>
          <w:rFonts w:ascii="Times New Roman;Times;Serif" w:hAnsi="Times New Roman;Times;Serif"/>
          <w:b w:val="false"/>
          <w:i w:val="false"/>
          <w:caps w:val="false"/>
          <w:smallCaps w:val="false"/>
          <w:sz w:val="20"/>
        </w:rPr>
        <w:t>. Nothing contained in the Plan shall be construed to prevent the Company or any Affiliate from taking any action which is deemed by the Company or such Affiliate to be appropriate or in its best interest, whether or not such action would have an adverse effect on the Plan or any Award made under the Plan. No Participant, beneficiary or other person shall have any claim against the Company, any Affiliate, or the Board or the Committee as a result of any such action.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u w:val="single"/>
        </w:rPr>
        <w:t>Restrictions on Transfer</w:t>
      </w:r>
      <w:r>
        <w:rPr>
          <w:rFonts w:ascii="Times New Roman;Times;Serif" w:hAnsi="Times New Roman;Times;Serif"/>
          <w:b w:val="false"/>
          <w:i w:val="false"/>
          <w:caps w:val="false"/>
          <w:smallCaps w:val="false"/>
          <w:sz w:val="20"/>
        </w:rPr>
        <w:t>. An Award (other than an Incentive Stock Option, which shall be subject to the transfer restrictions set forth in Paragraph VII(c)) shall not be transferable otherwise than (i) by will or the laws of descent and distribution, (ii) pursuant to a qualified domestic relations order as defined by the Code or Title I of the Employee Retirement Income Security Act of 1974, as amended, or the rules thereunder, or (iii) with the consent of the Committee. In all cases, an Award shall not be transferable to a third party financial institution for value.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u w:val="single"/>
        </w:rPr>
        <w:t>Clawback</w:t>
      </w:r>
      <w:r>
        <w:rPr>
          <w:rFonts w:ascii="Times New Roman;Times;Serif" w:hAnsi="Times New Roman;Times;Serif"/>
          <w:b w:val="false"/>
          <w:i w:val="false"/>
          <w:caps w:val="false"/>
          <w:smallCaps w:val="false"/>
          <w:sz w:val="20"/>
        </w:rPr>
        <w:t>. Notwithstanding any other provisions in this Plan to the contrary, any Awards granted hereunder and any other agreement or arrangement with the Company which is subject to recovery under any law, government regulation or applicable stock exchange listing are subject to any written clawback policies that the Company may adopt either prior to or following the Effective Date of this Plan, whether required pursuant to or related to any applicable law, government regulation or stock exchange listing. Any such clawback policy may subject a Participant’s Awards and amounts received with respect to Awards to reduction, cancelation, forfeiture or recoupment if certain specified events occur, including an accounting restatement, or other events or wrongful conduct specified in any such clawback policy. The Committee will make any determination for reduction, cancelation, forfeiture or recoupment in its sole discretion and in accordance with any applicable law or regulation.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u w:val="single"/>
        </w:rPr>
        <w:t>Section 409A of the Code</w:t>
      </w:r>
      <w:r>
        <w:rPr>
          <w:rFonts w:ascii="Times New Roman;Times;Serif" w:hAnsi="Times New Roman;Times;Serif"/>
          <w:b w:val="false"/>
          <w:i w:val="false"/>
          <w:caps w:val="false"/>
          <w:smallCaps w:val="false"/>
          <w:sz w:val="20"/>
        </w:rPr>
        <w:t>. It is the general intention, but not the obligation, of the Committee to design Awards to comply with or to be exempt from the Nonqualified Deferred Compensation Rules, and Awards will be operated and construed accordingly, and the Committee, in its discretion, may amend any such Award, without a Participant’s consent, as necessary to avoid the imposition of additional taxes and interest under the Nonqualified Deferred Compensation Rules. Neither this Paragraph XVI(g) or any other provision of the Plan is or contains a representation to any person regarding the tax consequences of the grant, vesting, exercise, settlement, or sale of any Award (or the Stock underlying such Award) granted hereunder, and should not be interpreted as such. In no event shall the Company be liable for all or any portion of any taxes, penalties, interest or other expenses that may be incurred by the Participant or any other person on account of non-compliance with the Nonqualified Deferred Compensation Rules. Notwithstanding any provision in the Plan or an Award Agreement to the contrary, in the event that a “specified employee” (as defined under the Nonqualified Deferred Compensation Rules) becomes entitled to a payment under an Award that would be subject to additional taxes and interest under the Nonqualified Deferred Compensation Rules if the Participant’s receipt of such payment or benefits is not delayed until the earlier of (i) the date of the Participant’s death, or (ii) the date that is six months after the Participant’s “separation from service,” as defined under the Nonqualified Deferred Compensation Rules (such date, the “</w:t>
      </w:r>
      <w:r>
        <w:rPr>
          <w:rFonts w:ascii="Times New Roman;Times;Serif" w:hAnsi="Times New Roman;Times;Serif"/>
          <w:b/>
          <w:i/>
          <w:caps w:val="false"/>
          <w:smallCaps w:val="false"/>
          <w:sz w:val="20"/>
        </w:rPr>
        <w:t>Section 409A Payment Date</w:t>
      </w:r>
      <w:r>
        <w:rPr>
          <w:rFonts w:ascii="Times New Roman;Times;Serif" w:hAnsi="Times New Roman;Times;Serif"/>
          <w:b w:val="false"/>
          <w:i w:val="false"/>
          <w:caps w:val="false"/>
          <w:smallCaps w:val="false"/>
          <w:sz w:val="20"/>
        </w:rPr>
        <w:t>”), then such payment or benefit shall not be provided to the Participant until the Section 409A Payment Date. Any amounts subject to the preceding sentence that would otherwise be payable prior to the Section 409A Payment Date will be aggregated and paid in a lump sum without interest on the Section 409A Payment Date. For purposes of an Award that provides for a deferral of compensation under the Nonqualified Deferred Compensation Rules, to the extent the impact of a Corporate Change on such Award would subject a Participant to additional taxes under the Nonqualified Deferred Compensation Rules, a Corporate Change described in Paragraph XIV(c) with respect to such Award will mean both a Corporate Change and a “change in the ownership of a corporation,” “change in the effective control of a corporation,” or a “change in the ownership of a substantial portion of a corporation’s assets” within the meaning of the Nonqualified Deferred Compensation Rules as applied to the Company. The applicable provisions of the Nonqualified Deferred Compensation Rules are hereby incorporated by reference and shall control over any Plan or Award Agreement provision in conflict therewith.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19</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u w:val="single"/>
        </w:rPr>
        <w:t>Effect on Prior Plan</w:t>
      </w:r>
      <w:r>
        <w:rPr>
          <w:rFonts w:ascii="Times New Roman;Times;Serif" w:hAnsi="Times New Roman;Times;Serif"/>
          <w:b w:val="false"/>
          <w:i w:val="false"/>
          <w:caps w:val="false"/>
          <w:smallCaps w:val="false"/>
          <w:sz w:val="20"/>
        </w:rPr>
        <w:t>. From and after the Effective Date, no further awards or grants will be made under the Prior Plan. The Prior Plan will, however, continue in existence and operation following the Effective Date with respect to awards or grants outstanding under the Prior Plan. From and after the Effective Date, shares available for issuance under the Prior Plan will be subject to the provisions of Paragraph V(a) of the Plan. The Prior Plan is hereby amended as necessary to effect the provisions of Paragraph V(a) of the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u w:val="single"/>
        </w:rPr>
        <w:t>Severability and Reformation</w:t>
      </w:r>
      <w:r>
        <w:rPr>
          <w:rFonts w:ascii="Times New Roman;Times;Serif" w:hAnsi="Times New Roman;Times;Serif"/>
          <w:b w:val="false"/>
          <w:i w:val="false"/>
          <w:caps w:val="false"/>
          <w:smallCaps w:val="false"/>
          <w:sz w:val="20"/>
        </w:rPr>
        <w:t xml:space="preserve">. 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 If any of the terms or provisions of the Plan or any Award Agreement conflict with the requirements of Rule 16b-3 (as those terms or provisions are applied to Participants who are subject to Section 16 of the Exchange Act) or Section 422 of the Code (with respect to Incentive Stock Options), then those conflicting terms or provisions shall be deemed inoperative to the extent they so conflict with the requirements of Rule 16b-3 (unless the Board or the Committee, as appropriate, has expressly determined that the Plan or such Award should not comply with Rule 16b-3) or Section 422 of the Code, in each case, only to the extent Rule 16b-3 and such sections of the Code are applicable. With respect to Incentive Stock Options, if the Plan does not contain any provision required to be included herein under Section 422 of the Code, that provision shall be deemed to be incorporated herein with the same force and effect as if that provision had been set out at length 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to the extent any Option that is intended to qualify as an Incentive Stock Options cannot so qualify, that Option (to that extent) shall be deemed to not be an Incentive Stock Option for all purposes of the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u w:val="single"/>
        </w:rPr>
        <w:t>Unfunded Status of Awards; No Trust or Fund Created</w:t>
      </w:r>
      <w:r>
        <w:rPr>
          <w:rFonts w:ascii="Times New Roman;Times;Serif" w:hAnsi="Times New Roman;Times;Serif"/>
          <w:b w:val="false"/>
          <w:i w:val="false"/>
          <w:caps w:val="false"/>
          <w:smallCaps w:val="false"/>
          <w:sz w:val="20"/>
        </w:rPr>
        <w:t>. The Plan is intended to constitute an “unfunded” plan for certain incentive awards. Neither the Plan nor any Award shall create or be construed to create a trust or separate fund of any kind or a fiduciary relationship between the Company or any Affiliate and a Participant or any other person. To the extent that any person acquires a right to receive payments from the Company or any Affiliate pursuant to an Award, such right shall be no greater than the right of any general unsecured creditor of the Company or such Affiliate.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20</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u w:val="single"/>
        </w:rPr>
        <w:t>Nonexclusivity of the Plan</w:t>
      </w:r>
      <w:r>
        <w:rPr>
          <w:rFonts w:ascii="Times New Roman;Times;Serif" w:hAnsi="Times New Roman;Times;Serif"/>
          <w:b w:val="false"/>
          <w:i w:val="false"/>
          <w:caps w:val="false"/>
          <w:smallCaps w:val="false"/>
          <w:sz w:val="20"/>
        </w:rPr>
        <w:t>. Neither the adoption of the Plan by the Board nor its submission to the stockholders of the Company for approval shall be construed as creating any limitations on the power of the Board or a committee thereof to adopt such other incentive arrangements as it may deem desirable. Nothing contained in the Plan shall be construed to prevent the Company or any Affiliate from taking any corporate action which is deemed by the Company or such Affiliate to be appropriate or in its best interest, whether or not such action would have an adverse effect on the Plan or any Award made under the Plan. No Employee, beneficiary or other person shall have any claim against the Company or any Affiliate as a result of any such action.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u w:val="single"/>
        </w:rPr>
        <w:t>Interpretation</w:t>
      </w:r>
      <w:r>
        <w:rPr>
          <w:rFonts w:ascii="Times New Roman;Times;Serif" w:hAnsi="Times New Roman;Times;Serif"/>
          <w:b w:val="false"/>
          <w:i w:val="false"/>
          <w:caps w:val="false"/>
          <w:smallCaps w:val="false"/>
          <w:sz w:val="20"/>
        </w:rPr>
        <w:t>. Headings are given to the sections and subsections of the Plan solely as a convenience to facilitate reference. Such headings shall not be deemed in any way material or relevant to the construction or interpretation of the Plan or any provision thereof. Words in the masculine gender shall include the feminine gender, and, where appropriate, the plural shall include the singular and the singular shall include the plural. In the event of any conflict between the terms and conditions of an Award Agreement and the Plan, the provisions of the Plan shall control.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u w:val="single"/>
        </w:rPr>
        <w:t>Facility of Payment</w:t>
      </w:r>
      <w:r>
        <w:rPr>
          <w:rFonts w:ascii="Times New Roman;Times;Serif" w:hAnsi="Times New Roman;Times;Serif"/>
          <w:b w:val="false"/>
          <w:i w:val="false"/>
          <w:caps w:val="false"/>
          <w:smallCaps w:val="false"/>
          <w:sz w:val="20"/>
        </w:rPr>
        <w:t>. Any amounts payable hereunder to any individual under legal disability or who, in the judgment of the Committee, is unable to manage properly his financial affairs, may be paid to the legal representative of such individual, or may be applied for the benefit of such individual in any manner that the Committee may select, and the Company shall be relieved of any further liability for payment of such amounts.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u w:val="single"/>
        </w:rPr>
        <w:t>Conditions to Delivery of Stock</w:t>
      </w:r>
      <w:r>
        <w:rPr>
          <w:rFonts w:ascii="Times New Roman;Times;Serif" w:hAnsi="Times New Roman;Times;Serif"/>
          <w:b w:val="false"/>
          <w:i w:val="false"/>
          <w:caps w:val="false"/>
          <w:smallCaps w:val="false"/>
          <w:sz w:val="20"/>
        </w:rPr>
        <w:t>. Nothing herein or in any Award Agreement shall require the Company to issue any shares with respect to any Award if that issuance would, in the opinion of counsel for the Company, constitute a violation of the Securities Act, any other applicable statute or regulation, or the rules of any applicable securities exchange or securities association, as then in effect. In addition, each Participant who receives an Award under the Plan shall not sell or otherwise dispose of Common Stock that is acquired upon grant, exercise or vesting of an Award in any manner that would constitute a violation of any applicable federal or state securities laws, the Plan or the rules, regulations or other requirements of the SEC or any stock exchange upon which the Common Stock is then listed. At the time of any exercise of an Option or Stock Appreciation Right, or at the time of any grant of any other Award, the Company may, as a condition precedent to the exercise of such Option or Stock Appreciation Right or settlement of any other Award, require from the Participant (or in the event of his or her death, his or her legal representatives, heirs, legatees, or distributees) such written representations, if any, concerning the holder’s intentions with regard to the retention or disposition of the shares of Common Stock being acquired pursuant to the Award and such written covenants and agreements, if any, as to the manner of disposal of such shares as, in the opinion of counsel to the Company, may be necessary to ensure that any disposition by that holder (or in the event of the holder’s death, his or her legal representatives, heirs, legatees, or distributees) will not involve a violation of the Securities Act, any other applicable state or federal statute or regulation, or any rule of any applicable securities exchange or securities association, as then in effect. Common Stock or other securities shall not be delivered pursuant to any Award until payment in full of any amount required to be paid pursuant to the Plan or the applicable Award Agreement (including any exercise price, grant price, or tax withholding) is received by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u w:val="single"/>
        </w:rPr>
        <w:t>Status under ERISA</w:t>
      </w:r>
      <w:r>
        <w:rPr>
          <w:rFonts w:ascii="Times New Roman;Times;Serif" w:hAnsi="Times New Roman;Times;Serif"/>
          <w:b w:val="false"/>
          <w:i w:val="false"/>
          <w:caps w:val="false"/>
          <w:smallCaps w:val="false"/>
          <w:sz w:val="20"/>
        </w:rPr>
        <w:t>. The Plan shall not constitute an “employee benefit plan” for purposes of Section 3(3) of the Employee Retirement Income Security Act of 1974, as amended.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u w:val="single"/>
        </w:rPr>
        <w:t>Governing Law</w:t>
      </w:r>
      <w:r>
        <w:rPr>
          <w:rFonts w:ascii="Times New Roman;Times;Serif" w:hAnsi="Times New Roman;Times;Serif"/>
          <w:b w:val="false"/>
          <w:i w:val="false"/>
          <w:caps w:val="false"/>
          <w:smallCaps w:val="false"/>
          <w:sz w:val="20"/>
        </w:rPr>
        <w:t>. The Plan shall be governed by, and construed in accordance with, the laws of the State of Texas, without regard to conflicts of laws principles thereof, except to the extent Texas law is preempted by federal law. The obligation of the Company to sell and deliver Common Stock hereunder is subject to applicable federal and state laws and to the approval of any governmental authority required in connection with the authorization, issuance, sale, or delivery of such Common Stock. With respect to any claim or dispute related to or arising under the Plan, the Company and each Participant who accepts an Award hereby consent to the exclusive jurisdiction, forum and venue of the state and federal courts located in Harris County, Texas.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22</w:t>
      </w:r>
    </w:p>
    <w:p>
      <w:pPr>
        <w:pStyle w:val="TextBody"/>
        <w:spacing w:before="0" w:after="0"/>
        <w:ind w:left="0" w:right="0" w:hanging="0"/>
        <w:rPr>
          <w:caps w:val="false"/>
          <w:smallCaps w:val="false"/>
        </w:rPr>
      </w:pPr>
      <w:r>
        <w:rPr>
          <w:caps w:val="false"/>
          <w:smallCaps w:val="false"/>
        </w:rPr>
        <w:t> </w:t>
      </w:r>
    </w:p>
    <w:sectPr>
      <w:type w:val="nextPage"/>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823768/000110465923037529/tm231382d2_def14a.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13494</Words>
  <CharactersWithSpaces>84641</CharactersWithSpaces>
  <Paragraphs>692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