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3520"/>
        <w:spacing w:after="0"/>
        <w:rPr>
          <w:sz w:val="20"/>
          <w:szCs w:val="20"/>
          <w:color w:val="auto"/>
        </w:rPr>
      </w:pPr>
      <w:r>
        <w:rPr>
          <w:rFonts w:ascii="Arial" w:cs="Arial" w:eastAsia="Arial" w:hAnsi="Arial"/>
          <w:sz w:val="13"/>
          <w:szCs w:val="13"/>
          <w:b w:val="1"/>
          <w:bCs w:val="1"/>
          <w:color w:val="auto"/>
        </w:rPr>
        <w:t>As filed with the Securities and Exchange Commission on September 22, 2009</w:t>
      </w:r>
    </w:p>
    <w:p>
      <w:pPr>
        <w:spacing w:after="0" w:line="24" w:lineRule="exact"/>
        <w:rPr>
          <w:sz w:val="20"/>
          <w:szCs w:val="20"/>
          <w:color w:val="auto"/>
        </w:rPr>
      </w:pPr>
    </w:p>
    <w:p>
      <w:pPr>
        <w:ind w:left="9420"/>
        <w:spacing w:after="0"/>
        <w:rPr>
          <w:sz w:val="20"/>
          <w:szCs w:val="20"/>
          <w:color w:val="auto"/>
        </w:rPr>
      </w:pPr>
      <w:r>
        <w:rPr>
          <w:rFonts w:ascii="Arial" w:cs="Arial" w:eastAsia="Arial" w:hAnsi="Arial"/>
          <w:sz w:val="12"/>
          <w:szCs w:val="12"/>
          <w:b w:val="1"/>
          <w:bCs w:val="1"/>
          <w:color w:val="auto"/>
        </w:rPr>
        <w:t>Registration Number 333-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15240</wp:posOffset>
            </wp:positionV>
            <wp:extent cx="684657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46570" cy="25400"/>
                    </a:xfrm>
                    <a:prstGeom prst="rect">
                      <a:avLst/>
                    </a:prstGeom>
                    <a:noFill/>
                  </pic:spPr>
                </pic:pic>
              </a:graphicData>
            </a:graphic>
          </wp:anchor>
        </w:drawing>
      </w:r>
    </w:p>
    <w:p>
      <w:pPr>
        <w:spacing w:after="0" w:line="88" w:lineRule="exact"/>
        <w:rPr>
          <w:sz w:val="20"/>
          <w:szCs w:val="20"/>
          <w:color w:val="auto"/>
        </w:rPr>
      </w:pPr>
    </w:p>
    <w:p>
      <w:pPr>
        <w:jc w:val="center"/>
        <w:ind w:right="-339"/>
        <w:spacing w:after="0"/>
        <w:rPr>
          <w:sz w:val="20"/>
          <w:szCs w:val="20"/>
          <w:color w:val="auto"/>
        </w:rPr>
      </w:pPr>
      <w:r>
        <w:rPr>
          <w:rFonts w:ascii="Arial" w:cs="Arial" w:eastAsia="Arial" w:hAnsi="Arial"/>
          <w:sz w:val="19"/>
          <w:szCs w:val="19"/>
          <w:b w:val="1"/>
          <w:bCs w:val="1"/>
          <w:color w:val="auto"/>
        </w:rPr>
        <w:t>UNITED STATES SECURITIES AND EXCHANGE COMMISSION</w:t>
      </w:r>
    </w:p>
    <w:p>
      <w:pPr>
        <w:spacing w:after="0" w:line="17"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38100</wp:posOffset>
            </wp:positionV>
            <wp:extent cx="102997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29970" cy="6350"/>
                    </a:xfrm>
                    <a:prstGeom prst="rect">
                      <a:avLst/>
                    </a:prstGeom>
                    <a:noFill/>
                  </pic:spPr>
                </pic:pic>
              </a:graphicData>
            </a:graphic>
          </wp:anchor>
        </w:drawing>
      </w:r>
    </w:p>
    <w:p>
      <w:pPr>
        <w:spacing w:after="0" w:line="69" w:lineRule="exact"/>
        <w:rPr>
          <w:sz w:val="20"/>
          <w:szCs w:val="20"/>
          <w:color w:val="auto"/>
        </w:rPr>
      </w:pPr>
    </w:p>
    <w:p>
      <w:pPr>
        <w:jc w:val="center"/>
        <w:ind w:right="-339"/>
        <w:spacing w:after="0"/>
        <w:rPr>
          <w:sz w:val="20"/>
          <w:szCs w:val="20"/>
          <w:color w:val="auto"/>
        </w:rPr>
      </w:pPr>
      <w:r>
        <w:rPr>
          <w:rFonts w:ascii="Arial" w:cs="Arial" w:eastAsia="Arial" w:hAnsi="Arial"/>
          <w:sz w:val="24"/>
          <w:szCs w:val="24"/>
          <w:b w:val="1"/>
          <w:bCs w:val="1"/>
          <w:color w:val="auto"/>
        </w:rPr>
        <w:t>Form S-3</w:t>
      </w:r>
    </w:p>
    <w:p>
      <w:pPr>
        <w:spacing w:after="0" w:line="23"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REGISTRATION STATEMENT</w:t>
      </w:r>
    </w:p>
    <w:p>
      <w:pPr>
        <w:jc w:val="center"/>
        <w:ind w:right="-339"/>
        <w:spacing w:after="0" w:line="236" w:lineRule="auto"/>
        <w:rPr>
          <w:sz w:val="20"/>
          <w:szCs w:val="20"/>
          <w:color w:val="auto"/>
        </w:rPr>
      </w:pPr>
      <w:r>
        <w:rPr>
          <w:rFonts w:ascii="Arial" w:cs="Arial" w:eastAsia="Arial" w:hAnsi="Arial"/>
          <w:sz w:val="16"/>
          <w:szCs w:val="16"/>
          <w:b w:val="1"/>
          <w:bCs w:val="1"/>
          <w:color w:val="auto"/>
        </w:rPr>
        <w:t>UNDER</w:t>
      </w:r>
    </w:p>
    <w:p>
      <w:pPr>
        <w:jc w:val="center"/>
        <w:ind w:right="-339"/>
        <w:spacing w:after="0"/>
        <w:rPr>
          <w:sz w:val="20"/>
          <w:szCs w:val="20"/>
          <w:color w:val="auto"/>
        </w:rPr>
      </w:pPr>
      <w:r>
        <w:rPr>
          <w:rFonts w:ascii="Arial" w:cs="Arial" w:eastAsia="Arial" w:hAnsi="Arial"/>
          <w:sz w:val="16"/>
          <w:szCs w:val="16"/>
          <w:b w:val="1"/>
          <w:bCs w:val="1"/>
          <w:color w:val="auto"/>
        </w:rPr>
        <w:t>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31750</wp:posOffset>
            </wp:positionV>
            <wp:extent cx="102997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29970" cy="6350"/>
                    </a:xfrm>
                    <a:prstGeom prst="rect">
                      <a:avLst/>
                    </a:prstGeom>
                    <a:noFill/>
                  </pic:spPr>
                </pic:pic>
              </a:graphicData>
            </a:graphic>
          </wp:anchor>
        </w:drawing>
      </w:r>
    </w:p>
    <w:p>
      <w:pPr>
        <w:spacing w:after="0" w:line="60" w:lineRule="exact"/>
        <w:rPr>
          <w:sz w:val="20"/>
          <w:szCs w:val="20"/>
          <w:color w:val="auto"/>
        </w:rPr>
      </w:pPr>
    </w:p>
    <w:p>
      <w:pPr>
        <w:jc w:val="center"/>
        <w:ind w:right="-339"/>
        <w:spacing w:after="0"/>
        <w:rPr>
          <w:sz w:val="20"/>
          <w:szCs w:val="20"/>
          <w:color w:val="auto"/>
        </w:rPr>
      </w:pPr>
      <w:r>
        <w:rPr>
          <w:rFonts w:ascii="Arial" w:cs="Arial" w:eastAsia="Arial" w:hAnsi="Arial"/>
          <w:sz w:val="32"/>
          <w:szCs w:val="32"/>
          <w:b w:val="1"/>
          <w:bCs w:val="1"/>
          <w:color w:val="auto"/>
        </w:rPr>
        <w:t>Waste Management, Inc.</w:t>
      </w:r>
    </w:p>
    <w:p>
      <w:pPr>
        <w:spacing w:after="0" w:line="31" w:lineRule="exact"/>
        <w:rPr>
          <w:sz w:val="20"/>
          <w:szCs w:val="20"/>
          <w:color w:val="auto"/>
        </w:rPr>
      </w:pPr>
    </w:p>
    <w:p>
      <w:pPr>
        <w:jc w:val="center"/>
        <w:ind w:right="-339"/>
        <w:spacing w:after="0"/>
        <w:rPr>
          <w:sz w:val="20"/>
          <w:szCs w:val="20"/>
          <w:color w:val="auto"/>
        </w:rPr>
      </w:pPr>
      <w:r>
        <w:rPr>
          <w:rFonts w:ascii="Arial" w:cs="Arial" w:eastAsia="Arial" w:hAnsi="Arial"/>
          <w:sz w:val="11"/>
          <w:szCs w:val="11"/>
          <w:i w:val="1"/>
          <w:iCs w:val="1"/>
          <w:color w:val="auto"/>
        </w:rPr>
        <w:t>(Exact name of registrant as specified in its charter)</w:t>
      </w:r>
    </w:p>
    <w:p>
      <w:pPr>
        <w:sectPr>
          <w:pgSz w:w="11900" w:h="16838" w:orient="portrait"/>
          <w:cols w:equalWidth="0" w:num="1">
            <w:col w:w="11120"/>
          </w:cols>
          <w:pgMar w:left="220" w:top="127" w:right="559" w:bottom="1440" w:gutter="0" w:footer="0" w:header="0"/>
        </w:sectPr>
      </w:pPr>
    </w:p>
    <w:p>
      <w:pPr>
        <w:spacing w:after="0" w:line="1" w:lineRule="exact"/>
        <w:rPr>
          <w:sz w:val="20"/>
          <w:szCs w:val="20"/>
          <w:color w:val="auto"/>
        </w:rPr>
      </w:pPr>
    </w:p>
    <w:p>
      <w:pPr>
        <w:ind w:left="2800"/>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b w:val="1"/>
          <w:bCs w:val="1"/>
          <w:color w:val="auto"/>
        </w:rPr>
        <w:t>73-1309529</w:t>
      </w:r>
    </w:p>
    <w:p>
      <w:pPr>
        <w:spacing w:after="0" w:line="30" w:lineRule="exact"/>
        <w:rPr>
          <w:sz w:val="20"/>
          <w:szCs w:val="20"/>
          <w:color w:val="auto"/>
        </w:rPr>
      </w:pPr>
    </w:p>
    <w:p>
      <w:pPr>
        <w:sectPr>
          <w:pgSz w:w="11900" w:h="16838" w:orient="portrait"/>
          <w:cols w:equalWidth="0" w:num="2">
            <w:col w:w="7480" w:space="720"/>
            <w:col w:w="2920"/>
          </w:cols>
          <w:pgMar w:left="220" w:top="127" w:right="559" w:bottom="1440" w:gutter="0" w:footer="0" w:header="0"/>
          <w:type w:val="continuous"/>
        </w:sectPr>
      </w:pPr>
    </w:p>
    <w:p>
      <w:pPr>
        <w:ind w:left="1740"/>
        <w:spacing w:after="0"/>
        <w:rPr>
          <w:sz w:val="20"/>
          <w:szCs w:val="20"/>
          <w:color w:val="auto"/>
        </w:rPr>
      </w:pPr>
      <w:r>
        <w:rPr>
          <w:rFonts w:ascii="Arial" w:cs="Arial" w:eastAsia="Arial" w:hAnsi="Arial"/>
          <w:sz w:val="10"/>
          <w:szCs w:val="10"/>
          <w:i w:val="1"/>
          <w:iCs w:val="1"/>
          <w:color w:val="auto"/>
        </w:rPr>
        <w:t>(State or other jurisdiction of incorporation or organization)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i w:val="1"/>
          <w:iCs w:val="1"/>
          <w:color w:val="auto"/>
        </w:rPr>
        <w:t>(I.R.S. Employer Identification No.)</w:t>
      </w:r>
    </w:p>
    <w:p>
      <w:pPr>
        <w:spacing w:after="0" w:line="120" w:lineRule="exact"/>
        <w:rPr>
          <w:sz w:val="20"/>
          <w:szCs w:val="20"/>
          <w:color w:val="auto"/>
        </w:rPr>
      </w:pPr>
    </w:p>
    <w:p>
      <w:pPr>
        <w:sectPr>
          <w:pgSz w:w="11900" w:h="16838" w:orient="portrait"/>
          <w:cols w:equalWidth="0" w:num="2">
            <w:col w:w="7000" w:space="720"/>
            <w:col w:w="3400"/>
          </w:cols>
          <w:pgMar w:left="220" w:top="127" w:right="559" w:bottom="1440" w:gutter="0" w:footer="0" w:header="0"/>
          <w:type w:val="continuous"/>
        </w:sectPr>
      </w:pPr>
    </w:p>
    <w:p>
      <w:pPr>
        <w:jc w:val="center"/>
        <w:ind w:right="-339"/>
        <w:spacing w:after="0"/>
        <w:rPr>
          <w:sz w:val="20"/>
          <w:szCs w:val="20"/>
          <w:color w:val="auto"/>
        </w:rPr>
      </w:pPr>
      <w:r>
        <w:rPr>
          <w:rFonts w:ascii="Arial" w:cs="Arial" w:eastAsia="Arial" w:hAnsi="Arial"/>
          <w:sz w:val="12"/>
          <w:szCs w:val="12"/>
          <w:b w:val="1"/>
          <w:bCs w:val="1"/>
          <w:color w:val="auto"/>
        </w:rPr>
        <w:t>1001 Fannin Street, Suite 4000</w:t>
      </w:r>
    </w:p>
    <w:p>
      <w:pPr>
        <w:spacing w:after="0" w:line="20" w:lineRule="exact"/>
        <w:rPr>
          <w:sz w:val="20"/>
          <w:szCs w:val="20"/>
          <w:color w:val="auto"/>
        </w:rPr>
      </w:pPr>
    </w:p>
    <w:p>
      <w:pPr>
        <w:jc w:val="center"/>
        <w:ind w:right="-339"/>
        <w:spacing w:after="0"/>
        <w:rPr>
          <w:sz w:val="20"/>
          <w:szCs w:val="20"/>
          <w:color w:val="auto"/>
        </w:rPr>
      </w:pPr>
      <w:r>
        <w:rPr>
          <w:rFonts w:ascii="Arial" w:cs="Arial" w:eastAsia="Arial" w:hAnsi="Arial"/>
          <w:sz w:val="12"/>
          <w:szCs w:val="12"/>
          <w:b w:val="1"/>
          <w:bCs w:val="1"/>
          <w:color w:val="auto"/>
        </w:rPr>
        <w:t>Houston, Texas 77002</w:t>
      </w:r>
    </w:p>
    <w:p>
      <w:pPr>
        <w:spacing w:after="0" w:line="13" w:lineRule="exact"/>
        <w:rPr>
          <w:sz w:val="20"/>
          <w:szCs w:val="20"/>
          <w:color w:val="auto"/>
        </w:rPr>
      </w:pPr>
    </w:p>
    <w:p>
      <w:pPr>
        <w:jc w:val="center"/>
        <w:ind w:right="-339"/>
        <w:spacing w:after="0"/>
        <w:rPr>
          <w:sz w:val="20"/>
          <w:szCs w:val="20"/>
          <w:color w:val="auto"/>
        </w:rPr>
      </w:pPr>
      <w:r>
        <w:rPr>
          <w:rFonts w:ascii="Arial" w:cs="Arial" w:eastAsia="Arial" w:hAnsi="Arial"/>
          <w:sz w:val="12"/>
          <w:szCs w:val="12"/>
          <w:b w:val="1"/>
          <w:bCs w:val="1"/>
          <w:color w:val="auto"/>
        </w:rPr>
        <w:t>(713) 512-6200</w:t>
      </w:r>
    </w:p>
    <w:p>
      <w:pPr>
        <w:spacing w:after="0" w:line="5" w:lineRule="exact"/>
        <w:rPr>
          <w:sz w:val="20"/>
          <w:szCs w:val="20"/>
          <w:color w:val="auto"/>
        </w:rPr>
      </w:pPr>
    </w:p>
    <w:p>
      <w:pPr>
        <w:jc w:val="center"/>
        <w:ind w:right="-339"/>
        <w:spacing w:after="0"/>
        <w:rPr>
          <w:sz w:val="20"/>
          <w:szCs w:val="20"/>
          <w:color w:val="auto"/>
        </w:rPr>
      </w:pPr>
      <w:r>
        <w:rPr>
          <w:rFonts w:ascii="Arial" w:cs="Arial" w:eastAsia="Arial" w:hAnsi="Arial"/>
          <w:sz w:val="11"/>
          <w:szCs w:val="11"/>
          <w:i w:val="1"/>
          <w:iCs w:val="1"/>
          <w:color w:val="auto"/>
        </w:rPr>
        <w:t>(Address, including zip code and telephone number, including area code, of registrant’s principal executive offices)</w:t>
      </w:r>
    </w:p>
    <w:p>
      <w:pPr>
        <w:jc w:val="center"/>
        <w:ind w:right="-339"/>
        <w:spacing w:after="0"/>
        <w:rPr>
          <w:sz w:val="20"/>
          <w:szCs w:val="20"/>
          <w:color w:val="auto"/>
        </w:rPr>
      </w:pPr>
      <w:r>
        <w:rPr>
          <w:rFonts w:ascii="Arial" w:cs="Arial" w:eastAsia="Arial" w:hAnsi="Arial"/>
          <w:sz w:val="12"/>
          <w:szCs w:val="12"/>
          <w:b w:val="1"/>
          <w:bCs w:val="1"/>
          <w:color w:val="auto"/>
        </w:rPr>
        <w:t>Waste Management, Inc.</w:t>
      </w:r>
    </w:p>
    <w:p>
      <w:pPr>
        <w:spacing w:after="0" w:line="6" w:lineRule="exact"/>
        <w:rPr>
          <w:sz w:val="20"/>
          <w:szCs w:val="20"/>
          <w:color w:val="auto"/>
        </w:rPr>
      </w:pPr>
    </w:p>
    <w:p>
      <w:pPr>
        <w:jc w:val="center"/>
        <w:ind w:right="-339"/>
        <w:spacing w:after="0"/>
        <w:rPr>
          <w:sz w:val="20"/>
          <w:szCs w:val="20"/>
          <w:color w:val="auto"/>
        </w:rPr>
      </w:pPr>
      <w:r>
        <w:rPr>
          <w:rFonts w:ascii="Arial" w:cs="Arial" w:eastAsia="Arial" w:hAnsi="Arial"/>
          <w:sz w:val="12"/>
          <w:szCs w:val="12"/>
          <w:b w:val="1"/>
          <w:bCs w:val="1"/>
          <w:color w:val="auto"/>
        </w:rPr>
        <w:t>1001 Fannin Street, Suite 4000</w:t>
      </w:r>
    </w:p>
    <w:p>
      <w:pPr>
        <w:spacing w:after="0" w:line="13" w:lineRule="exact"/>
        <w:rPr>
          <w:sz w:val="20"/>
          <w:szCs w:val="20"/>
          <w:color w:val="auto"/>
        </w:rPr>
      </w:pPr>
    </w:p>
    <w:p>
      <w:pPr>
        <w:jc w:val="center"/>
        <w:ind w:right="-339"/>
        <w:spacing w:after="0"/>
        <w:rPr>
          <w:sz w:val="20"/>
          <w:szCs w:val="20"/>
          <w:color w:val="auto"/>
        </w:rPr>
      </w:pPr>
      <w:r>
        <w:rPr>
          <w:rFonts w:ascii="Arial" w:cs="Arial" w:eastAsia="Arial" w:hAnsi="Arial"/>
          <w:sz w:val="12"/>
          <w:szCs w:val="12"/>
          <w:b w:val="1"/>
          <w:bCs w:val="1"/>
          <w:color w:val="auto"/>
        </w:rPr>
        <w:t>Houston, Texas 77002</w:t>
      </w:r>
    </w:p>
    <w:p>
      <w:pPr>
        <w:spacing w:after="0" w:line="13" w:lineRule="exact"/>
        <w:rPr>
          <w:sz w:val="20"/>
          <w:szCs w:val="20"/>
          <w:color w:val="auto"/>
        </w:rPr>
      </w:pPr>
    </w:p>
    <w:p>
      <w:pPr>
        <w:ind w:left="5640" w:hanging="284"/>
        <w:spacing w:after="0"/>
        <w:tabs>
          <w:tab w:leader="none" w:pos="5640" w:val="left"/>
        </w:tabs>
        <w:numPr>
          <w:ilvl w:val="0"/>
          <w:numId w:val="1"/>
        </w:numPr>
        <w:rPr>
          <w:rFonts w:ascii="Arial" w:cs="Arial" w:eastAsia="Arial" w:hAnsi="Arial"/>
          <w:sz w:val="12"/>
          <w:szCs w:val="12"/>
          <w:b w:val="1"/>
          <w:bCs w:val="1"/>
          <w:color w:val="auto"/>
        </w:rPr>
      </w:pPr>
      <w:r>
        <w:rPr>
          <w:rFonts w:ascii="Arial" w:cs="Arial" w:eastAsia="Arial" w:hAnsi="Arial"/>
          <w:sz w:val="12"/>
          <w:szCs w:val="12"/>
          <w:b w:val="1"/>
          <w:bCs w:val="1"/>
          <w:color w:val="auto"/>
        </w:rPr>
        <w:t>512-6200</w:t>
      </w:r>
    </w:p>
    <w:p>
      <w:pPr>
        <w:spacing w:after="0" w:line="13" w:lineRule="exact"/>
        <w:rPr>
          <w:rFonts w:ascii="Arial" w:cs="Arial" w:eastAsia="Arial" w:hAnsi="Arial"/>
          <w:sz w:val="12"/>
          <w:szCs w:val="12"/>
          <w:b w:val="1"/>
          <w:bCs w:val="1"/>
          <w:color w:val="auto"/>
        </w:rPr>
      </w:pPr>
    </w:p>
    <w:p>
      <w:pPr>
        <w:ind w:left="5020"/>
        <w:spacing w:after="0"/>
        <w:rPr>
          <w:rFonts w:ascii="Arial" w:cs="Arial" w:eastAsia="Arial" w:hAnsi="Arial"/>
          <w:sz w:val="12"/>
          <w:szCs w:val="12"/>
          <w:b w:val="1"/>
          <w:bCs w:val="1"/>
          <w:color w:val="auto"/>
        </w:rPr>
      </w:pPr>
      <w:r>
        <w:rPr>
          <w:rFonts w:ascii="Arial" w:cs="Arial" w:eastAsia="Arial" w:hAnsi="Arial"/>
          <w:sz w:val="12"/>
          <w:szCs w:val="12"/>
          <w:b w:val="1"/>
          <w:bCs w:val="1"/>
          <w:color w:val="auto"/>
        </w:rPr>
        <w:t>Attention: General Counsel</w:t>
      </w:r>
    </w:p>
    <w:p>
      <w:pPr>
        <w:spacing w:after="0" w:line="12" w:lineRule="exact"/>
        <w:rPr>
          <w:sz w:val="20"/>
          <w:szCs w:val="20"/>
          <w:color w:val="auto"/>
        </w:rPr>
      </w:pPr>
    </w:p>
    <w:p>
      <w:pPr>
        <w:ind w:left="3560"/>
        <w:spacing w:after="0"/>
        <w:rPr>
          <w:sz w:val="20"/>
          <w:szCs w:val="20"/>
          <w:color w:val="auto"/>
        </w:rPr>
      </w:pPr>
      <w:r>
        <w:rPr>
          <w:rFonts w:ascii="Arial" w:cs="Arial" w:eastAsia="Arial" w:hAnsi="Arial"/>
          <w:sz w:val="11"/>
          <w:szCs w:val="11"/>
          <w:i w:val="1"/>
          <w:iCs w:val="1"/>
          <w:color w:val="auto"/>
        </w:rPr>
        <w:t>(Name, address, including zip code, and telephone number, including area code, of agent for service)</w:t>
      </w:r>
    </w:p>
    <w:p>
      <w:pPr>
        <w:spacing w:after="0" w:line="69" w:lineRule="exact"/>
        <w:rPr>
          <w:sz w:val="20"/>
          <w:szCs w:val="20"/>
          <w:color w:val="auto"/>
        </w:rPr>
      </w:pPr>
    </w:p>
    <w:p>
      <w:pPr>
        <w:ind w:left="660"/>
        <w:spacing w:after="0"/>
        <w:rPr>
          <w:sz w:val="20"/>
          <w:szCs w:val="20"/>
          <w:color w:val="auto"/>
        </w:rPr>
      </w:pPr>
      <w:r>
        <w:rPr>
          <w:rFonts w:ascii="Arial" w:cs="Arial" w:eastAsia="Arial" w:hAnsi="Arial"/>
          <w:sz w:val="12"/>
          <w:szCs w:val="12"/>
          <w:b w:val="1"/>
          <w:bCs w:val="1"/>
          <w:color w:val="auto"/>
        </w:rPr>
        <w:t>Approximate date of commencement of proposed sale to the public</w:t>
      </w:r>
      <w:r>
        <w:rPr>
          <w:rFonts w:ascii="Arial" w:cs="Arial" w:eastAsia="Arial" w:hAnsi="Arial"/>
          <w:sz w:val="12"/>
          <w:szCs w:val="12"/>
          <w:color w:val="auto"/>
        </w:rPr>
        <w:t>: From time to time after the effective date of this Registration Statement.</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2"/>
          <w:szCs w:val="12"/>
          <w:color w:val="auto"/>
        </w:rPr>
        <w:t>If the only securities being registered on this form are being offered pursuant to dividend or interest reinvestment plans, please check the following box: o</w:t>
      </w:r>
    </w:p>
    <w:p>
      <w:pPr>
        <w:spacing w:after="0" w:line="104" w:lineRule="exact"/>
        <w:rPr>
          <w:sz w:val="20"/>
          <w:szCs w:val="20"/>
          <w:color w:val="auto"/>
        </w:rPr>
      </w:pPr>
    </w:p>
    <w:p>
      <w:pPr>
        <w:ind w:left="340" w:right="120" w:firstLine="323"/>
        <w:spacing w:after="0" w:line="160" w:lineRule="exact"/>
        <w:rPr>
          <w:sz w:val="20"/>
          <w:szCs w:val="20"/>
          <w:color w:val="auto"/>
        </w:rPr>
      </w:pPr>
      <w:r>
        <w:rPr>
          <w:rFonts w:ascii="Arial" w:cs="Arial" w:eastAsia="Arial" w:hAnsi="Arial"/>
          <w:sz w:val="12"/>
          <w:szCs w:val="12"/>
          <w:color w:val="auto"/>
        </w:rPr>
        <w:t xml:space="preserve">If any of the securities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2"/>
          <w:szCs w:val="12"/>
          <w:color w:val="auto"/>
        </w:rPr>
        <w:t>☑</w:t>
      </w:r>
    </w:p>
    <w:p>
      <w:pPr>
        <w:spacing w:after="0" w:line="74" w:lineRule="exact"/>
        <w:rPr>
          <w:sz w:val="20"/>
          <w:szCs w:val="20"/>
          <w:color w:val="auto"/>
        </w:rPr>
      </w:pPr>
    </w:p>
    <w:p>
      <w:pPr>
        <w:ind w:left="340" w:right="60" w:firstLine="323"/>
        <w:spacing w:after="0" w:line="290" w:lineRule="auto"/>
        <w:rPr>
          <w:sz w:val="20"/>
          <w:szCs w:val="20"/>
          <w:color w:val="auto"/>
        </w:rPr>
      </w:pPr>
      <w:r>
        <w:rPr>
          <w:rFonts w:ascii="Arial" w:cs="Arial" w:eastAsia="Arial" w:hAnsi="Arial"/>
          <w:sz w:val="12"/>
          <w:szCs w:val="12"/>
          <w:color w:val="auto"/>
        </w:rPr>
        <w:t>If this form is filed to register additional securities for an offering pursuant to Rule 462(b) under the Securities Act of 1933, please check the following box and list the Securities Act registration statement number of the earlier effective registration statement for the same offering: o</w:t>
      </w:r>
    </w:p>
    <w:p>
      <w:pPr>
        <w:spacing w:after="0" w:line="59" w:lineRule="exact"/>
        <w:rPr>
          <w:sz w:val="20"/>
          <w:szCs w:val="20"/>
          <w:color w:val="auto"/>
        </w:rPr>
      </w:pPr>
    </w:p>
    <w:p>
      <w:pPr>
        <w:ind w:left="340" w:right="140" w:firstLine="323"/>
        <w:spacing w:after="0" w:line="290" w:lineRule="auto"/>
        <w:rPr>
          <w:sz w:val="20"/>
          <w:szCs w:val="20"/>
          <w:color w:val="auto"/>
        </w:rPr>
      </w:pPr>
      <w:r>
        <w:rPr>
          <w:rFonts w:ascii="Arial" w:cs="Arial" w:eastAsia="Arial" w:hAnsi="Arial"/>
          <w:sz w:val="12"/>
          <w:szCs w:val="12"/>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59" w:lineRule="exact"/>
        <w:rPr>
          <w:sz w:val="20"/>
          <w:szCs w:val="20"/>
          <w:color w:val="auto"/>
        </w:rPr>
      </w:pPr>
    </w:p>
    <w:p>
      <w:pPr>
        <w:ind w:left="340" w:right="360" w:firstLine="323"/>
        <w:spacing w:after="0" w:line="160" w:lineRule="exact"/>
        <w:rPr>
          <w:sz w:val="20"/>
          <w:szCs w:val="20"/>
          <w:color w:val="auto"/>
        </w:rPr>
      </w:pPr>
      <w:r>
        <w:rPr>
          <w:rFonts w:ascii="Arial" w:cs="Arial" w:eastAsia="Arial" w:hAnsi="Arial"/>
          <w:sz w:val="12"/>
          <w:szCs w:val="12"/>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2"/>
          <w:szCs w:val="12"/>
          <w:color w:val="auto"/>
        </w:rPr>
        <w:t>☑</w:t>
      </w:r>
    </w:p>
    <w:p>
      <w:pPr>
        <w:spacing w:after="0" w:line="74" w:lineRule="exact"/>
        <w:rPr>
          <w:sz w:val="20"/>
          <w:szCs w:val="20"/>
          <w:color w:val="auto"/>
        </w:rPr>
      </w:pPr>
    </w:p>
    <w:p>
      <w:pPr>
        <w:ind w:left="340" w:right="40" w:firstLine="323"/>
        <w:spacing w:after="0" w:line="290" w:lineRule="auto"/>
        <w:rPr>
          <w:sz w:val="20"/>
          <w:szCs w:val="20"/>
          <w:color w:val="auto"/>
        </w:rPr>
      </w:pPr>
      <w:r>
        <w:rPr>
          <w:rFonts w:ascii="Arial" w:cs="Arial" w:eastAsia="Arial" w:hAnsi="Arial"/>
          <w:sz w:val="12"/>
          <w:szCs w:val="12"/>
          <w:color w:val="auto"/>
        </w:rPr>
        <w:t>If this Form is a post-effective amendment to a registration statement filed pursuant to General Instruction I.D. filed to register additional securities or additional classes of securities pursuant to Rule 413(b) under the Securities Act, check the following box.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106045</wp:posOffset>
            </wp:positionV>
            <wp:extent cx="102997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29970" cy="6350"/>
                    </a:xfrm>
                    <a:prstGeom prst="rect">
                      <a:avLst/>
                    </a:prstGeom>
                    <a:noFill/>
                  </pic:spPr>
                </pic:pic>
              </a:graphicData>
            </a:graphic>
          </wp:anchor>
        </w:drawing>
      </w:r>
    </w:p>
    <w:p>
      <w:pPr>
        <w:spacing w:after="0" w:line="251" w:lineRule="exact"/>
        <w:rPr>
          <w:sz w:val="20"/>
          <w:szCs w:val="20"/>
          <w:color w:val="auto"/>
        </w:rPr>
      </w:pPr>
    </w:p>
    <w:p>
      <w:pPr>
        <w:ind w:left="340" w:right="80" w:firstLine="323"/>
        <w:spacing w:after="0" w:line="290"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27" w:lineRule="exact"/>
        <w:rPr>
          <w:sz w:val="20"/>
          <w:szCs w:val="20"/>
          <w:color w:val="auto"/>
        </w:rPr>
      </w:pPr>
    </w:p>
    <w:tbl>
      <w:tblPr>
        <w:tblLayout w:type="fixed"/>
        <w:tblInd w:w="340" w:type="dxa"/>
        <w:tblCellMar>
          <w:top w:w="0" w:type="dxa"/>
          <w:left w:w="0" w:type="dxa"/>
          <w:bottom w:w="0" w:type="dxa"/>
          <w:right w:w="0" w:type="dxa"/>
        </w:tblCellMar>
      </w:tblPr>
      <w:tr>
        <w:trPr>
          <w:trHeight w:val="174"/>
        </w:trPr>
        <w:tc>
          <w:tcPr>
            <w:tcW w:w="3540" w:type="dxa"/>
            <w:vAlign w:val="bottom"/>
          </w:tcPr>
          <w:p>
            <w:pPr>
              <w:spacing w:after="0" w:line="138" w:lineRule="exact"/>
              <w:rPr>
                <w:sz w:val="20"/>
                <w:szCs w:val="20"/>
                <w:color w:val="auto"/>
              </w:rPr>
            </w:pPr>
            <w:r>
              <w:rPr>
                <w:rFonts w:ascii="Arial" w:cs="Arial" w:eastAsia="Arial" w:hAnsi="Arial"/>
                <w:sz w:val="12"/>
                <w:szCs w:val="12"/>
                <w:color w:val="auto"/>
              </w:rPr>
              <w:t xml:space="preserve">Large accelerated filer </w:t>
            </w:r>
            <w:r>
              <w:rPr>
                <w:rFonts w:ascii="MS PGothic" w:cs="MS PGothic" w:eastAsia="MS PGothic" w:hAnsi="MS PGothic"/>
                <w:sz w:val="12"/>
                <w:szCs w:val="12"/>
                <w:color w:val="auto"/>
              </w:rPr>
              <w:t>☑</w:t>
            </w:r>
          </w:p>
        </w:tc>
        <w:tc>
          <w:tcPr>
            <w:tcW w:w="1440" w:type="dxa"/>
            <w:vAlign w:val="bottom"/>
          </w:tcPr>
          <w:p>
            <w:pPr>
              <w:ind w:left="60"/>
              <w:spacing w:after="0"/>
              <w:rPr>
                <w:sz w:val="20"/>
                <w:szCs w:val="20"/>
                <w:color w:val="auto"/>
              </w:rPr>
            </w:pPr>
            <w:r>
              <w:rPr>
                <w:rFonts w:ascii="Arial" w:cs="Arial" w:eastAsia="Arial" w:hAnsi="Arial"/>
                <w:sz w:val="12"/>
                <w:szCs w:val="12"/>
                <w:color w:val="auto"/>
              </w:rPr>
              <w:t>Accelerated filer o</w:t>
            </w:r>
          </w:p>
        </w:tc>
        <w:tc>
          <w:tcPr>
            <w:tcW w:w="860" w:type="dxa"/>
            <w:vAlign w:val="bottom"/>
          </w:tcPr>
          <w:p>
            <w:pPr>
              <w:spacing w:after="0"/>
              <w:rPr>
                <w:sz w:val="15"/>
                <w:szCs w:val="15"/>
                <w:color w:val="auto"/>
              </w:rPr>
            </w:pPr>
          </w:p>
        </w:tc>
        <w:tc>
          <w:tcPr>
            <w:tcW w:w="2160" w:type="dxa"/>
            <w:vAlign w:val="bottom"/>
          </w:tcPr>
          <w:p>
            <w:pPr>
              <w:ind w:left="340"/>
              <w:spacing w:after="0"/>
              <w:rPr>
                <w:sz w:val="20"/>
                <w:szCs w:val="20"/>
                <w:color w:val="auto"/>
              </w:rPr>
            </w:pPr>
            <w:r>
              <w:rPr>
                <w:rFonts w:ascii="Arial" w:cs="Arial" w:eastAsia="Arial" w:hAnsi="Arial"/>
                <w:sz w:val="12"/>
                <w:szCs w:val="12"/>
                <w:color w:val="auto"/>
              </w:rPr>
              <w:t>Non-accelerated filer o</w:t>
            </w:r>
          </w:p>
        </w:tc>
        <w:tc>
          <w:tcPr>
            <w:tcW w:w="2800" w:type="dxa"/>
            <w:vAlign w:val="bottom"/>
            <w:gridSpan w:val="2"/>
          </w:tcPr>
          <w:p>
            <w:pPr>
              <w:ind w:left="1360"/>
              <w:spacing w:after="0"/>
              <w:rPr>
                <w:sz w:val="20"/>
                <w:szCs w:val="20"/>
                <w:color w:val="auto"/>
              </w:rPr>
            </w:pPr>
            <w:r>
              <w:rPr>
                <w:rFonts w:ascii="Arial" w:cs="Arial" w:eastAsia="Arial" w:hAnsi="Arial"/>
                <w:sz w:val="12"/>
                <w:szCs w:val="12"/>
                <w:color w:val="auto"/>
                <w:w w:val="92"/>
              </w:rPr>
              <w:t>Smaller reporting company o</w:t>
            </w:r>
          </w:p>
        </w:tc>
      </w:tr>
      <w:tr>
        <w:trPr>
          <w:trHeight w:val="154"/>
        </w:trPr>
        <w:tc>
          <w:tcPr>
            <w:tcW w:w="35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020" w:type="dxa"/>
            <w:vAlign w:val="bottom"/>
            <w:gridSpan w:val="2"/>
          </w:tcPr>
          <w:p>
            <w:pPr>
              <w:ind w:left="480"/>
              <w:spacing w:after="0"/>
              <w:rPr>
                <w:sz w:val="20"/>
                <w:szCs w:val="20"/>
                <w:color w:val="auto"/>
              </w:rPr>
            </w:pPr>
            <w:r>
              <w:rPr>
                <w:rFonts w:ascii="Arial" w:cs="Arial" w:eastAsia="Arial" w:hAnsi="Arial"/>
                <w:sz w:val="12"/>
                <w:szCs w:val="12"/>
                <w:color w:val="auto"/>
              </w:rPr>
              <w:t>(Do not check if a smaller reporting company)</w:t>
            </w:r>
          </w:p>
        </w:tc>
        <w:tc>
          <w:tcPr>
            <w:tcW w:w="27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42"/>
        </w:trPr>
        <w:tc>
          <w:tcPr>
            <w:tcW w:w="3540" w:type="dxa"/>
            <w:vAlign w:val="bottom"/>
          </w:tcPr>
          <w:p>
            <w:pPr>
              <w:spacing w:after="0"/>
              <w:rPr>
                <w:sz w:val="21"/>
                <w:szCs w:val="21"/>
                <w:color w:val="auto"/>
              </w:rPr>
            </w:pPr>
          </w:p>
        </w:tc>
        <w:tc>
          <w:tcPr>
            <w:tcW w:w="4460" w:type="dxa"/>
            <w:vAlign w:val="bottom"/>
            <w:gridSpan w:val="3"/>
          </w:tcPr>
          <w:p>
            <w:pPr>
              <w:ind w:left="700"/>
              <w:spacing w:after="0"/>
              <w:rPr>
                <w:sz w:val="20"/>
                <w:szCs w:val="20"/>
                <w:color w:val="auto"/>
              </w:rPr>
            </w:pPr>
            <w:r>
              <w:rPr>
                <w:rFonts w:ascii="Arial" w:cs="Arial" w:eastAsia="Arial" w:hAnsi="Arial"/>
                <w:sz w:val="12"/>
                <w:szCs w:val="12"/>
                <w:b w:val="1"/>
                <w:bCs w:val="1"/>
                <w:color w:val="auto"/>
              </w:rPr>
              <w:t>CALCULATION OF REGISTRATION FEE</w:t>
            </w:r>
          </w:p>
        </w:tc>
        <w:tc>
          <w:tcPr>
            <w:tcW w:w="27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45"/>
        </w:trPr>
        <w:tc>
          <w:tcPr>
            <w:tcW w:w="35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960" w:type="dxa"/>
            <w:vAlign w:val="bottom"/>
            <w:gridSpan w:val="3"/>
          </w:tcPr>
          <w:p>
            <w:pPr>
              <w:spacing w:after="0"/>
              <w:rPr>
                <w:sz w:val="12"/>
                <w:szCs w:val="12"/>
                <w:color w:val="auto"/>
              </w:rPr>
            </w:pPr>
          </w:p>
        </w:tc>
      </w:tr>
      <w:tr>
        <w:trPr>
          <w:trHeight w:val="64"/>
        </w:trPr>
        <w:tc>
          <w:tcPr>
            <w:tcW w:w="3540" w:type="dxa"/>
            <w:vAlign w:val="bottom"/>
            <w:tcBorders>
              <w:top w:val="single" w:sz="8" w:color="auto"/>
            </w:tcBorders>
          </w:tcPr>
          <w:p>
            <w:pPr>
              <w:ind w:left="2380"/>
              <w:spacing w:after="0" w:line="64" w:lineRule="exact"/>
              <w:rPr>
                <w:sz w:val="20"/>
                <w:szCs w:val="20"/>
                <w:color w:val="auto"/>
              </w:rPr>
            </w:pPr>
            <w:r>
              <w:rPr>
                <w:rFonts w:ascii="Arial" w:cs="Arial" w:eastAsia="Arial" w:hAnsi="Arial"/>
                <w:sz w:val="6"/>
                <w:szCs w:val="6"/>
                <w:b w:val="1"/>
                <w:bCs w:val="1"/>
                <w:color w:val="auto"/>
              </w:rPr>
              <w:t>Title of Each Class of</w:t>
            </w:r>
          </w:p>
        </w:tc>
        <w:tc>
          <w:tcPr>
            <w:tcW w:w="1440" w:type="dxa"/>
            <w:vAlign w:val="bottom"/>
            <w:tcBorders>
              <w:top w:val="single" w:sz="8" w:color="auto"/>
            </w:tcBorders>
          </w:tcPr>
          <w:p>
            <w:pPr>
              <w:spacing w:after="0"/>
              <w:rPr>
                <w:sz w:val="5"/>
                <w:szCs w:val="5"/>
                <w:color w:val="auto"/>
              </w:rPr>
            </w:pPr>
          </w:p>
        </w:tc>
        <w:tc>
          <w:tcPr>
            <w:tcW w:w="860" w:type="dxa"/>
            <w:vAlign w:val="bottom"/>
            <w:tcBorders>
              <w:top w:val="single" w:sz="8" w:color="auto"/>
              <w:right w:val="single" w:sz="8" w:color="auto"/>
            </w:tcBorders>
          </w:tcPr>
          <w:p>
            <w:pPr>
              <w:spacing w:after="0"/>
              <w:rPr>
                <w:sz w:val="5"/>
                <w:szCs w:val="5"/>
                <w:color w:val="auto"/>
              </w:rPr>
            </w:pPr>
          </w:p>
        </w:tc>
        <w:tc>
          <w:tcPr>
            <w:tcW w:w="4940" w:type="dxa"/>
            <w:vAlign w:val="bottom"/>
            <w:tcBorders>
              <w:top w:val="single" w:sz="8" w:color="auto"/>
            </w:tcBorders>
            <w:gridSpan w:val="2"/>
          </w:tcPr>
          <w:p>
            <w:pPr>
              <w:jc w:val="center"/>
              <w:ind w:left="51"/>
              <w:spacing w:after="0" w:line="64" w:lineRule="exact"/>
              <w:rPr>
                <w:sz w:val="20"/>
                <w:szCs w:val="20"/>
                <w:color w:val="auto"/>
              </w:rPr>
            </w:pPr>
            <w:r>
              <w:rPr>
                <w:rFonts w:ascii="Arial" w:cs="Arial" w:eastAsia="Arial" w:hAnsi="Arial"/>
                <w:sz w:val="6"/>
                <w:szCs w:val="6"/>
                <w:b w:val="1"/>
                <w:bCs w:val="1"/>
                <w:color w:val="auto"/>
              </w:rPr>
              <w:t>Amount to be Registered/Proposed Maximum Offering Price per Unit/</w:t>
            </w:r>
          </w:p>
        </w:tc>
        <w:tc>
          <w:tcPr>
            <w:tcW w:w="20" w:type="dxa"/>
            <w:vAlign w:val="bottom"/>
          </w:tcPr>
          <w:p>
            <w:pPr>
              <w:spacing w:after="0"/>
              <w:rPr>
                <w:sz w:val="5"/>
                <w:szCs w:val="5"/>
                <w:color w:val="auto"/>
              </w:rPr>
            </w:pPr>
          </w:p>
        </w:tc>
      </w:tr>
      <w:tr>
        <w:trPr>
          <w:trHeight w:val="128"/>
        </w:trPr>
        <w:tc>
          <w:tcPr>
            <w:tcW w:w="3540" w:type="dxa"/>
            <w:vAlign w:val="bottom"/>
          </w:tcPr>
          <w:p>
            <w:pPr>
              <w:ind w:left="2260"/>
              <w:spacing w:after="0"/>
              <w:rPr>
                <w:sz w:val="20"/>
                <w:szCs w:val="20"/>
                <w:color w:val="auto"/>
              </w:rPr>
            </w:pPr>
            <w:r>
              <w:rPr>
                <w:rFonts w:ascii="Arial" w:cs="Arial" w:eastAsia="Arial" w:hAnsi="Arial"/>
                <w:sz w:val="11"/>
                <w:szCs w:val="11"/>
                <w:b w:val="1"/>
                <w:bCs w:val="1"/>
                <w:color w:val="auto"/>
                <w:w w:val="88"/>
              </w:rPr>
              <w:t>Securities to be Registered</w:t>
            </w:r>
          </w:p>
        </w:tc>
        <w:tc>
          <w:tcPr>
            <w:tcW w:w="1440" w:type="dxa"/>
            <w:vAlign w:val="bottom"/>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4960" w:type="dxa"/>
            <w:vAlign w:val="bottom"/>
            <w:gridSpan w:val="3"/>
          </w:tcPr>
          <w:p>
            <w:pPr>
              <w:jc w:val="center"/>
              <w:ind w:left="31"/>
              <w:spacing w:after="0"/>
              <w:rPr>
                <w:sz w:val="20"/>
                <w:szCs w:val="20"/>
                <w:color w:val="auto"/>
              </w:rPr>
            </w:pPr>
            <w:r>
              <w:rPr>
                <w:rFonts w:ascii="Arial" w:cs="Arial" w:eastAsia="Arial" w:hAnsi="Arial"/>
                <w:sz w:val="11"/>
                <w:szCs w:val="11"/>
                <w:b w:val="1"/>
                <w:bCs w:val="1"/>
                <w:color w:val="auto"/>
                <w:w w:val="88"/>
              </w:rPr>
              <w:t>Proposed Maximum Aggregate Offering Price/Amount of Registration Fee</w:t>
            </w:r>
          </w:p>
        </w:tc>
      </w:tr>
      <w:tr>
        <w:trPr>
          <w:trHeight w:val="141"/>
        </w:trPr>
        <w:tc>
          <w:tcPr>
            <w:tcW w:w="354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color w:val="auto"/>
              </w:rPr>
              <w:t>Debt Securities</w:t>
            </w:r>
          </w:p>
        </w:tc>
        <w:tc>
          <w:tcPr>
            <w:tcW w:w="14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right w:val="single" w:sz="8" w:color="auto"/>
            </w:tcBorders>
          </w:tcPr>
          <w:p>
            <w:pPr>
              <w:spacing w:after="0"/>
              <w:rPr>
                <w:sz w:val="12"/>
                <w:szCs w:val="12"/>
                <w:color w:val="auto"/>
              </w:rPr>
            </w:pPr>
          </w:p>
        </w:tc>
        <w:tc>
          <w:tcPr>
            <w:tcW w:w="2160" w:type="dxa"/>
            <w:vAlign w:val="bottom"/>
            <w:tcBorders>
              <w:top w:val="single" w:sz="8" w:color="auto"/>
              <w:bottom w:val="single" w:sz="8" w:color="auto"/>
            </w:tcBorders>
          </w:tcPr>
          <w:p>
            <w:pPr>
              <w:spacing w:after="0"/>
              <w:rPr>
                <w:sz w:val="12"/>
                <w:szCs w:val="12"/>
                <w:color w:val="auto"/>
              </w:rPr>
            </w:pPr>
          </w:p>
        </w:tc>
        <w:tc>
          <w:tcPr>
            <w:tcW w:w="2780" w:type="dxa"/>
            <w:vAlign w:val="bottom"/>
            <w:tcBorders>
              <w:top w:val="single" w:sz="8" w:color="auto"/>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41"/>
        </w:trPr>
        <w:tc>
          <w:tcPr>
            <w:tcW w:w="35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Common Stock, par value $0.01 per share</w:t>
            </w:r>
          </w:p>
        </w:tc>
        <w:tc>
          <w:tcPr>
            <w:tcW w:w="1440" w:type="dxa"/>
            <w:vAlign w:val="bottom"/>
            <w:tcBorders>
              <w:bottom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2160" w:type="dxa"/>
            <w:vAlign w:val="bottom"/>
            <w:tcBorders>
              <w:bottom w:val="single" w:sz="8" w:color="auto"/>
            </w:tcBorders>
          </w:tcPr>
          <w:p>
            <w:pPr>
              <w:spacing w:after="0"/>
              <w:rPr>
                <w:sz w:val="12"/>
                <w:szCs w:val="12"/>
                <w:color w:val="auto"/>
              </w:rPr>
            </w:pPr>
          </w:p>
        </w:tc>
        <w:tc>
          <w:tcPr>
            <w:tcW w:w="2780" w:type="dxa"/>
            <w:vAlign w:val="bottom"/>
            <w:tcBorders>
              <w:bottom w:val="single" w:sz="8" w:color="auto"/>
            </w:tcBorders>
          </w:tcPr>
          <w:p>
            <w:pPr>
              <w:jc w:val="right"/>
              <w:ind w:right="2260"/>
              <w:spacing w:after="0"/>
              <w:rPr>
                <w:sz w:val="20"/>
                <w:szCs w:val="20"/>
                <w:color w:val="auto"/>
              </w:rPr>
            </w:pPr>
            <w:r>
              <w:rPr>
                <w:rFonts w:ascii="Arial" w:cs="Arial" w:eastAsia="Arial" w:hAnsi="Arial"/>
                <w:sz w:val="12"/>
                <w:szCs w:val="12"/>
                <w:color w:val="auto"/>
              </w:rPr>
              <w:t>(1)</w:t>
            </w:r>
          </w:p>
        </w:tc>
        <w:tc>
          <w:tcPr>
            <w:tcW w:w="20" w:type="dxa"/>
            <w:vAlign w:val="bottom"/>
          </w:tcPr>
          <w:p>
            <w:pPr>
              <w:spacing w:after="0"/>
              <w:rPr>
                <w:sz w:val="12"/>
                <w:szCs w:val="12"/>
                <w:color w:val="auto"/>
              </w:rPr>
            </w:pPr>
          </w:p>
        </w:tc>
      </w:tr>
      <w:tr>
        <w:trPr>
          <w:trHeight w:val="141"/>
        </w:trPr>
        <w:tc>
          <w:tcPr>
            <w:tcW w:w="35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Preferred Stock</w:t>
            </w:r>
          </w:p>
        </w:tc>
        <w:tc>
          <w:tcPr>
            <w:tcW w:w="1440" w:type="dxa"/>
            <w:vAlign w:val="bottom"/>
            <w:tcBorders>
              <w:bottom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2160" w:type="dxa"/>
            <w:vAlign w:val="bottom"/>
            <w:tcBorders>
              <w:bottom w:val="single" w:sz="8" w:color="auto"/>
            </w:tcBorders>
          </w:tcPr>
          <w:p>
            <w:pPr>
              <w:spacing w:after="0"/>
              <w:rPr>
                <w:sz w:val="12"/>
                <w:szCs w:val="12"/>
                <w:color w:val="auto"/>
              </w:rPr>
            </w:pPr>
          </w:p>
        </w:tc>
        <w:tc>
          <w:tcPr>
            <w:tcW w:w="27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41"/>
        </w:trPr>
        <w:tc>
          <w:tcPr>
            <w:tcW w:w="35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Warrants</w:t>
            </w:r>
          </w:p>
        </w:tc>
        <w:tc>
          <w:tcPr>
            <w:tcW w:w="1440" w:type="dxa"/>
            <w:vAlign w:val="bottom"/>
            <w:tcBorders>
              <w:bottom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2160" w:type="dxa"/>
            <w:vAlign w:val="bottom"/>
            <w:tcBorders>
              <w:bottom w:val="single" w:sz="8" w:color="auto"/>
            </w:tcBorders>
          </w:tcPr>
          <w:p>
            <w:pPr>
              <w:spacing w:after="0"/>
              <w:rPr>
                <w:sz w:val="12"/>
                <w:szCs w:val="12"/>
                <w:color w:val="auto"/>
              </w:rPr>
            </w:pPr>
          </w:p>
        </w:tc>
        <w:tc>
          <w:tcPr>
            <w:tcW w:w="27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41"/>
        </w:trPr>
        <w:tc>
          <w:tcPr>
            <w:tcW w:w="35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Guarantees(2)</w:t>
            </w:r>
          </w:p>
        </w:tc>
        <w:tc>
          <w:tcPr>
            <w:tcW w:w="1440" w:type="dxa"/>
            <w:vAlign w:val="bottom"/>
            <w:tcBorders>
              <w:bottom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2160" w:type="dxa"/>
            <w:vAlign w:val="bottom"/>
            <w:tcBorders>
              <w:bottom w:val="single" w:sz="8" w:color="auto"/>
            </w:tcBorders>
          </w:tcPr>
          <w:p>
            <w:pPr>
              <w:spacing w:after="0"/>
              <w:rPr>
                <w:sz w:val="12"/>
                <w:szCs w:val="12"/>
                <w:color w:val="auto"/>
              </w:rPr>
            </w:pPr>
          </w:p>
        </w:tc>
        <w:tc>
          <w:tcPr>
            <w:tcW w:w="27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41"/>
        </w:trPr>
        <w:tc>
          <w:tcPr>
            <w:tcW w:w="35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Units(3)</w:t>
            </w:r>
          </w:p>
        </w:tc>
        <w:tc>
          <w:tcPr>
            <w:tcW w:w="1440" w:type="dxa"/>
            <w:vAlign w:val="bottom"/>
            <w:tcBorders>
              <w:bottom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2160" w:type="dxa"/>
            <w:vAlign w:val="bottom"/>
            <w:tcBorders>
              <w:bottom w:val="single" w:sz="8" w:color="auto"/>
            </w:tcBorders>
          </w:tcPr>
          <w:p>
            <w:pPr>
              <w:spacing w:after="0"/>
              <w:rPr>
                <w:sz w:val="12"/>
                <w:szCs w:val="12"/>
                <w:color w:val="auto"/>
              </w:rPr>
            </w:pPr>
          </w:p>
        </w:tc>
        <w:tc>
          <w:tcPr>
            <w:tcW w:w="27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35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 w:lineRule="exact"/>
        <w:rPr>
          <w:sz w:val="20"/>
          <w:szCs w:val="20"/>
          <w:color w:val="auto"/>
        </w:rPr>
      </w:pPr>
    </w:p>
    <w:p>
      <w:pPr>
        <w:ind w:left="580" w:hanging="235"/>
        <w:spacing w:after="0" w:line="276" w:lineRule="auto"/>
        <w:tabs>
          <w:tab w:leader="none" w:pos="580" w:val="left"/>
        </w:tabs>
        <w:numPr>
          <w:ilvl w:val="0"/>
          <w:numId w:val="2"/>
        </w:numPr>
        <w:rPr>
          <w:rFonts w:ascii="Arial" w:cs="Arial" w:eastAsia="Arial" w:hAnsi="Arial"/>
          <w:sz w:val="12"/>
          <w:szCs w:val="12"/>
          <w:color w:val="auto"/>
        </w:rPr>
      </w:pPr>
      <w:r>
        <w:rPr>
          <w:rFonts w:ascii="Arial" w:cs="Arial" w:eastAsia="Arial" w:hAnsi="Arial"/>
          <w:sz w:val="12"/>
          <w:szCs w:val="12"/>
          <w:color w:val="auto"/>
        </w:rPr>
        <w:t>An indeterminate aggregate initial offering price or number of the securities of each identified class is being registered as may from time to time be issued at indeterminate prices. Separate consideration may or may not be received for securities that are issuable on exercise, conversion or exchange of other securities. In accordance with Rules 456(b) and 457(r), the registrant is deferring payment of all of the registration fees and will pay such fees on a pay-as-you-go basis.</w:t>
      </w:r>
    </w:p>
    <w:p>
      <w:pPr>
        <w:spacing w:after="0" w:line="17" w:lineRule="exact"/>
        <w:rPr>
          <w:rFonts w:ascii="Arial" w:cs="Arial" w:eastAsia="Arial" w:hAnsi="Arial"/>
          <w:sz w:val="12"/>
          <w:szCs w:val="12"/>
          <w:color w:val="auto"/>
        </w:rPr>
      </w:pPr>
    </w:p>
    <w:p>
      <w:pPr>
        <w:ind w:left="580" w:right="160" w:hanging="235"/>
        <w:spacing w:after="0" w:line="290" w:lineRule="auto"/>
        <w:tabs>
          <w:tab w:leader="none" w:pos="580" w:val="left"/>
        </w:tabs>
        <w:numPr>
          <w:ilvl w:val="0"/>
          <w:numId w:val="2"/>
        </w:numPr>
        <w:rPr>
          <w:rFonts w:ascii="Arial" w:cs="Arial" w:eastAsia="Arial" w:hAnsi="Arial"/>
          <w:sz w:val="12"/>
          <w:szCs w:val="12"/>
          <w:color w:val="auto"/>
        </w:rPr>
      </w:pPr>
      <w:r>
        <w:rPr>
          <w:rFonts w:ascii="Arial" w:cs="Arial" w:eastAsia="Arial" w:hAnsi="Arial"/>
          <w:sz w:val="12"/>
          <w:szCs w:val="12"/>
          <w:color w:val="auto"/>
        </w:rPr>
        <w:t>We are also registering guarantees that Waste Management Holdings, Inc. may have with respect to debt securities we may issue. No separate consideration will be received for the guarantees. See inside facing page for information on the additional registrant guarantor.</w:t>
      </w:r>
    </w:p>
    <w:p>
      <w:pPr>
        <w:spacing w:after="0" w:line="9" w:lineRule="exact"/>
        <w:rPr>
          <w:rFonts w:ascii="Arial" w:cs="Arial" w:eastAsia="Arial" w:hAnsi="Arial"/>
          <w:sz w:val="12"/>
          <w:szCs w:val="12"/>
          <w:color w:val="auto"/>
        </w:rPr>
      </w:pPr>
    </w:p>
    <w:p>
      <w:pPr>
        <w:ind w:left="580" w:hanging="235"/>
        <w:spacing w:after="0"/>
        <w:tabs>
          <w:tab w:leader="none" w:pos="580" w:val="left"/>
        </w:tabs>
        <w:numPr>
          <w:ilvl w:val="0"/>
          <w:numId w:val="2"/>
        </w:numPr>
        <w:rPr>
          <w:rFonts w:ascii="Arial" w:cs="Arial" w:eastAsia="Arial" w:hAnsi="Arial"/>
          <w:sz w:val="12"/>
          <w:szCs w:val="12"/>
          <w:color w:val="auto"/>
        </w:rPr>
      </w:pPr>
      <w:r>
        <w:rPr>
          <w:rFonts w:ascii="Arial" w:cs="Arial" w:eastAsia="Arial" w:hAnsi="Arial"/>
          <w:sz w:val="12"/>
          <w:szCs w:val="12"/>
          <w:color w:val="auto"/>
        </w:rPr>
        <w:t>Any securities registered hereunder may be sold separately or as units with other securities registered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70485</wp:posOffset>
            </wp:positionV>
            <wp:extent cx="684657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46570" cy="254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194945</wp:posOffset>
            </wp:positionV>
            <wp:extent cx="7287895"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120"/>
          </w:cols>
          <w:pgMar w:left="220" w:top="127" w:right="559" w:bottom="1440" w:gutter="0" w:footer="0" w:header="0"/>
          <w:type w:val="continuous"/>
        </w:sectPr>
      </w:pPr>
    </w:p>
    <w:bookmarkStart w:id="2" w:name="page3"/>
    <w:bookmarkEnd w:id="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40"/>
        <w:spacing w:after="0"/>
        <w:rPr>
          <w:sz w:val="20"/>
          <w:szCs w:val="20"/>
          <w:color w:val="auto"/>
        </w:rPr>
      </w:pPr>
      <w:r>
        <w:rPr>
          <w:rFonts w:ascii="Arial" w:cs="Arial" w:eastAsia="Arial" w:hAnsi="Arial"/>
          <w:sz w:val="9"/>
          <w:szCs w:val="9"/>
          <w:b w:val="1"/>
          <w:bCs w:val="1"/>
          <w:u w:val="single" w:color="auto"/>
          <w:color w:val="auto"/>
        </w:rPr>
        <w:t>E</w:t>
      </w:r>
      <w:r>
        <w:rPr>
          <w:rFonts w:ascii="Arial" w:cs="Arial" w:eastAsia="Arial" w:hAnsi="Arial"/>
          <w:sz w:val="9"/>
          <w:szCs w:val="9"/>
          <w:b w:val="1"/>
          <w:bCs w:val="1"/>
          <w:color w:val="auto"/>
        </w:rPr>
        <w:t>xact Name as Specified in Charter</w:t>
      </w:r>
    </w:p>
    <w:p>
      <w:pPr>
        <w:spacing w:after="0" w:line="52" w:lineRule="exact"/>
        <w:rPr>
          <w:sz w:val="20"/>
          <w:szCs w:val="20"/>
          <w:color w:val="auto"/>
        </w:rPr>
      </w:pPr>
    </w:p>
    <w:p>
      <w:pPr>
        <w:ind w:left="340"/>
        <w:spacing w:after="0"/>
        <w:rPr>
          <w:sz w:val="20"/>
          <w:szCs w:val="20"/>
          <w:color w:val="auto"/>
        </w:rPr>
      </w:pPr>
      <w:r>
        <w:rPr>
          <w:rFonts w:ascii="Arial" w:cs="Arial" w:eastAsia="Arial" w:hAnsi="Arial"/>
          <w:sz w:val="10"/>
          <w:szCs w:val="10"/>
          <w:color w:val="auto"/>
        </w:rPr>
        <w:t>Waste Management Holdings, Inc.</w:t>
      </w:r>
    </w:p>
    <w:p>
      <w:pPr>
        <w:spacing w:after="0" w:line="20" w:lineRule="exact"/>
        <w:rPr>
          <w:sz w:val="20"/>
          <w:szCs w:val="20"/>
          <w:color w:val="auto"/>
        </w:rPr>
      </w:pPr>
      <w:r>
        <w:rPr>
          <w:sz w:val="20"/>
          <w:szCs w:val="20"/>
          <w:color w:val="auto"/>
        </w:rPr>
        <w:br w:type="column"/>
      </w:r>
    </w:p>
    <w:p>
      <w:pPr>
        <w:spacing w:after="0" w:line="3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TABLE OF ADDITIONAL REGISTRANT GUARANTORS</w:t>
      </w:r>
    </w:p>
    <w:p>
      <w:pPr>
        <w:spacing w:after="0" w:line="92" w:lineRule="exact"/>
        <w:rPr>
          <w:sz w:val="20"/>
          <w:szCs w:val="20"/>
          <w:color w:val="auto"/>
        </w:rPr>
      </w:pPr>
    </w:p>
    <w:tbl>
      <w:tblPr>
        <w:tblLayout w:type="fixed"/>
        <w:tblInd w:w="2980" w:type="dxa"/>
        <w:tblCellMar>
          <w:top w:w="0" w:type="dxa"/>
          <w:left w:w="0" w:type="dxa"/>
          <w:bottom w:w="0" w:type="dxa"/>
          <w:right w:w="0" w:type="dxa"/>
        </w:tblCellMar>
      </w:tblPr>
      <w:tr>
        <w:trPr>
          <w:trHeight w:val="126"/>
        </w:trPr>
        <w:tc>
          <w:tcPr>
            <w:tcW w:w="108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89"/>
              </w:rPr>
              <w:t>State or Other</w:t>
            </w: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00" w:type="dxa"/>
            <w:vAlign w:val="bottom"/>
          </w:tcPr>
          <w:p>
            <w:pPr>
              <w:jc w:val="center"/>
              <w:spacing w:after="0"/>
              <w:rPr>
                <w:sz w:val="20"/>
                <w:szCs w:val="20"/>
                <w:color w:val="auto"/>
              </w:rPr>
            </w:pPr>
            <w:r>
              <w:rPr>
                <w:rFonts w:ascii="Arial" w:cs="Arial" w:eastAsia="Arial" w:hAnsi="Arial"/>
                <w:sz w:val="11"/>
                <w:szCs w:val="11"/>
                <w:b w:val="1"/>
                <w:bCs w:val="1"/>
                <w:color w:val="auto"/>
                <w:w w:val="89"/>
              </w:rPr>
              <w:t>Address Including</w:t>
            </w:r>
          </w:p>
        </w:tc>
        <w:tc>
          <w:tcPr>
            <w:tcW w:w="0" w:type="dxa"/>
            <w:vAlign w:val="bottom"/>
          </w:tcPr>
          <w:p>
            <w:pPr>
              <w:spacing w:after="0"/>
              <w:rPr>
                <w:sz w:val="1"/>
                <w:szCs w:val="1"/>
                <w:color w:val="auto"/>
              </w:rPr>
            </w:pPr>
          </w:p>
        </w:tc>
      </w:tr>
      <w:tr>
        <w:trPr>
          <w:trHeight w:val="111"/>
        </w:trPr>
        <w:tc>
          <w:tcPr>
            <w:tcW w:w="10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2"/>
              </w:rPr>
              <w:t>IRS Employer</w:t>
            </w:r>
          </w:p>
        </w:tc>
        <w:tc>
          <w:tcPr>
            <w:tcW w:w="220" w:type="dxa"/>
            <w:vAlign w:val="bottom"/>
          </w:tcPr>
          <w:p>
            <w:pPr>
              <w:spacing w:after="0"/>
              <w:rPr>
                <w:sz w:val="9"/>
                <w:szCs w:val="9"/>
                <w:color w:val="auto"/>
              </w:rPr>
            </w:pPr>
          </w:p>
        </w:tc>
        <w:tc>
          <w:tcPr>
            <w:tcW w:w="150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8"/>
              </w:rPr>
              <w:t>Zip Code and</w:t>
            </w:r>
          </w:p>
        </w:tc>
        <w:tc>
          <w:tcPr>
            <w:tcW w:w="0" w:type="dxa"/>
            <w:vAlign w:val="bottom"/>
          </w:tcPr>
          <w:p>
            <w:pPr>
              <w:spacing w:after="0"/>
              <w:rPr>
                <w:sz w:val="1"/>
                <w:szCs w:val="1"/>
                <w:color w:val="auto"/>
              </w:rPr>
            </w:pPr>
          </w:p>
        </w:tc>
      </w:tr>
      <w:tr>
        <w:trPr>
          <w:trHeight w:val="111"/>
        </w:trPr>
        <w:tc>
          <w:tcPr>
            <w:tcW w:w="108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9"/>
              </w:rPr>
              <w:t>Jurisdiction of</w:t>
            </w:r>
          </w:p>
        </w:tc>
        <w:tc>
          <w:tcPr>
            <w:tcW w:w="22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50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6"/>
              </w:rPr>
              <w:t>Telephone Number of</w:t>
            </w:r>
          </w:p>
        </w:tc>
        <w:tc>
          <w:tcPr>
            <w:tcW w:w="0" w:type="dxa"/>
            <w:vAlign w:val="bottom"/>
          </w:tcPr>
          <w:p>
            <w:pPr>
              <w:spacing w:after="0"/>
              <w:rPr>
                <w:sz w:val="1"/>
                <w:szCs w:val="1"/>
                <w:color w:val="auto"/>
              </w:rPr>
            </w:pPr>
          </w:p>
        </w:tc>
      </w:tr>
      <w:tr>
        <w:trPr>
          <w:trHeight w:val="121"/>
        </w:trPr>
        <w:tc>
          <w:tcPr>
            <w:tcW w:w="108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89"/>
              </w:rPr>
              <w:t>Incorporation or</w:t>
            </w:r>
          </w:p>
        </w:tc>
        <w:tc>
          <w:tcPr>
            <w:tcW w:w="220" w:type="dxa"/>
            <w:vAlign w:val="bottom"/>
          </w:tcPr>
          <w:p>
            <w:pPr>
              <w:spacing w:after="0"/>
              <w:rPr>
                <w:sz w:val="10"/>
                <w:szCs w:val="10"/>
                <w:color w:val="auto"/>
              </w:rPr>
            </w:pPr>
          </w:p>
        </w:tc>
        <w:tc>
          <w:tcPr>
            <w:tcW w:w="96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90"/>
              </w:rPr>
              <w:t>Identification</w:t>
            </w:r>
          </w:p>
        </w:tc>
        <w:tc>
          <w:tcPr>
            <w:tcW w:w="220" w:type="dxa"/>
            <w:vAlign w:val="bottom"/>
          </w:tcPr>
          <w:p>
            <w:pPr>
              <w:spacing w:after="0"/>
              <w:rPr>
                <w:sz w:val="10"/>
                <w:szCs w:val="10"/>
                <w:color w:val="auto"/>
              </w:rPr>
            </w:pPr>
          </w:p>
        </w:tc>
        <w:tc>
          <w:tcPr>
            <w:tcW w:w="150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89"/>
              </w:rPr>
              <w:t>Principal Executive</w:t>
            </w:r>
          </w:p>
        </w:tc>
        <w:tc>
          <w:tcPr>
            <w:tcW w:w="0" w:type="dxa"/>
            <w:vAlign w:val="bottom"/>
          </w:tcPr>
          <w:p>
            <w:pPr>
              <w:spacing w:after="0"/>
              <w:rPr>
                <w:sz w:val="1"/>
                <w:szCs w:val="1"/>
                <w:color w:val="auto"/>
              </w:rPr>
            </w:pPr>
          </w:p>
        </w:tc>
      </w:tr>
      <w:tr>
        <w:trPr>
          <w:trHeight w:val="128"/>
        </w:trPr>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Organization</w:t>
            </w:r>
          </w:p>
        </w:tc>
        <w:tc>
          <w:tcPr>
            <w:tcW w:w="220" w:type="dxa"/>
            <w:vAlign w:val="bottom"/>
          </w:tcPr>
          <w:p>
            <w:pPr>
              <w:spacing w:after="0"/>
              <w:rPr>
                <w:sz w:val="11"/>
                <w:szCs w:val="11"/>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1"/>
              </w:rPr>
              <w:t>Number</w:t>
            </w:r>
          </w:p>
        </w:tc>
        <w:tc>
          <w:tcPr>
            <w:tcW w:w="220" w:type="dxa"/>
            <w:vAlign w:val="bottom"/>
          </w:tcPr>
          <w:p>
            <w:pPr>
              <w:spacing w:after="0"/>
              <w:rPr>
                <w:sz w:val="11"/>
                <w:szCs w:val="11"/>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Office</w:t>
            </w:r>
          </w:p>
        </w:tc>
        <w:tc>
          <w:tcPr>
            <w:tcW w:w="0" w:type="dxa"/>
            <w:vAlign w:val="bottom"/>
          </w:tcPr>
          <w:p>
            <w:pPr>
              <w:spacing w:after="0"/>
              <w:rPr>
                <w:sz w:val="1"/>
                <w:szCs w:val="1"/>
                <w:color w:val="auto"/>
              </w:rPr>
            </w:pPr>
          </w:p>
        </w:tc>
      </w:tr>
      <w:tr>
        <w:trPr>
          <w:trHeight w:val="108"/>
        </w:trPr>
        <w:tc>
          <w:tcPr>
            <w:tcW w:w="1080" w:type="dxa"/>
            <w:vAlign w:val="bottom"/>
          </w:tcPr>
          <w:p>
            <w:pPr>
              <w:spacing w:after="0" w:line="109" w:lineRule="exact"/>
              <w:rPr>
                <w:sz w:val="20"/>
                <w:szCs w:val="20"/>
                <w:color w:val="auto"/>
              </w:rPr>
            </w:pPr>
            <w:r>
              <w:rPr>
                <w:rFonts w:ascii="Arial" w:cs="Arial" w:eastAsia="Arial" w:hAnsi="Arial"/>
                <w:sz w:val="11"/>
                <w:szCs w:val="11"/>
                <w:color w:val="auto"/>
              </w:rPr>
              <w:t>Delaware</w:t>
            </w:r>
          </w:p>
        </w:tc>
        <w:tc>
          <w:tcPr>
            <w:tcW w:w="1180" w:type="dxa"/>
            <w:vAlign w:val="bottom"/>
            <w:gridSpan w:val="2"/>
          </w:tcPr>
          <w:p>
            <w:pPr>
              <w:jc w:val="right"/>
              <w:ind w:right="326"/>
              <w:spacing w:after="0" w:line="109" w:lineRule="exact"/>
              <w:rPr>
                <w:sz w:val="20"/>
                <w:szCs w:val="20"/>
                <w:color w:val="auto"/>
              </w:rPr>
            </w:pPr>
            <w:r>
              <w:rPr>
                <w:rFonts w:ascii="Arial" w:cs="Arial" w:eastAsia="Arial" w:hAnsi="Arial"/>
                <w:sz w:val="11"/>
                <w:szCs w:val="11"/>
                <w:color w:val="auto"/>
              </w:rPr>
              <w:t>36-26660763</w:t>
            </w:r>
          </w:p>
        </w:tc>
        <w:tc>
          <w:tcPr>
            <w:tcW w:w="220" w:type="dxa"/>
            <w:vAlign w:val="bottom"/>
          </w:tcPr>
          <w:p>
            <w:pPr>
              <w:spacing w:after="0"/>
              <w:rPr>
                <w:sz w:val="9"/>
                <w:szCs w:val="9"/>
                <w:color w:val="auto"/>
              </w:rPr>
            </w:pPr>
          </w:p>
        </w:tc>
        <w:tc>
          <w:tcPr>
            <w:tcW w:w="1500" w:type="dxa"/>
            <w:vAlign w:val="bottom"/>
          </w:tcPr>
          <w:p>
            <w:pPr>
              <w:spacing w:after="0" w:line="109" w:lineRule="exact"/>
              <w:rPr>
                <w:sz w:val="20"/>
                <w:szCs w:val="20"/>
                <w:color w:val="auto"/>
              </w:rPr>
            </w:pPr>
            <w:r>
              <w:rPr>
                <w:rFonts w:ascii="Arial" w:cs="Arial" w:eastAsia="Arial" w:hAnsi="Arial"/>
                <w:sz w:val="11"/>
                <w:szCs w:val="11"/>
                <w:color w:val="auto"/>
              </w:rPr>
              <w:t>1001 Fannin Street</w:t>
            </w:r>
          </w:p>
        </w:tc>
        <w:tc>
          <w:tcPr>
            <w:tcW w:w="0" w:type="dxa"/>
            <w:vAlign w:val="bottom"/>
          </w:tcPr>
          <w:p>
            <w:pPr>
              <w:spacing w:after="0"/>
              <w:rPr>
                <w:sz w:val="1"/>
                <w:szCs w:val="1"/>
                <w:color w:val="auto"/>
              </w:rPr>
            </w:pPr>
          </w:p>
        </w:tc>
      </w:tr>
      <w:tr>
        <w:trPr>
          <w:trHeight w:val="111"/>
        </w:trPr>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00" w:type="dxa"/>
            <w:vAlign w:val="bottom"/>
          </w:tcPr>
          <w:p>
            <w:pPr>
              <w:spacing w:after="0" w:line="111" w:lineRule="exact"/>
              <w:rPr>
                <w:sz w:val="20"/>
                <w:szCs w:val="20"/>
                <w:color w:val="auto"/>
              </w:rPr>
            </w:pPr>
            <w:r>
              <w:rPr>
                <w:rFonts w:ascii="Arial" w:cs="Arial" w:eastAsia="Arial" w:hAnsi="Arial"/>
                <w:sz w:val="11"/>
                <w:szCs w:val="11"/>
                <w:color w:val="auto"/>
              </w:rPr>
              <w:t>Suite 4000</w:t>
            </w:r>
          </w:p>
        </w:tc>
        <w:tc>
          <w:tcPr>
            <w:tcW w:w="0" w:type="dxa"/>
            <w:vAlign w:val="bottom"/>
          </w:tcPr>
          <w:p>
            <w:pPr>
              <w:spacing w:after="0"/>
              <w:rPr>
                <w:sz w:val="1"/>
                <w:szCs w:val="1"/>
                <w:color w:val="auto"/>
              </w:rPr>
            </w:pPr>
          </w:p>
        </w:tc>
      </w:tr>
      <w:tr>
        <w:trPr>
          <w:trHeight w:val="136"/>
        </w:trPr>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00" w:type="dxa"/>
            <w:vAlign w:val="bottom"/>
          </w:tcPr>
          <w:p>
            <w:pPr>
              <w:spacing w:after="0"/>
              <w:rPr>
                <w:sz w:val="20"/>
                <w:szCs w:val="20"/>
                <w:color w:val="auto"/>
              </w:rPr>
            </w:pPr>
            <w:r>
              <w:rPr>
                <w:rFonts w:ascii="Arial" w:cs="Arial" w:eastAsia="Arial" w:hAnsi="Arial"/>
                <w:sz w:val="11"/>
                <w:szCs w:val="11"/>
                <w:color w:val="auto"/>
              </w:rPr>
              <w:t>Houston, Texas 77002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-2643505</wp:posOffset>
            </wp:positionH>
            <wp:positionV relativeFrom="paragraph">
              <wp:posOffset>91440</wp:posOffset>
            </wp:positionV>
            <wp:extent cx="728789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2">
            <w:col w:w="3440" w:space="720"/>
            <w:col w:w="6960"/>
          </w:cols>
          <w:pgMar w:left="220" w:top="349" w:right="559" w:bottom="1440" w:gutter="0" w:footer="0" w:header="0"/>
        </w:sectPr>
      </w:pPr>
    </w:p>
    <w:bookmarkStart w:id="3" w:name="page4"/>
    <w:bookmarkEnd w:id="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3090545</wp:posOffset>
            </wp:positionH>
            <wp:positionV relativeFrom="paragraph">
              <wp:posOffset>175260</wp:posOffset>
            </wp:positionV>
            <wp:extent cx="1029970" cy="3517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29970"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739"/>
        <w:spacing w:after="0"/>
        <w:rPr>
          <w:sz w:val="20"/>
          <w:szCs w:val="20"/>
          <w:color w:val="auto"/>
        </w:rPr>
      </w:pPr>
      <w:r>
        <w:rPr>
          <w:rFonts w:ascii="Arial" w:cs="Arial" w:eastAsia="Arial" w:hAnsi="Arial"/>
          <w:sz w:val="32"/>
          <w:szCs w:val="32"/>
          <w:b w:val="1"/>
          <w:bCs w:val="1"/>
          <w:color w:val="auto"/>
        </w:rPr>
        <w:t>WASTE MANAGEMENT, INC.</w:t>
      </w:r>
    </w:p>
    <w:p>
      <w:pPr>
        <w:spacing w:after="0" w:line="110" w:lineRule="exact"/>
        <w:rPr>
          <w:sz w:val="20"/>
          <w:szCs w:val="20"/>
          <w:color w:val="auto"/>
        </w:rPr>
      </w:pPr>
    </w:p>
    <w:p>
      <w:pPr>
        <w:jc w:val="center"/>
        <w:ind w:right="-739"/>
        <w:spacing w:after="0"/>
        <w:rPr>
          <w:sz w:val="20"/>
          <w:szCs w:val="20"/>
          <w:color w:val="auto"/>
        </w:rPr>
      </w:pPr>
      <w:r>
        <w:rPr>
          <w:rFonts w:ascii="Arial" w:cs="Arial" w:eastAsia="Arial" w:hAnsi="Arial"/>
          <w:sz w:val="19"/>
          <w:szCs w:val="19"/>
          <w:b w:val="1"/>
          <w:bCs w:val="1"/>
          <w:color w:val="auto"/>
        </w:rPr>
        <w:t>DEBT SECURITIES</w:t>
      </w:r>
    </w:p>
    <w:p>
      <w:pPr>
        <w:spacing w:after="0" w:line="23" w:lineRule="exact"/>
        <w:rPr>
          <w:sz w:val="20"/>
          <w:szCs w:val="20"/>
          <w:color w:val="auto"/>
        </w:rPr>
      </w:pPr>
    </w:p>
    <w:p>
      <w:pPr>
        <w:jc w:val="center"/>
        <w:ind w:right="-739"/>
        <w:spacing w:after="0"/>
        <w:rPr>
          <w:sz w:val="20"/>
          <w:szCs w:val="20"/>
          <w:color w:val="auto"/>
        </w:rPr>
      </w:pPr>
      <w:r>
        <w:rPr>
          <w:rFonts w:ascii="Arial" w:cs="Arial" w:eastAsia="Arial" w:hAnsi="Arial"/>
          <w:sz w:val="19"/>
          <w:szCs w:val="19"/>
          <w:b w:val="1"/>
          <w:bCs w:val="1"/>
          <w:color w:val="auto"/>
        </w:rPr>
        <w:t>COMMON STOCK</w:t>
      </w:r>
    </w:p>
    <w:p>
      <w:pPr>
        <w:spacing w:after="0" w:line="3" w:lineRule="exact"/>
        <w:rPr>
          <w:sz w:val="20"/>
          <w:szCs w:val="20"/>
          <w:color w:val="auto"/>
        </w:rPr>
      </w:pPr>
    </w:p>
    <w:p>
      <w:pPr>
        <w:jc w:val="center"/>
        <w:ind w:right="-739"/>
        <w:spacing w:after="0"/>
        <w:rPr>
          <w:sz w:val="20"/>
          <w:szCs w:val="20"/>
          <w:color w:val="auto"/>
        </w:rPr>
      </w:pPr>
      <w:r>
        <w:rPr>
          <w:rFonts w:ascii="Arial" w:cs="Arial" w:eastAsia="Arial" w:hAnsi="Arial"/>
          <w:sz w:val="19"/>
          <w:szCs w:val="19"/>
          <w:b w:val="1"/>
          <w:bCs w:val="1"/>
          <w:color w:val="auto"/>
        </w:rPr>
        <w:t>PREFERRED STOCK</w:t>
      </w:r>
    </w:p>
    <w:p>
      <w:pPr>
        <w:spacing w:after="0" w:line="3" w:lineRule="exact"/>
        <w:rPr>
          <w:sz w:val="20"/>
          <w:szCs w:val="20"/>
          <w:color w:val="auto"/>
        </w:rPr>
      </w:pPr>
    </w:p>
    <w:p>
      <w:pPr>
        <w:jc w:val="center"/>
        <w:ind w:right="-739"/>
        <w:spacing w:after="0"/>
        <w:rPr>
          <w:sz w:val="20"/>
          <w:szCs w:val="20"/>
          <w:color w:val="auto"/>
        </w:rPr>
      </w:pPr>
      <w:r>
        <w:rPr>
          <w:rFonts w:ascii="Arial" w:cs="Arial" w:eastAsia="Arial" w:hAnsi="Arial"/>
          <w:sz w:val="19"/>
          <w:szCs w:val="19"/>
          <w:b w:val="1"/>
          <w:bCs w:val="1"/>
          <w:color w:val="auto"/>
        </w:rPr>
        <w:t>WARRANTS</w:t>
      </w:r>
    </w:p>
    <w:p>
      <w:pPr>
        <w:spacing w:after="0" w:line="3" w:lineRule="exact"/>
        <w:rPr>
          <w:sz w:val="20"/>
          <w:szCs w:val="20"/>
          <w:color w:val="auto"/>
        </w:rPr>
      </w:pPr>
    </w:p>
    <w:p>
      <w:pPr>
        <w:jc w:val="center"/>
        <w:ind w:right="-739"/>
        <w:spacing w:after="0"/>
        <w:rPr>
          <w:sz w:val="20"/>
          <w:szCs w:val="20"/>
          <w:color w:val="auto"/>
        </w:rPr>
      </w:pPr>
      <w:r>
        <w:rPr>
          <w:rFonts w:ascii="Arial" w:cs="Arial" w:eastAsia="Arial" w:hAnsi="Arial"/>
          <w:sz w:val="19"/>
          <w:szCs w:val="19"/>
          <w:b w:val="1"/>
          <w:bCs w:val="1"/>
          <w:color w:val="auto"/>
        </w:rPr>
        <w:t>GUARANTEES</w:t>
      </w:r>
    </w:p>
    <w:p>
      <w:pPr>
        <w:spacing w:after="0" w:line="3" w:lineRule="exact"/>
        <w:rPr>
          <w:sz w:val="20"/>
          <w:szCs w:val="20"/>
          <w:color w:val="auto"/>
        </w:rPr>
      </w:pPr>
    </w:p>
    <w:p>
      <w:pPr>
        <w:jc w:val="center"/>
        <w:ind w:right="-739"/>
        <w:spacing w:after="0"/>
        <w:rPr>
          <w:sz w:val="20"/>
          <w:szCs w:val="20"/>
          <w:color w:val="auto"/>
        </w:rPr>
      </w:pPr>
      <w:r>
        <w:rPr>
          <w:rFonts w:ascii="Arial" w:cs="Arial" w:eastAsia="Arial" w:hAnsi="Arial"/>
          <w:sz w:val="19"/>
          <w:szCs w:val="19"/>
          <w:b w:val="1"/>
          <w:bCs w:val="1"/>
          <w:color w:val="auto"/>
        </w:rPr>
        <w:t>UNITS</w:t>
      </w:r>
    </w:p>
    <w:p>
      <w:pPr>
        <w:spacing w:after="0" w:line="79" w:lineRule="exact"/>
        <w:rPr>
          <w:sz w:val="20"/>
          <w:szCs w:val="20"/>
          <w:color w:val="auto"/>
        </w:rPr>
      </w:pPr>
    </w:p>
    <w:p>
      <w:pPr>
        <w:ind w:left="680" w:right="440" w:firstLine="399"/>
        <w:spacing w:after="0" w:line="294" w:lineRule="auto"/>
        <w:rPr>
          <w:sz w:val="20"/>
          <w:szCs w:val="20"/>
          <w:color w:val="auto"/>
        </w:rPr>
      </w:pPr>
      <w:r>
        <w:rPr>
          <w:rFonts w:ascii="Arial" w:cs="Arial" w:eastAsia="Arial" w:hAnsi="Arial"/>
          <w:sz w:val="13"/>
          <w:szCs w:val="13"/>
          <w:color w:val="auto"/>
        </w:rPr>
        <w:t>We or selling securityholders may from time to time offer to sell the securities listed above in one or more classes or series in amounts, at prices and on terms that will be determined at the time of the offering.</w:t>
      </w:r>
    </w:p>
    <w:p>
      <w:pPr>
        <w:spacing w:after="0" w:line="47" w:lineRule="exact"/>
        <w:rPr>
          <w:sz w:val="20"/>
          <w:szCs w:val="20"/>
          <w:color w:val="auto"/>
        </w:rPr>
      </w:pPr>
    </w:p>
    <w:p>
      <w:pPr>
        <w:ind w:left="680" w:right="140" w:firstLine="399"/>
        <w:spacing w:after="0" w:line="338" w:lineRule="auto"/>
        <w:rPr>
          <w:sz w:val="20"/>
          <w:szCs w:val="20"/>
          <w:color w:val="auto"/>
        </w:rPr>
      </w:pPr>
      <w:r>
        <w:rPr>
          <w:rFonts w:ascii="Arial" w:cs="Arial" w:eastAsia="Arial" w:hAnsi="Arial"/>
          <w:sz w:val="12"/>
          <w:szCs w:val="12"/>
          <w:color w:val="auto"/>
        </w:rPr>
        <w:t>Each time we or a selling securityholder sell securities pursuant to this prospectus, we will provide a supplement to this prospectus that contains specific information about the offering and the specific terms of the securities offered. You should read this prospectus and the applicable prospectus supplement carefully before you invest in our securities.</w:t>
      </w:r>
    </w:p>
    <w:p>
      <w:pPr>
        <w:spacing w:after="0" w:line="2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common stock is listed on the New York Stock Exchange under the symbol “WM.”</w:t>
      </w:r>
    </w:p>
    <w:p>
      <w:pPr>
        <w:spacing w:after="0" w:line="93" w:lineRule="exact"/>
        <w:rPr>
          <w:sz w:val="20"/>
          <w:szCs w:val="20"/>
          <w:color w:val="auto"/>
        </w:rPr>
      </w:pPr>
    </w:p>
    <w:p>
      <w:pPr>
        <w:ind w:left="680" w:firstLine="499"/>
        <w:spacing w:after="0" w:line="342" w:lineRule="auto"/>
        <w:rPr>
          <w:sz w:val="20"/>
          <w:szCs w:val="20"/>
          <w:color w:val="auto"/>
        </w:rPr>
      </w:pPr>
      <w:r>
        <w:rPr>
          <w:rFonts w:ascii="Arial" w:cs="Arial" w:eastAsia="Arial" w:hAnsi="Arial"/>
          <w:sz w:val="14"/>
          <w:szCs w:val="14"/>
          <w:b w:val="1"/>
          <w:bCs w:val="1"/>
          <w:color w:val="auto"/>
        </w:rPr>
        <w:t>Investing in our securities involves risks. See “Risk Factors” on page 5 of this prospectus, the risk factors included in our periodic reports that we file with the Securities Exchange Commission and the applicable prospectus supplement before you invest in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67310</wp:posOffset>
            </wp:positionV>
            <wp:extent cx="113919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39190" cy="6350"/>
                    </a:xfrm>
                    <a:prstGeom prst="rect">
                      <a:avLst/>
                    </a:prstGeom>
                    <a:noFill/>
                  </pic:spPr>
                </pic:pic>
              </a:graphicData>
            </a:graphic>
          </wp:anchor>
        </w:drawing>
      </w:r>
    </w:p>
    <w:p>
      <w:pPr>
        <w:spacing w:after="0" w:line="256" w:lineRule="exact"/>
        <w:rPr>
          <w:sz w:val="20"/>
          <w:szCs w:val="20"/>
          <w:color w:val="auto"/>
        </w:rPr>
      </w:pPr>
    </w:p>
    <w:p>
      <w:pPr>
        <w:ind w:left="680" w:right="20" w:firstLine="399"/>
        <w:spacing w:after="0" w:line="294" w:lineRule="auto"/>
        <w:rPr>
          <w:sz w:val="20"/>
          <w:szCs w:val="20"/>
          <w:color w:val="auto"/>
        </w:rPr>
      </w:pPr>
      <w:r>
        <w:rPr>
          <w:rFonts w:ascii="Arial" w:cs="Arial" w:eastAsia="Arial" w:hAnsi="Arial"/>
          <w:sz w:val="13"/>
          <w:szCs w:val="13"/>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87630</wp:posOffset>
            </wp:positionV>
            <wp:extent cx="1139190"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39190" cy="6350"/>
                    </a:xfrm>
                    <a:prstGeom prst="rect">
                      <a:avLst/>
                    </a:prstGeom>
                    <a:noFill/>
                  </pic:spPr>
                </pic:pic>
              </a:graphicData>
            </a:graphic>
          </wp:anchor>
        </w:drawing>
      </w:r>
    </w:p>
    <w:p>
      <w:pPr>
        <w:spacing w:after="0" w:line="339" w:lineRule="exact"/>
        <w:rPr>
          <w:sz w:val="20"/>
          <w:szCs w:val="20"/>
          <w:color w:val="auto"/>
        </w:rPr>
      </w:pPr>
    </w:p>
    <w:p>
      <w:pPr>
        <w:ind w:left="4480"/>
        <w:spacing w:after="0"/>
        <w:rPr>
          <w:sz w:val="20"/>
          <w:szCs w:val="20"/>
          <w:color w:val="auto"/>
        </w:rPr>
      </w:pPr>
      <w:r>
        <w:rPr>
          <w:rFonts w:ascii="Arial" w:cs="Arial" w:eastAsia="Arial" w:hAnsi="Arial"/>
          <w:sz w:val="13"/>
          <w:szCs w:val="13"/>
          <w:color w:val="auto"/>
        </w:rPr>
        <w:t>This prospectus is dated September 22,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20"/>
          </w:cols>
          <w:pgMar w:left="220" w:top="349" w:right="1059" w:bottom="1440" w:gutter="0" w:footer="0" w:header="0"/>
        </w:sectPr>
      </w:pPr>
    </w:p>
    <w:bookmarkStart w:id="4" w:name="page5"/>
    <w:bookmarkEnd w:id="4"/>
    <w:p>
      <w:pPr>
        <w:ind w:right="200" w:firstLine="399"/>
        <w:spacing w:after="0" w:line="278" w:lineRule="auto"/>
        <w:rPr>
          <w:sz w:val="20"/>
          <w:szCs w:val="20"/>
          <w:color w:val="auto"/>
        </w:rPr>
      </w:pPr>
      <w:r>
        <w:rPr>
          <w:rFonts w:ascii="Arial" w:cs="Arial" w:eastAsia="Arial" w:hAnsi="Arial"/>
          <w:sz w:val="13"/>
          <w:szCs w:val="13"/>
          <w:b w:val="1"/>
          <w:bCs w:val="1"/>
          <w:color w:val="auto"/>
        </w:rPr>
        <w:t>If you are in a jurisdiction where offers to sell, or solicitations of offers to purchase, the securities offered by this document are unlawful, or if you are a person to whom it is unlawful to direct these types of activities, then the offer presented in this document does not extend to you. The information contained in this document speaks only as of the date of this document, unless the information specifically indicates that another date applies.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720" w:type="dxa"/>
            <w:vAlign w:val="bottom"/>
          </w:tcPr>
          <w:p>
            <w:pPr>
              <w:jc w:val="right"/>
              <w:ind w:right="4153"/>
              <w:spacing w:after="0"/>
              <w:rPr>
                <w:sz w:val="20"/>
                <w:szCs w:val="20"/>
                <w:color w:val="auto"/>
              </w:rPr>
            </w:pPr>
            <w:r>
              <w:rPr>
                <w:rFonts w:ascii="Arial" w:cs="Arial" w:eastAsia="Arial" w:hAnsi="Arial"/>
                <w:sz w:val="13"/>
                <w:szCs w:val="13"/>
                <w:b w:val="1"/>
                <w:bCs w:val="1"/>
                <w:color w:val="auto"/>
              </w:rPr>
              <w:t>TABLE OF CONTENTS</w:t>
            </w:r>
          </w:p>
        </w:tc>
      </w:tr>
      <w:tr>
        <w:trPr>
          <w:trHeight w:val="313"/>
        </w:trPr>
        <w:tc>
          <w:tcPr>
            <w:tcW w:w="3220" w:type="dxa"/>
            <w:vAlign w:val="bottom"/>
            <w:gridSpan w:val="16"/>
          </w:tcPr>
          <w:p>
            <w:pPr>
              <w:spacing w:after="0"/>
              <w:rPr>
                <w:rFonts w:ascii="Arial" w:cs="Arial" w:eastAsia="Arial" w:hAnsi="Arial"/>
                <w:sz w:val="13"/>
                <w:szCs w:val="13"/>
                <w:color w:val="0000EE"/>
              </w:rPr>
            </w:pPr>
            <w:hyperlink w:anchor="page5">
              <w:r>
                <w:rPr>
                  <w:rFonts w:ascii="Arial" w:cs="Arial" w:eastAsia="Arial" w:hAnsi="Arial"/>
                  <w:sz w:val="13"/>
                  <w:szCs w:val="13"/>
                  <w:color w:val="0000EE"/>
                </w:rPr>
                <w:t>Forward-Looking Statements</w:t>
              </w:r>
            </w:hyperlink>
          </w:p>
        </w:tc>
        <w:tc>
          <w:tcPr>
            <w:tcW w:w="672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141"/>
        </w:trPr>
        <w:tc>
          <w:tcPr>
            <w:tcW w:w="1580" w:type="dxa"/>
            <w:vAlign w:val="bottom"/>
            <w:tcBorders>
              <w:top w:val="single" w:sz="8" w:color="0000EE"/>
            </w:tcBorders>
            <w:gridSpan w:val="11"/>
          </w:tcPr>
          <w:p>
            <w:pPr>
              <w:spacing w:after="0" w:line="141" w:lineRule="exact"/>
              <w:rPr>
                <w:rFonts w:ascii="Arial" w:cs="Arial" w:eastAsia="Arial" w:hAnsi="Arial"/>
                <w:sz w:val="13"/>
                <w:szCs w:val="13"/>
                <w:color w:val="0000EE"/>
              </w:rPr>
            </w:pPr>
            <w:hyperlink w:anchor="page7">
              <w:r>
                <w:rPr>
                  <w:rFonts w:ascii="Arial" w:cs="Arial" w:eastAsia="Arial" w:hAnsi="Arial"/>
                  <w:sz w:val="13"/>
                  <w:szCs w:val="13"/>
                  <w:color w:val="0000EE"/>
                </w:rPr>
                <w:t>About this Prospectus</w:t>
              </w:r>
            </w:hyperlink>
          </w:p>
        </w:tc>
        <w:tc>
          <w:tcPr>
            <w:tcW w:w="1640" w:type="dxa"/>
            <w:vAlign w:val="bottom"/>
            <w:gridSpan w:val="5"/>
          </w:tcPr>
          <w:p>
            <w:pPr>
              <w:spacing w:after="0"/>
              <w:rPr>
                <w:sz w:val="12"/>
                <w:szCs w:val="12"/>
                <w:color w:val="auto"/>
              </w:rPr>
            </w:pPr>
          </w:p>
        </w:tc>
        <w:tc>
          <w:tcPr>
            <w:tcW w:w="6720" w:type="dxa"/>
            <w:vAlign w:val="bottom"/>
          </w:tcPr>
          <w:p>
            <w:pPr>
              <w:jc w:val="right"/>
              <w:spacing w:after="0" w:line="141" w:lineRule="exact"/>
              <w:rPr>
                <w:sz w:val="20"/>
                <w:szCs w:val="20"/>
                <w:color w:val="auto"/>
              </w:rPr>
            </w:pPr>
            <w:r>
              <w:rPr>
                <w:rFonts w:ascii="Arial" w:cs="Arial" w:eastAsia="Arial" w:hAnsi="Arial"/>
                <w:sz w:val="13"/>
                <w:szCs w:val="13"/>
                <w:color w:val="auto"/>
              </w:rPr>
              <w:t>3</w:t>
            </w:r>
          </w:p>
        </w:tc>
      </w:tr>
      <w:tr>
        <w:trPr>
          <w:trHeight w:val="20"/>
        </w:trPr>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r>
      <w:tr>
        <w:trPr>
          <w:trHeight w:val="141"/>
        </w:trPr>
        <w:tc>
          <w:tcPr>
            <w:tcW w:w="3220" w:type="dxa"/>
            <w:vAlign w:val="bottom"/>
            <w:gridSpan w:val="16"/>
          </w:tcPr>
          <w:p>
            <w:pPr>
              <w:spacing w:after="0" w:line="141" w:lineRule="exact"/>
              <w:rPr>
                <w:rFonts w:ascii="Arial" w:cs="Arial" w:eastAsia="Arial" w:hAnsi="Arial"/>
                <w:sz w:val="13"/>
                <w:szCs w:val="13"/>
                <w:color w:val="0000EE"/>
              </w:rPr>
            </w:pPr>
            <w:hyperlink w:anchor="page8">
              <w:r>
                <w:rPr>
                  <w:rFonts w:ascii="Arial" w:cs="Arial" w:eastAsia="Arial" w:hAnsi="Arial"/>
                  <w:sz w:val="13"/>
                  <w:szCs w:val="13"/>
                  <w:color w:val="0000EE"/>
                </w:rPr>
                <w:t>Incorporation by Reference</w:t>
              </w:r>
            </w:hyperlink>
          </w:p>
        </w:tc>
        <w:tc>
          <w:tcPr>
            <w:tcW w:w="6720" w:type="dxa"/>
            <w:vAlign w:val="bottom"/>
          </w:tcPr>
          <w:p>
            <w:pPr>
              <w:jc w:val="right"/>
              <w:spacing w:after="0" w:line="141" w:lineRule="exact"/>
              <w:rPr>
                <w:sz w:val="20"/>
                <w:szCs w:val="20"/>
                <w:color w:val="auto"/>
              </w:rPr>
            </w:pPr>
            <w:r>
              <w:rPr>
                <w:rFonts w:ascii="Arial" w:cs="Arial" w:eastAsia="Arial" w:hAnsi="Arial"/>
                <w:sz w:val="13"/>
                <w:szCs w:val="13"/>
                <w:color w:val="auto"/>
              </w:rPr>
              <w:t>4</w:t>
            </w:r>
          </w:p>
        </w:tc>
      </w:tr>
      <w:tr>
        <w:trPr>
          <w:trHeight w:val="20"/>
        </w:trPr>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r>
      <w:tr>
        <w:trPr>
          <w:trHeight w:val="141"/>
        </w:trPr>
        <w:tc>
          <w:tcPr>
            <w:tcW w:w="3220" w:type="dxa"/>
            <w:vAlign w:val="bottom"/>
            <w:gridSpan w:val="16"/>
          </w:tcPr>
          <w:p>
            <w:pPr>
              <w:spacing w:after="0" w:line="141" w:lineRule="exact"/>
              <w:rPr>
                <w:rFonts w:ascii="Arial" w:cs="Arial" w:eastAsia="Arial" w:hAnsi="Arial"/>
                <w:sz w:val="13"/>
                <w:szCs w:val="13"/>
                <w:color w:val="0000EE"/>
              </w:rPr>
            </w:pPr>
            <w:hyperlink w:anchor="page9">
              <w:r>
                <w:rPr>
                  <w:rFonts w:ascii="Arial" w:cs="Arial" w:eastAsia="Arial" w:hAnsi="Arial"/>
                  <w:sz w:val="13"/>
                  <w:szCs w:val="13"/>
                  <w:color w:val="0000EE"/>
                </w:rPr>
                <w:t>Where You Can Find More Information</w:t>
              </w:r>
            </w:hyperlink>
          </w:p>
        </w:tc>
        <w:tc>
          <w:tcPr>
            <w:tcW w:w="6720" w:type="dxa"/>
            <w:vAlign w:val="bottom"/>
          </w:tcPr>
          <w:p>
            <w:pPr>
              <w:jc w:val="right"/>
              <w:spacing w:after="0" w:line="141" w:lineRule="exact"/>
              <w:rPr>
                <w:sz w:val="20"/>
                <w:szCs w:val="20"/>
                <w:color w:val="auto"/>
              </w:rPr>
            </w:pPr>
            <w:r>
              <w:rPr>
                <w:rFonts w:ascii="Arial" w:cs="Arial" w:eastAsia="Arial" w:hAnsi="Arial"/>
                <w:sz w:val="13"/>
                <w:szCs w:val="13"/>
                <w:color w:val="auto"/>
              </w:rPr>
              <w:t>5</w:t>
            </w:r>
          </w:p>
        </w:tc>
      </w:tr>
      <w:tr>
        <w:trPr>
          <w:trHeight w:val="141"/>
        </w:trPr>
        <w:tc>
          <w:tcPr>
            <w:tcW w:w="780" w:type="dxa"/>
            <w:vAlign w:val="bottom"/>
            <w:tcBorders>
              <w:top w:val="single" w:sz="8" w:color="0000EE"/>
              <w:bottom w:val="single" w:sz="8" w:color="0000EE"/>
            </w:tcBorders>
            <w:gridSpan w:val="4"/>
          </w:tcPr>
          <w:p>
            <w:pPr>
              <w:spacing w:after="0" w:line="141" w:lineRule="exact"/>
              <w:rPr>
                <w:rFonts w:ascii="Arial" w:cs="Arial" w:eastAsia="Arial" w:hAnsi="Arial"/>
                <w:sz w:val="13"/>
                <w:szCs w:val="13"/>
                <w:color w:val="0000EE"/>
                <w:w w:val="93"/>
              </w:rPr>
            </w:pPr>
            <w:hyperlink w:anchor="page9">
              <w:r>
                <w:rPr>
                  <w:rFonts w:ascii="Arial" w:cs="Arial" w:eastAsia="Arial" w:hAnsi="Arial"/>
                  <w:sz w:val="13"/>
                  <w:szCs w:val="13"/>
                  <w:color w:val="0000EE"/>
                  <w:w w:val="93"/>
                </w:rPr>
                <w:t>The Company</w:t>
              </w:r>
            </w:hyperlink>
          </w:p>
        </w:tc>
        <w:tc>
          <w:tcPr>
            <w:tcW w:w="1360" w:type="dxa"/>
            <w:vAlign w:val="bottom"/>
            <w:tcBorders>
              <w:top w:val="single" w:sz="8" w:color="0000EE"/>
            </w:tcBorders>
            <w:gridSpan w:val="11"/>
          </w:tcPr>
          <w:p>
            <w:pPr>
              <w:spacing w:after="0"/>
              <w:rPr>
                <w:sz w:val="12"/>
                <w:szCs w:val="12"/>
                <w:color w:val="auto"/>
              </w:rPr>
            </w:pPr>
          </w:p>
        </w:tc>
        <w:tc>
          <w:tcPr>
            <w:tcW w:w="1080" w:type="dxa"/>
            <w:vAlign w:val="bottom"/>
          </w:tcPr>
          <w:p>
            <w:pPr>
              <w:spacing w:after="0"/>
              <w:rPr>
                <w:sz w:val="12"/>
                <w:szCs w:val="12"/>
                <w:color w:val="auto"/>
              </w:rPr>
            </w:pPr>
          </w:p>
        </w:tc>
        <w:tc>
          <w:tcPr>
            <w:tcW w:w="6720" w:type="dxa"/>
            <w:vAlign w:val="bottom"/>
          </w:tcPr>
          <w:p>
            <w:pPr>
              <w:jc w:val="right"/>
              <w:spacing w:after="0" w:line="141" w:lineRule="exact"/>
              <w:rPr>
                <w:sz w:val="20"/>
                <w:szCs w:val="20"/>
                <w:color w:val="auto"/>
              </w:rPr>
            </w:pPr>
            <w:r>
              <w:rPr>
                <w:rFonts w:ascii="Arial" w:cs="Arial" w:eastAsia="Arial" w:hAnsi="Arial"/>
                <w:sz w:val="13"/>
                <w:szCs w:val="13"/>
                <w:color w:val="auto"/>
              </w:rPr>
              <w:t>5</w:t>
            </w:r>
          </w:p>
        </w:tc>
      </w:tr>
      <w:tr>
        <w:trPr>
          <w:trHeight w:val="141"/>
        </w:trPr>
        <w:tc>
          <w:tcPr>
            <w:tcW w:w="3220" w:type="dxa"/>
            <w:vAlign w:val="bottom"/>
            <w:gridSpan w:val="16"/>
          </w:tcPr>
          <w:p>
            <w:pPr>
              <w:spacing w:after="0" w:line="141" w:lineRule="exact"/>
              <w:rPr>
                <w:rFonts w:ascii="Arial" w:cs="Arial" w:eastAsia="Arial" w:hAnsi="Arial"/>
                <w:sz w:val="13"/>
                <w:szCs w:val="13"/>
                <w:color w:val="0000EE"/>
              </w:rPr>
            </w:pPr>
            <w:hyperlink w:anchor="page9">
              <w:r>
                <w:rPr>
                  <w:rFonts w:ascii="Arial" w:cs="Arial" w:eastAsia="Arial" w:hAnsi="Arial"/>
                  <w:sz w:val="13"/>
                  <w:szCs w:val="13"/>
                  <w:color w:val="0000EE"/>
                </w:rPr>
                <w:t>Risk Factors</w:t>
              </w:r>
            </w:hyperlink>
          </w:p>
        </w:tc>
        <w:tc>
          <w:tcPr>
            <w:tcW w:w="6720" w:type="dxa"/>
            <w:vAlign w:val="bottom"/>
          </w:tcPr>
          <w:p>
            <w:pPr>
              <w:jc w:val="right"/>
              <w:spacing w:after="0" w:line="141" w:lineRule="exact"/>
              <w:rPr>
                <w:sz w:val="20"/>
                <w:szCs w:val="20"/>
                <w:color w:val="auto"/>
              </w:rPr>
            </w:pPr>
            <w:r>
              <w:rPr>
                <w:rFonts w:ascii="Arial" w:cs="Arial" w:eastAsia="Arial" w:hAnsi="Arial"/>
                <w:sz w:val="13"/>
                <w:szCs w:val="13"/>
                <w:color w:val="auto"/>
              </w:rPr>
              <w:t>5</w:t>
            </w:r>
          </w:p>
        </w:tc>
      </w:tr>
      <w:tr>
        <w:trPr>
          <w:trHeight w:val="20"/>
        </w:trPr>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r>
      <w:tr>
        <w:trPr>
          <w:trHeight w:val="141"/>
        </w:trPr>
        <w:tc>
          <w:tcPr>
            <w:tcW w:w="3220" w:type="dxa"/>
            <w:vAlign w:val="bottom"/>
            <w:gridSpan w:val="16"/>
          </w:tcPr>
          <w:p>
            <w:pPr>
              <w:spacing w:after="0" w:line="141" w:lineRule="exact"/>
              <w:rPr>
                <w:rFonts w:ascii="Arial" w:cs="Arial" w:eastAsia="Arial" w:hAnsi="Arial"/>
                <w:sz w:val="13"/>
                <w:szCs w:val="13"/>
                <w:color w:val="0000EE"/>
              </w:rPr>
            </w:pPr>
            <w:hyperlink w:anchor="page9">
              <w:r>
                <w:rPr>
                  <w:rFonts w:ascii="Arial" w:cs="Arial" w:eastAsia="Arial" w:hAnsi="Arial"/>
                  <w:sz w:val="13"/>
                  <w:szCs w:val="13"/>
                  <w:color w:val="0000EE"/>
                </w:rPr>
                <w:t>Ratio of Earnings to Fixed Charges</w:t>
              </w:r>
            </w:hyperlink>
          </w:p>
        </w:tc>
        <w:tc>
          <w:tcPr>
            <w:tcW w:w="6720" w:type="dxa"/>
            <w:vAlign w:val="bottom"/>
          </w:tcPr>
          <w:p>
            <w:pPr>
              <w:jc w:val="right"/>
              <w:spacing w:after="0" w:line="141" w:lineRule="exact"/>
              <w:rPr>
                <w:sz w:val="20"/>
                <w:szCs w:val="20"/>
                <w:color w:val="auto"/>
              </w:rPr>
            </w:pPr>
            <w:r>
              <w:rPr>
                <w:rFonts w:ascii="Arial" w:cs="Arial" w:eastAsia="Arial" w:hAnsi="Arial"/>
                <w:sz w:val="13"/>
                <w:szCs w:val="13"/>
                <w:color w:val="auto"/>
              </w:rPr>
              <w:t>5</w:t>
            </w:r>
          </w:p>
        </w:tc>
      </w:tr>
      <w:tr>
        <w:trPr>
          <w:trHeight w:val="141"/>
        </w:trPr>
        <w:tc>
          <w:tcPr>
            <w:tcW w:w="1900" w:type="dxa"/>
            <w:vAlign w:val="bottom"/>
            <w:tcBorders>
              <w:top w:val="single" w:sz="8" w:color="0000EE"/>
            </w:tcBorders>
            <w:gridSpan w:val="14"/>
          </w:tcPr>
          <w:p>
            <w:pPr>
              <w:spacing w:after="0" w:line="141" w:lineRule="exact"/>
              <w:rPr>
                <w:rFonts w:ascii="Arial" w:cs="Arial" w:eastAsia="Arial" w:hAnsi="Arial"/>
                <w:sz w:val="13"/>
                <w:szCs w:val="13"/>
                <w:color w:val="0000EE"/>
              </w:rPr>
            </w:pPr>
            <w:hyperlink w:anchor="page9">
              <w:r>
                <w:rPr>
                  <w:rFonts w:ascii="Arial" w:cs="Arial" w:eastAsia="Arial" w:hAnsi="Arial"/>
                  <w:sz w:val="13"/>
                  <w:szCs w:val="13"/>
                  <w:color w:val="0000EE"/>
                </w:rPr>
                <w:t>Use of Proceeds</w:t>
              </w:r>
            </w:hyperlink>
          </w:p>
        </w:tc>
        <w:tc>
          <w:tcPr>
            <w:tcW w:w="1320" w:type="dxa"/>
            <w:vAlign w:val="bottom"/>
            <w:gridSpan w:val="2"/>
          </w:tcPr>
          <w:p>
            <w:pPr>
              <w:spacing w:after="0"/>
              <w:rPr>
                <w:sz w:val="12"/>
                <w:szCs w:val="12"/>
                <w:color w:val="auto"/>
              </w:rPr>
            </w:pPr>
          </w:p>
        </w:tc>
        <w:tc>
          <w:tcPr>
            <w:tcW w:w="6720" w:type="dxa"/>
            <w:vAlign w:val="bottom"/>
          </w:tcPr>
          <w:p>
            <w:pPr>
              <w:jc w:val="right"/>
              <w:spacing w:after="0" w:line="141" w:lineRule="exact"/>
              <w:rPr>
                <w:sz w:val="20"/>
                <w:szCs w:val="20"/>
                <w:color w:val="auto"/>
              </w:rPr>
            </w:pPr>
            <w:r>
              <w:rPr>
                <w:rFonts w:ascii="Arial" w:cs="Arial" w:eastAsia="Arial" w:hAnsi="Arial"/>
                <w:sz w:val="13"/>
                <w:szCs w:val="13"/>
                <w:color w:val="auto"/>
              </w:rPr>
              <w:t>5</w:t>
            </w:r>
          </w:p>
        </w:tc>
      </w:tr>
      <w:tr>
        <w:trPr>
          <w:trHeight w:val="20"/>
        </w:trPr>
        <w:tc>
          <w:tcPr>
            <w:tcW w:w="4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r>
      <w:tr>
        <w:trPr>
          <w:trHeight w:val="141"/>
        </w:trPr>
        <w:tc>
          <w:tcPr>
            <w:tcW w:w="1640" w:type="dxa"/>
            <w:vAlign w:val="bottom"/>
            <w:tcBorders>
              <w:bottom w:val="single" w:sz="8" w:color="0000EE"/>
            </w:tcBorders>
            <w:gridSpan w:val="12"/>
          </w:tcPr>
          <w:p>
            <w:pPr>
              <w:spacing w:after="0" w:line="141" w:lineRule="exact"/>
              <w:rPr>
                <w:rFonts w:ascii="Arial" w:cs="Arial" w:eastAsia="Arial" w:hAnsi="Arial"/>
                <w:sz w:val="13"/>
                <w:szCs w:val="13"/>
                <w:color w:val="0000EE"/>
                <w:w w:val="94"/>
              </w:rPr>
            </w:pPr>
            <w:hyperlink w:anchor="page10">
              <w:r>
                <w:rPr>
                  <w:rFonts w:ascii="Arial" w:cs="Arial" w:eastAsia="Arial" w:hAnsi="Arial"/>
                  <w:sz w:val="13"/>
                  <w:szCs w:val="13"/>
                  <w:color w:val="0000EE"/>
                  <w:w w:val="94"/>
                </w:rPr>
                <w:t>Description of Debt Securities</w:t>
              </w:r>
            </w:hyperlink>
          </w:p>
        </w:tc>
        <w:tc>
          <w:tcPr>
            <w:tcW w:w="1580" w:type="dxa"/>
            <w:vAlign w:val="bottom"/>
            <w:gridSpan w:val="4"/>
          </w:tcPr>
          <w:p>
            <w:pPr>
              <w:spacing w:after="0"/>
              <w:rPr>
                <w:sz w:val="12"/>
                <w:szCs w:val="12"/>
                <w:color w:val="auto"/>
              </w:rPr>
            </w:pPr>
          </w:p>
        </w:tc>
        <w:tc>
          <w:tcPr>
            <w:tcW w:w="6720" w:type="dxa"/>
            <w:vAlign w:val="bottom"/>
          </w:tcPr>
          <w:p>
            <w:pPr>
              <w:jc w:val="right"/>
              <w:spacing w:after="0" w:line="141" w:lineRule="exact"/>
              <w:rPr>
                <w:sz w:val="20"/>
                <w:szCs w:val="20"/>
                <w:color w:val="auto"/>
              </w:rPr>
            </w:pPr>
            <w:r>
              <w:rPr>
                <w:rFonts w:ascii="Arial" w:cs="Arial" w:eastAsia="Arial" w:hAnsi="Arial"/>
                <w:sz w:val="13"/>
                <w:szCs w:val="13"/>
                <w:color w:val="auto"/>
              </w:rPr>
              <w:t>6</w:t>
            </w:r>
          </w:p>
        </w:tc>
      </w:tr>
      <w:tr>
        <w:trPr>
          <w:trHeight w:val="141"/>
        </w:trPr>
        <w:tc>
          <w:tcPr>
            <w:tcW w:w="1480" w:type="dxa"/>
            <w:vAlign w:val="bottom"/>
            <w:tcBorders>
              <w:bottom w:val="single" w:sz="8" w:color="0000EE"/>
            </w:tcBorders>
            <w:gridSpan w:val="9"/>
          </w:tcPr>
          <w:p>
            <w:pPr>
              <w:spacing w:after="0" w:line="141" w:lineRule="exact"/>
              <w:rPr>
                <w:rFonts w:ascii="Arial" w:cs="Arial" w:eastAsia="Arial" w:hAnsi="Arial"/>
                <w:sz w:val="13"/>
                <w:szCs w:val="13"/>
                <w:color w:val="0000EE"/>
                <w:w w:val="95"/>
              </w:rPr>
            </w:pPr>
            <w:hyperlink w:anchor="page18">
              <w:r>
                <w:rPr>
                  <w:rFonts w:ascii="Arial" w:cs="Arial" w:eastAsia="Arial" w:hAnsi="Arial"/>
                  <w:sz w:val="13"/>
                  <w:szCs w:val="13"/>
                  <w:color w:val="0000EE"/>
                  <w:w w:val="95"/>
                </w:rPr>
                <w:t>Description of Guarantees</w:t>
              </w:r>
            </w:hyperlink>
          </w:p>
        </w:tc>
        <w:tc>
          <w:tcPr>
            <w:tcW w:w="1740" w:type="dxa"/>
            <w:vAlign w:val="bottom"/>
            <w:gridSpan w:val="7"/>
          </w:tcPr>
          <w:p>
            <w:pPr>
              <w:spacing w:after="0"/>
              <w:rPr>
                <w:sz w:val="12"/>
                <w:szCs w:val="12"/>
                <w:color w:val="auto"/>
              </w:rPr>
            </w:pPr>
          </w:p>
        </w:tc>
        <w:tc>
          <w:tcPr>
            <w:tcW w:w="6720" w:type="dxa"/>
            <w:vAlign w:val="bottom"/>
          </w:tcPr>
          <w:p>
            <w:pPr>
              <w:jc w:val="right"/>
              <w:spacing w:after="0" w:line="141" w:lineRule="exact"/>
              <w:rPr>
                <w:sz w:val="20"/>
                <w:szCs w:val="20"/>
                <w:color w:val="auto"/>
              </w:rPr>
            </w:pPr>
            <w:r>
              <w:rPr>
                <w:rFonts w:ascii="Arial" w:cs="Arial" w:eastAsia="Arial" w:hAnsi="Arial"/>
                <w:sz w:val="13"/>
                <w:szCs w:val="13"/>
                <w:color w:val="auto"/>
              </w:rPr>
              <w:t>14</w:t>
            </w:r>
          </w:p>
        </w:tc>
      </w:tr>
      <w:tr>
        <w:trPr>
          <w:trHeight w:val="141"/>
        </w:trPr>
        <w:tc>
          <w:tcPr>
            <w:tcW w:w="3220" w:type="dxa"/>
            <w:vAlign w:val="bottom"/>
            <w:gridSpan w:val="16"/>
          </w:tcPr>
          <w:p>
            <w:pPr>
              <w:spacing w:after="0" w:line="141" w:lineRule="exact"/>
              <w:rPr>
                <w:rFonts w:ascii="Arial" w:cs="Arial" w:eastAsia="Arial" w:hAnsi="Arial"/>
                <w:sz w:val="13"/>
                <w:szCs w:val="13"/>
                <w:color w:val="0000EE"/>
              </w:rPr>
            </w:pPr>
            <w:hyperlink w:anchor="page18">
              <w:r>
                <w:rPr>
                  <w:rFonts w:ascii="Arial" w:cs="Arial" w:eastAsia="Arial" w:hAnsi="Arial"/>
                  <w:sz w:val="13"/>
                  <w:szCs w:val="13"/>
                  <w:color w:val="0000EE"/>
                </w:rPr>
                <w:t>Description of Capital Stock</w:t>
              </w:r>
            </w:hyperlink>
          </w:p>
        </w:tc>
        <w:tc>
          <w:tcPr>
            <w:tcW w:w="6720" w:type="dxa"/>
            <w:vAlign w:val="bottom"/>
          </w:tcPr>
          <w:p>
            <w:pPr>
              <w:jc w:val="right"/>
              <w:spacing w:after="0" w:line="141" w:lineRule="exact"/>
              <w:rPr>
                <w:sz w:val="20"/>
                <w:szCs w:val="20"/>
                <w:color w:val="auto"/>
              </w:rPr>
            </w:pPr>
            <w:r>
              <w:rPr>
                <w:rFonts w:ascii="Arial" w:cs="Arial" w:eastAsia="Arial" w:hAnsi="Arial"/>
                <w:sz w:val="13"/>
                <w:szCs w:val="13"/>
                <w:color w:val="auto"/>
              </w:rPr>
              <w:t>14</w:t>
            </w:r>
          </w:p>
        </w:tc>
      </w:tr>
      <w:tr>
        <w:trPr>
          <w:trHeight w:val="20"/>
        </w:trPr>
        <w:tc>
          <w:tcPr>
            <w:tcW w:w="4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r>
      <w:tr>
        <w:trPr>
          <w:trHeight w:val="141"/>
        </w:trPr>
        <w:tc>
          <w:tcPr>
            <w:tcW w:w="3220" w:type="dxa"/>
            <w:vAlign w:val="bottom"/>
            <w:gridSpan w:val="16"/>
          </w:tcPr>
          <w:p>
            <w:pPr>
              <w:spacing w:after="0" w:line="141" w:lineRule="exact"/>
              <w:rPr>
                <w:rFonts w:ascii="Arial" w:cs="Arial" w:eastAsia="Arial" w:hAnsi="Arial"/>
                <w:sz w:val="13"/>
                <w:szCs w:val="13"/>
                <w:color w:val="0000EE"/>
              </w:rPr>
            </w:pPr>
            <w:hyperlink w:anchor="page20">
              <w:r>
                <w:rPr>
                  <w:rFonts w:ascii="Arial" w:cs="Arial" w:eastAsia="Arial" w:hAnsi="Arial"/>
                  <w:sz w:val="13"/>
                  <w:szCs w:val="13"/>
                  <w:color w:val="0000EE"/>
                </w:rPr>
                <w:t>Description of Other Securities</w:t>
              </w:r>
            </w:hyperlink>
          </w:p>
        </w:tc>
        <w:tc>
          <w:tcPr>
            <w:tcW w:w="6720" w:type="dxa"/>
            <w:vAlign w:val="bottom"/>
          </w:tcPr>
          <w:p>
            <w:pPr>
              <w:jc w:val="right"/>
              <w:spacing w:after="0" w:line="141" w:lineRule="exact"/>
              <w:rPr>
                <w:sz w:val="20"/>
                <w:szCs w:val="20"/>
                <w:color w:val="auto"/>
              </w:rPr>
            </w:pPr>
            <w:r>
              <w:rPr>
                <w:rFonts w:ascii="Arial" w:cs="Arial" w:eastAsia="Arial" w:hAnsi="Arial"/>
                <w:sz w:val="13"/>
                <w:szCs w:val="13"/>
                <w:color w:val="auto"/>
              </w:rPr>
              <w:t>16</w:t>
            </w:r>
          </w:p>
        </w:tc>
      </w:tr>
      <w:tr>
        <w:trPr>
          <w:trHeight w:val="141"/>
        </w:trPr>
        <w:tc>
          <w:tcPr>
            <w:tcW w:w="1080" w:type="dxa"/>
            <w:vAlign w:val="bottom"/>
            <w:tcBorders>
              <w:top w:val="single" w:sz="8" w:color="0000EE"/>
              <w:bottom w:val="single" w:sz="8" w:color="0000EE"/>
            </w:tcBorders>
            <w:gridSpan w:val="6"/>
          </w:tcPr>
          <w:p>
            <w:pPr>
              <w:spacing w:after="0" w:line="141" w:lineRule="exact"/>
              <w:rPr>
                <w:rFonts w:ascii="Arial" w:cs="Arial" w:eastAsia="Arial" w:hAnsi="Arial"/>
                <w:sz w:val="13"/>
                <w:szCs w:val="13"/>
                <w:color w:val="0000EE"/>
                <w:w w:val="97"/>
              </w:rPr>
            </w:pPr>
            <w:hyperlink w:anchor="page20">
              <w:r>
                <w:rPr>
                  <w:rFonts w:ascii="Arial" w:cs="Arial" w:eastAsia="Arial" w:hAnsi="Arial"/>
                  <w:sz w:val="13"/>
                  <w:szCs w:val="13"/>
                  <w:color w:val="0000EE"/>
                  <w:w w:val="97"/>
                </w:rPr>
                <w:t>Plan of Distribution</w:t>
              </w:r>
            </w:hyperlink>
          </w:p>
        </w:tc>
        <w:tc>
          <w:tcPr>
            <w:tcW w:w="600" w:type="dxa"/>
            <w:vAlign w:val="bottom"/>
            <w:tcBorders>
              <w:top w:val="single" w:sz="8" w:color="0000EE"/>
            </w:tcBorders>
            <w:gridSpan w:val="7"/>
          </w:tcPr>
          <w:p>
            <w:pPr>
              <w:spacing w:after="0"/>
              <w:rPr>
                <w:sz w:val="12"/>
                <w:szCs w:val="12"/>
                <w:color w:val="auto"/>
              </w:rPr>
            </w:pPr>
          </w:p>
        </w:tc>
        <w:tc>
          <w:tcPr>
            <w:tcW w:w="1540" w:type="dxa"/>
            <w:vAlign w:val="bottom"/>
            <w:gridSpan w:val="3"/>
          </w:tcPr>
          <w:p>
            <w:pPr>
              <w:spacing w:after="0"/>
              <w:rPr>
                <w:sz w:val="12"/>
                <w:szCs w:val="12"/>
                <w:color w:val="auto"/>
              </w:rPr>
            </w:pPr>
          </w:p>
        </w:tc>
        <w:tc>
          <w:tcPr>
            <w:tcW w:w="6720" w:type="dxa"/>
            <w:vAlign w:val="bottom"/>
          </w:tcPr>
          <w:p>
            <w:pPr>
              <w:jc w:val="right"/>
              <w:spacing w:after="0" w:line="141" w:lineRule="exact"/>
              <w:rPr>
                <w:sz w:val="20"/>
                <w:szCs w:val="20"/>
                <w:color w:val="auto"/>
              </w:rPr>
            </w:pPr>
            <w:r>
              <w:rPr>
                <w:rFonts w:ascii="Arial" w:cs="Arial" w:eastAsia="Arial" w:hAnsi="Arial"/>
                <w:sz w:val="13"/>
                <w:szCs w:val="13"/>
                <w:color w:val="auto"/>
              </w:rPr>
              <w:t>16</w:t>
            </w:r>
          </w:p>
        </w:tc>
      </w:tr>
      <w:tr>
        <w:trPr>
          <w:trHeight w:val="141"/>
        </w:trPr>
        <w:tc>
          <w:tcPr>
            <w:tcW w:w="3220" w:type="dxa"/>
            <w:vAlign w:val="bottom"/>
            <w:gridSpan w:val="16"/>
          </w:tcPr>
          <w:p>
            <w:pPr>
              <w:spacing w:after="0" w:line="141" w:lineRule="exact"/>
              <w:rPr>
                <w:rFonts w:ascii="Arial" w:cs="Arial" w:eastAsia="Arial" w:hAnsi="Arial"/>
                <w:sz w:val="13"/>
                <w:szCs w:val="13"/>
                <w:color w:val="0000EE"/>
              </w:rPr>
            </w:pPr>
            <w:hyperlink w:anchor="page21">
              <w:r>
                <w:rPr>
                  <w:rFonts w:ascii="Arial" w:cs="Arial" w:eastAsia="Arial" w:hAnsi="Arial"/>
                  <w:sz w:val="13"/>
                  <w:szCs w:val="13"/>
                  <w:color w:val="0000EE"/>
                </w:rPr>
                <w:t>Selling Securityholders</w:t>
              </w:r>
            </w:hyperlink>
          </w:p>
        </w:tc>
        <w:tc>
          <w:tcPr>
            <w:tcW w:w="6720" w:type="dxa"/>
            <w:vAlign w:val="bottom"/>
          </w:tcPr>
          <w:p>
            <w:pPr>
              <w:jc w:val="right"/>
              <w:spacing w:after="0" w:line="141" w:lineRule="exact"/>
              <w:rPr>
                <w:sz w:val="20"/>
                <w:szCs w:val="20"/>
                <w:color w:val="auto"/>
              </w:rPr>
            </w:pPr>
            <w:r>
              <w:rPr>
                <w:rFonts w:ascii="Arial" w:cs="Arial" w:eastAsia="Arial" w:hAnsi="Arial"/>
                <w:sz w:val="13"/>
                <w:szCs w:val="13"/>
                <w:color w:val="auto"/>
              </w:rPr>
              <w:t>17</w:t>
            </w:r>
          </w:p>
        </w:tc>
      </w:tr>
      <w:tr>
        <w:trPr>
          <w:trHeight w:val="141"/>
        </w:trPr>
        <w:tc>
          <w:tcPr>
            <w:tcW w:w="760" w:type="dxa"/>
            <w:vAlign w:val="bottom"/>
            <w:tcBorders>
              <w:top w:val="single" w:sz="8" w:color="0000EE"/>
              <w:bottom w:val="single" w:sz="8" w:color="0000EE"/>
            </w:tcBorders>
            <w:gridSpan w:val="3"/>
          </w:tcPr>
          <w:p>
            <w:pPr>
              <w:spacing w:after="0" w:line="141" w:lineRule="exact"/>
              <w:rPr>
                <w:rFonts w:ascii="Arial" w:cs="Arial" w:eastAsia="Arial" w:hAnsi="Arial"/>
                <w:sz w:val="13"/>
                <w:szCs w:val="13"/>
                <w:color w:val="0000EE"/>
                <w:w w:val="93"/>
              </w:rPr>
            </w:pPr>
            <w:hyperlink w:anchor="page21">
              <w:r>
                <w:rPr>
                  <w:rFonts w:ascii="Arial" w:cs="Arial" w:eastAsia="Arial" w:hAnsi="Arial"/>
                  <w:sz w:val="13"/>
                  <w:szCs w:val="13"/>
                  <w:color w:val="0000EE"/>
                  <w:w w:val="93"/>
                </w:rPr>
                <w:t>Legal Matters</w:t>
              </w:r>
            </w:hyperlink>
          </w:p>
        </w:tc>
        <w:tc>
          <w:tcPr>
            <w:tcW w:w="500" w:type="dxa"/>
            <w:vAlign w:val="bottom"/>
            <w:tcBorders>
              <w:top w:val="single" w:sz="8" w:color="0000EE"/>
            </w:tcBorders>
            <w:gridSpan w:val="5"/>
          </w:tcPr>
          <w:p>
            <w:pPr>
              <w:spacing w:after="0"/>
              <w:rPr>
                <w:sz w:val="12"/>
                <w:szCs w:val="12"/>
                <w:color w:val="auto"/>
              </w:rPr>
            </w:pPr>
          </w:p>
        </w:tc>
        <w:tc>
          <w:tcPr>
            <w:tcW w:w="1960" w:type="dxa"/>
            <w:vAlign w:val="bottom"/>
            <w:gridSpan w:val="8"/>
          </w:tcPr>
          <w:p>
            <w:pPr>
              <w:spacing w:after="0"/>
              <w:rPr>
                <w:sz w:val="12"/>
                <w:szCs w:val="12"/>
                <w:color w:val="auto"/>
              </w:rPr>
            </w:pPr>
          </w:p>
        </w:tc>
        <w:tc>
          <w:tcPr>
            <w:tcW w:w="6720" w:type="dxa"/>
            <w:vAlign w:val="bottom"/>
          </w:tcPr>
          <w:p>
            <w:pPr>
              <w:jc w:val="right"/>
              <w:spacing w:after="0" w:line="141" w:lineRule="exact"/>
              <w:rPr>
                <w:sz w:val="20"/>
                <w:szCs w:val="20"/>
                <w:color w:val="auto"/>
              </w:rPr>
            </w:pPr>
            <w:r>
              <w:rPr>
                <w:rFonts w:ascii="Arial" w:cs="Arial" w:eastAsia="Arial" w:hAnsi="Arial"/>
                <w:sz w:val="13"/>
                <w:szCs w:val="13"/>
                <w:color w:val="auto"/>
              </w:rPr>
              <w:t>17</w:t>
            </w:r>
          </w:p>
        </w:tc>
      </w:tr>
      <w:tr>
        <w:trPr>
          <w:trHeight w:val="141"/>
        </w:trPr>
        <w:tc>
          <w:tcPr>
            <w:tcW w:w="420" w:type="dxa"/>
            <w:vAlign w:val="bottom"/>
            <w:tcBorders>
              <w:bottom w:val="single" w:sz="8" w:color="0000EE"/>
            </w:tcBorders>
          </w:tcPr>
          <w:p>
            <w:pPr>
              <w:spacing w:after="0" w:line="141" w:lineRule="exact"/>
              <w:rPr>
                <w:rFonts w:ascii="Arial" w:cs="Arial" w:eastAsia="Arial" w:hAnsi="Arial"/>
                <w:sz w:val="13"/>
                <w:szCs w:val="13"/>
                <w:color w:val="0000EE"/>
                <w:w w:val="90"/>
              </w:rPr>
            </w:pPr>
            <w:hyperlink w:anchor="page21">
              <w:r>
                <w:rPr>
                  <w:rFonts w:ascii="Arial" w:cs="Arial" w:eastAsia="Arial" w:hAnsi="Arial"/>
                  <w:sz w:val="13"/>
                  <w:szCs w:val="13"/>
                  <w:color w:val="0000EE"/>
                  <w:w w:val="90"/>
                </w:rPr>
                <w:t>Experts</w:t>
              </w:r>
            </w:hyperlink>
          </w:p>
        </w:tc>
        <w:tc>
          <w:tcPr>
            <w:tcW w:w="2800" w:type="dxa"/>
            <w:vAlign w:val="bottom"/>
            <w:gridSpan w:val="15"/>
          </w:tcPr>
          <w:p>
            <w:pPr>
              <w:spacing w:after="0"/>
              <w:rPr>
                <w:sz w:val="12"/>
                <w:szCs w:val="12"/>
                <w:color w:val="auto"/>
              </w:rPr>
            </w:pPr>
          </w:p>
        </w:tc>
        <w:tc>
          <w:tcPr>
            <w:tcW w:w="6720" w:type="dxa"/>
            <w:vAlign w:val="bottom"/>
          </w:tcPr>
          <w:p>
            <w:pPr>
              <w:jc w:val="right"/>
              <w:spacing w:after="0" w:line="141" w:lineRule="exact"/>
              <w:rPr>
                <w:sz w:val="20"/>
                <w:szCs w:val="20"/>
                <w:color w:val="auto"/>
              </w:rPr>
            </w:pPr>
            <w:r>
              <w:rPr>
                <w:rFonts w:ascii="Arial" w:cs="Arial" w:eastAsia="Arial" w:hAnsi="Arial"/>
                <w:sz w:val="13"/>
                <w:szCs w:val="13"/>
                <w:color w:val="auto"/>
              </w:rPr>
              <w:t>17</w:t>
            </w:r>
          </w:p>
        </w:tc>
      </w:tr>
    </w:tbl>
    <w:p>
      <w:pPr>
        <w:spacing w:after="0" w:line="14"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EX-3.3</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EX-3.4</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EX-4.1</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EX-5.1</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EX-23.2</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EX-25.1</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EX-25.2</w:t>
      </w:r>
    </w:p>
    <w:p>
      <w:pPr>
        <w:spacing w:after="0" w:line="253"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FORWARD-LOOKING STATEMENTS</w:t>
      </w:r>
    </w:p>
    <w:p>
      <w:pPr>
        <w:spacing w:after="0" w:line="104" w:lineRule="exact"/>
        <w:rPr>
          <w:sz w:val="20"/>
          <w:szCs w:val="20"/>
          <w:color w:val="auto"/>
        </w:rPr>
      </w:pPr>
    </w:p>
    <w:p>
      <w:pPr>
        <w:ind w:right="160" w:firstLine="399"/>
        <w:spacing w:after="0" w:line="295" w:lineRule="auto"/>
        <w:rPr>
          <w:sz w:val="20"/>
          <w:szCs w:val="20"/>
          <w:color w:val="auto"/>
        </w:rPr>
      </w:pPr>
      <w:r>
        <w:rPr>
          <w:rFonts w:ascii="Arial" w:cs="Arial" w:eastAsia="Arial" w:hAnsi="Arial"/>
          <w:sz w:val="12"/>
          <w:szCs w:val="12"/>
          <w:color w:val="auto"/>
        </w:rPr>
        <w:t>This prospectus and the documents incorporated by reference into this prospectus contain forward-looking statements within the meaning of Section 27A of the Securities Act and Section 21E of the Securities Exchange Act of 1934, as amended (the “Exchange Act”). All statements, other than statements of historical facts, included or incorporated herein regarding our strategy, future operations, financial position, future revenues, projected costs, prospects, plans and objectives are forward-looking statements. In some cases, you can identify forward-looking statements by terminology such as “anticipates,” “believes,” “estimates,” “expects,” “intends,” “may,” “plans,” “projects,” “will,” “would,” and similar expressions or expressions or the negative of these terms. Such statements are only predictions and, accordingly, are subject to substantial risks, uncertainties and assumptions.</w:t>
      </w:r>
    </w:p>
    <w:p>
      <w:pPr>
        <w:spacing w:after="0" w:line="49" w:lineRule="exact"/>
        <w:rPr>
          <w:sz w:val="20"/>
          <w:szCs w:val="20"/>
          <w:color w:val="auto"/>
        </w:rPr>
      </w:pPr>
    </w:p>
    <w:p>
      <w:pPr>
        <w:ind w:right="120" w:firstLine="399"/>
        <w:spacing w:after="0" w:line="295" w:lineRule="auto"/>
        <w:rPr>
          <w:sz w:val="20"/>
          <w:szCs w:val="20"/>
          <w:color w:val="auto"/>
        </w:rPr>
      </w:pPr>
      <w:r>
        <w:rPr>
          <w:rFonts w:ascii="Arial" w:cs="Arial" w:eastAsia="Arial" w:hAnsi="Arial"/>
          <w:sz w:val="12"/>
          <w:szCs w:val="12"/>
          <w:color w:val="auto"/>
        </w:rPr>
        <w:t>Many factors could affect our actual results, and variances from our current expectations regarding these factors could cause actual results to differ materially from those expressed in our forward-looking statements. We presently consider the factors set forth below to be important factors that could cause actual results to differ materially from our published expectations. A more detailed discussion of these factors, as well as other factors that could affect our results, is contained under the heading “Risk Factors” in our report on Form 10-K for the year ended December 31, 2008. However, management cannot predict all factors, or combinations of factors, that may cause actual results to differ materially from those projected in any forward-looking statements. Factors that we currently believe could cause our results to be different from our expectations include:</w:t>
      </w:r>
    </w:p>
    <w:p>
      <w:pPr>
        <w:spacing w:after="0" w:line="49" w:lineRule="exact"/>
        <w:rPr>
          <w:sz w:val="20"/>
          <w:szCs w:val="20"/>
          <w:color w:val="auto"/>
        </w:rPr>
      </w:pPr>
    </w:p>
    <w:p>
      <w:pPr>
        <w:ind w:left="620" w:right="120" w:hanging="208"/>
        <w:spacing w:after="0" w:line="294" w:lineRule="auto"/>
        <w:tabs>
          <w:tab w:leader="none" w:pos="620" w:val="left"/>
        </w:tabs>
        <w:numPr>
          <w:ilvl w:val="0"/>
          <w:numId w:val="3"/>
        </w:numPr>
        <w:rPr>
          <w:rFonts w:ascii="Arial" w:cs="Arial" w:eastAsia="Arial" w:hAnsi="Arial"/>
          <w:sz w:val="13"/>
          <w:szCs w:val="13"/>
          <w:color w:val="auto"/>
        </w:rPr>
      </w:pPr>
      <w:r>
        <w:rPr>
          <w:rFonts w:ascii="Arial" w:cs="Arial" w:eastAsia="Arial" w:hAnsi="Arial"/>
          <w:sz w:val="13"/>
          <w:szCs w:val="13"/>
          <w:color w:val="auto"/>
        </w:rPr>
        <w:t>continued volatility and further deterioration in the credit markets, inflation, higher interest rates and other general and local economic conditions may negatively affect the volumes of waste generated, our liquidity, our financing costs and other expenses;</w:t>
      </w: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113665</wp:posOffset>
            </wp:positionV>
            <wp:extent cx="7287895"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9940"/>
          </w:cols>
          <w:pgMar w:left="900" w:top="731" w:right="105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5" w:lineRule="exact"/>
        <w:rPr>
          <w:sz w:val="20"/>
          <w:szCs w:val="20"/>
          <w:color w:val="auto"/>
        </w:rPr>
      </w:pPr>
    </w:p>
    <w:p>
      <w:pPr>
        <w:ind w:left="1300" w:right="180" w:hanging="208"/>
        <w:spacing w:after="0" w:line="338" w:lineRule="auto"/>
        <w:tabs>
          <w:tab w:leader="none" w:pos="1300" w:val="left"/>
        </w:tabs>
        <w:numPr>
          <w:ilvl w:val="0"/>
          <w:numId w:val="4"/>
        </w:numPr>
        <w:rPr>
          <w:rFonts w:ascii="Arial" w:cs="Arial" w:eastAsia="Arial" w:hAnsi="Arial"/>
          <w:sz w:val="12"/>
          <w:szCs w:val="12"/>
          <w:color w:val="auto"/>
        </w:rPr>
      </w:pPr>
      <w:r>
        <w:rPr>
          <w:rFonts w:ascii="Arial" w:cs="Arial" w:eastAsia="Arial" w:hAnsi="Arial"/>
          <w:sz w:val="12"/>
          <w:szCs w:val="12"/>
          <w:color w:val="auto"/>
        </w:rPr>
        <w:t>economic conditions may negatively affect parties with whom we do business, which could result in late payments or the uncollectability of receivables as well as the non-performance of certain agreements, including expected funding under our credit agreement, which could negatively impact our liquidity and results of operations;</w:t>
      </w:r>
    </w:p>
    <w:p>
      <w:pPr>
        <w:spacing w:after="0" w:line="14" w:lineRule="exact"/>
        <w:rPr>
          <w:rFonts w:ascii="Arial" w:cs="Arial" w:eastAsia="Arial" w:hAnsi="Arial"/>
          <w:sz w:val="12"/>
          <w:szCs w:val="12"/>
          <w:color w:val="auto"/>
        </w:rPr>
      </w:pPr>
    </w:p>
    <w:p>
      <w:pPr>
        <w:ind w:left="1300" w:right="320" w:hanging="208"/>
        <w:spacing w:after="0" w:line="294" w:lineRule="auto"/>
        <w:tabs>
          <w:tab w:leader="none" w:pos="1300" w:val="left"/>
        </w:tabs>
        <w:numPr>
          <w:ilvl w:val="0"/>
          <w:numId w:val="4"/>
        </w:numPr>
        <w:rPr>
          <w:rFonts w:ascii="Arial" w:cs="Arial" w:eastAsia="Arial" w:hAnsi="Arial"/>
          <w:sz w:val="13"/>
          <w:szCs w:val="13"/>
          <w:color w:val="auto"/>
        </w:rPr>
      </w:pPr>
      <w:r>
        <w:rPr>
          <w:rFonts w:ascii="Arial" w:cs="Arial" w:eastAsia="Arial" w:hAnsi="Arial"/>
          <w:sz w:val="13"/>
          <w:szCs w:val="13"/>
          <w:color w:val="auto"/>
        </w:rPr>
        <w:t>competition may negatively affect our profitability or cash flows, our price increases may have negative effects on volumes, and price roll-backs and lower than average pricing to retain and attract customers may negatively affect our average yield on collection and disposal business;</w:t>
      </w:r>
    </w:p>
    <w:p>
      <w:pPr>
        <w:spacing w:after="0" w:line="36" w:lineRule="exact"/>
        <w:rPr>
          <w:rFonts w:ascii="Arial" w:cs="Arial" w:eastAsia="Arial" w:hAnsi="Arial"/>
          <w:sz w:val="13"/>
          <w:szCs w:val="13"/>
          <w:color w:val="auto"/>
        </w:rPr>
      </w:pPr>
    </w:p>
    <w:p>
      <w:pPr>
        <w:ind w:left="1300" w:hanging="208"/>
        <w:spacing w:after="0"/>
        <w:tabs>
          <w:tab w:leader="none" w:pos="1300" w:val="left"/>
        </w:tabs>
        <w:numPr>
          <w:ilvl w:val="0"/>
          <w:numId w:val="4"/>
        </w:numPr>
        <w:rPr>
          <w:rFonts w:ascii="Arial" w:cs="Arial" w:eastAsia="Arial" w:hAnsi="Arial"/>
          <w:sz w:val="13"/>
          <w:szCs w:val="13"/>
          <w:color w:val="auto"/>
        </w:rPr>
      </w:pPr>
      <w:r>
        <w:rPr>
          <w:rFonts w:ascii="Arial" w:cs="Arial" w:eastAsia="Arial" w:hAnsi="Arial"/>
          <w:sz w:val="13"/>
          <w:szCs w:val="13"/>
          <w:color w:val="auto"/>
        </w:rPr>
        <w:t>we may be unable to maintain or expand margins if we are unable to control costs or raise prices;</w:t>
      </w:r>
    </w:p>
    <w:p>
      <w:pPr>
        <w:spacing w:after="0" w:line="92" w:lineRule="exact"/>
        <w:rPr>
          <w:rFonts w:ascii="Arial" w:cs="Arial" w:eastAsia="Arial" w:hAnsi="Arial"/>
          <w:sz w:val="13"/>
          <w:szCs w:val="13"/>
          <w:color w:val="auto"/>
        </w:rPr>
      </w:pPr>
    </w:p>
    <w:p>
      <w:pPr>
        <w:ind w:left="1300" w:right="40" w:hanging="208"/>
        <w:spacing w:after="0" w:line="276" w:lineRule="auto"/>
        <w:tabs>
          <w:tab w:leader="none" w:pos="1300" w:val="left"/>
        </w:tabs>
        <w:numPr>
          <w:ilvl w:val="0"/>
          <w:numId w:val="4"/>
        </w:numPr>
        <w:rPr>
          <w:rFonts w:ascii="Arial" w:cs="Arial" w:eastAsia="Arial" w:hAnsi="Arial"/>
          <w:sz w:val="13"/>
          <w:szCs w:val="13"/>
          <w:color w:val="auto"/>
        </w:rPr>
      </w:pPr>
      <w:r>
        <w:rPr>
          <w:rFonts w:ascii="Arial" w:cs="Arial" w:eastAsia="Arial" w:hAnsi="Arial"/>
          <w:sz w:val="13"/>
          <w:szCs w:val="13"/>
          <w:color w:val="auto"/>
        </w:rPr>
        <w:t>we may not be able to successfully execute or continue our operational or other margin improvement plans and programs, including: pricing increases; passing on increased costs to our customers; reducing costs; and divesting under-performing assets and purchasing accretive businesses, any failures of which could negatively affect our revenues and margins;</w:t>
      </w:r>
    </w:p>
    <w:p>
      <w:pPr>
        <w:spacing w:after="0" w:line="48" w:lineRule="exact"/>
        <w:rPr>
          <w:rFonts w:ascii="Arial" w:cs="Arial" w:eastAsia="Arial" w:hAnsi="Arial"/>
          <w:sz w:val="13"/>
          <w:szCs w:val="13"/>
          <w:color w:val="auto"/>
        </w:rPr>
      </w:pPr>
    </w:p>
    <w:p>
      <w:pPr>
        <w:ind w:left="1300" w:hanging="208"/>
        <w:spacing w:after="0"/>
        <w:tabs>
          <w:tab w:leader="none" w:pos="1300" w:val="left"/>
        </w:tabs>
        <w:numPr>
          <w:ilvl w:val="0"/>
          <w:numId w:val="4"/>
        </w:numPr>
        <w:rPr>
          <w:rFonts w:ascii="Arial" w:cs="Arial" w:eastAsia="Arial" w:hAnsi="Arial"/>
          <w:sz w:val="13"/>
          <w:szCs w:val="13"/>
          <w:color w:val="auto"/>
        </w:rPr>
      </w:pPr>
      <w:r>
        <w:rPr>
          <w:rFonts w:ascii="Arial" w:cs="Arial" w:eastAsia="Arial" w:hAnsi="Arial"/>
          <w:sz w:val="13"/>
          <w:szCs w:val="13"/>
          <w:color w:val="auto"/>
        </w:rPr>
        <w:t>weather conditions cause our quarter-to-quarter results to fluctuate, and harsh weather or natural disasters may cause us to temporarily shut down operations;</w:t>
      </w:r>
    </w:p>
    <w:p>
      <w:pPr>
        <w:spacing w:after="0" w:line="92" w:lineRule="exact"/>
        <w:rPr>
          <w:rFonts w:ascii="Arial" w:cs="Arial" w:eastAsia="Arial" w:hAnsi="Arial"/>
          <w:sz w:val="13"/>
          <w:szCs w:val="13"/>
          <w:color w:val="auto"/>
        </w:rPr>
      </w:pPr>
    </w:p>
    <w:p>
      <w:pPr>
        <w:ind w:left="1300" w:right="260" w:hanging="208"/>
        <w:spacing w:after="0" w:line="294" w:lineRule="auto"/>
        <w:tabs>
          <w:tab w:leader="none" w:pos="1300" w:val="left"/>
        </w:tabs>
        <w:numPr>
          <w:ilvl w:val="0"/>
          <w:numId w:val="4"/>
        </w:numPr>
        <w:rPr>
          <w:rFonts w:ascii="Arial" w:cs="Arial" w:eastAsia="Arial" w:hAnsi="Arial"/>
          <w:sz w:val="13"/>
          <w:szCs w:val="13"/>
          <w:color w:val="auto"/>
        </w:rPr>
      </w:pPr>
      <w:r>
        <w:rPr>
          <w:rFonts w:ascii="Arial" w:cs="Arial" w:eastAsia="Arial" w:hAnsi="Arial"/>
          <w:sz w:val="13"/>
          <w:szCs w:val="13"/>
          <w:color w:val="auto"/>
        </w:rPr>
        <w:t>possible changes in our estimates of costs for site remediation requirements, final capping, closure and post-closure obligations, compliance and regulatory developments may increase our expenses;</w:t>
      </w:r>
    </w:p>
    <w:p>
      <w:pPr>
        <w:spacing w:after="0" w:line="36" w:lineRule="exact"/>
        <w:rPr>
          <w:rFonts w:ascii="Arial" w:cs="Arial" w:eastAsia="Arial" w:hAnsi="Arial"/>
          <w:sz w:val="13"/>
          <w:szCs w:val="13"/>
          <w:color w:val="auto"/>
        </w:rPr>
      </w:pPr>
    </w:p>
    <w:p>
      <w:pPr>
        <w:ind w:left="1300" w:hanging="208"/>
        <w:spacing w:after="0"/>
        <w:tabs>
          <w:tab w:leader="none" w:pos="1300" w:val="left"/>
        </w:tabs>
        <w:numPr>
          <w:ilvl w:val="0"/>
          <w:numId w:val="4"/>
        </w:numPr>
        <w:rPr>
          <w:rFonts w:ascii="Arial" w:cs="Arial" w:eastAsia="Arial" w:hAnsi="Arial"/>
          <w:sz w:val="12"/>
          <w:szCs w:val="12"/>
          <w:color w:val="auto"/>
        </w:rPr>
      </w:pPr>
      <w:r>
        <w:rPr>
          <w:rFonts w:ascii="Arial" w:cs="Arial" w:eastAsia="Arial" w:hAnsi="Arial"/>
          <w:sz w:val="12"/>
          <w:szCs w:val="12"/>
          <w:color w:val="auto"/>
        </w:rPr>
        <w:t>regulations may negatively impact our business by, among other things, restricting our operations, increasing costs of operations or requiring additional capital expenditures;</w:t>
      </w:r>
    </w:p>
    <w:p>
      <w:pPr>
        <w:spacing w:after="0" w:line="103" w:lineRule="exact"/>
        <w:rPr>
          <w:rFonts w:ascii="Arial" w:cs="Arial" w:eastAsia="Arial" w:hAnsi="Arial"/>
          <w:sz w:val="12"/>
          <w:szCs w:val="12"/>
          <w:color w:val="auto"/>
        </w:rPr>
      </w:pPr>
    </w:p>
    <w:p>
      <w:pPr>
        <w:ind w:left="1300" w:right="300" w:hanging="208"/>
        <w:spacing w:after="0" w:line="338" w:lineRule="auto"/>
        <w:tabs>
          <w:tab w:leader="none" w:pos="1300" w:val="left"/>
        </w:tabs>
        <w:numPr>
          <w:ilvl w:val="0"/>
          <w:numId w:val="4"/>
        </w:numPr>
        <w:rPr>
          <w:rFonts w:ascii="Arial" w:cs="Arial" w:eastAsia="Arial" w:hAnsi="Arial"/>
          <w:sz w:val="12"/>
          <w:szCs w:val="12"/>
          <w:color w:val="auto"/>
        </w:rPr>
      </w:pPr>
      <w:r>
        <w:rPr>
          <w:rFonts w:ascii="Arial" w:cs="Arial" w:eastAsia="Arial" w:hAnsi="Arial"/>
          <w:sz w:val="12"/>
          <w:szCs w:val="12"/>
          <w:color w:val="auto"/>
        </w:rPr>
        <w:t>climate change legislation, including possible limits on carbon emissions, may negatively impact our results of operations by increasing expenses related to tracking, measuring and reporting our greenhouse gas emissions and increasing operating costs and capital expenditures that may be required to comply with any such legislation;</w:t>
      </w:r>
    </w:p>
    <w:p>
      <w:pPr>
        <w:spacing w:after="0" w:line="14" w:lineRule="exact"/>
        <w:rPr>
          <w:rFonts w:ascii="Arial" w:cs="Arial" w:eastAsia="Arial" w:hAnsi="Arial"/>
          <w:sz w:val="12"/>
          <w:szCs w:val="12"/>
          <w:color w:val="auto"/>
        </w:rPr>
      </w:pPr>
    </w:p>
    <w:p>
      <w:pPr>
        <w:ind w:left="1300" w:hanging="208"/>
        <w:spacing w:after="0"/>
        <w:tabs>
          <w:tab w:leader="none" w:pos="1300" w:val="left"/>
        </w:tabs>
        <w:numPr>
          <w:ilvl w:val="0"/>
          <w:numId w:val="4"/>
        </w:numPr>
        <w:rPr>
          <w:rFonts w:ascii="Arial" w:cs="Arial" w:eastAsia="Arial" w:hAnsi="Arial"/>
          <w:sz w:val="13"/>
          <w:szCs w:val="13"/>
          <w:color w:val="auto"/>
        </w:rPr>
      </w:pPr>
      <w:r>
        <w:rPr>
          <w:rFonts w:ascii="Arial" w:cs="Arial" w:eastAsia="Arial" w:hAnsi="Arial"/>
          <w:sz w:val="13"/>
          <w:szCs w:val="13"/>
          <w:color w:val="auto"/>
        </w:rPr>
        <w:t>if we are unable to obtain and maintain permits needed to open, operate, and/or expand our facilities, our results of operations will be negatively impacted;</w:t>
      </w:r>
    </w:p>
    <w:p>
      <w:pPr>
        <w:spacing w:after="0" w:line="92" w:lineRule="exact"/>
        <w:rPr>
          <w:rFonts w:ascii="Arial" w:cs="Arial" w:eastAsia="Arial" w:hAnsi="Arial"/>
          <w:sz w:val="13"/>
          <w:szCs w:val="13"/>
          <w:color w:val="auto"/>
        </w:rPr>
      </w:pPr>
    </w:p>
    <w:p>
      <w:pPr>
        <w:ind w:left="1300" w:right="240" w:hanging="208"/>
        <w:spacing w:after="0" w:line="294" w:lineRule="auto"/>
        <w:tabs>
          <w:tab w:leader="none" w:pos="1300" w:val="left"/>
        </w:tabs>
        <w:numPr>
          <w:ilvl w:val="0"/>
          <w:numId w:val="4"/>
        </w:numPr>
        <w:rPr>
          <w:rFonts w:ascii="Arial" w:cs="Arial" w:eastAsia="Arial" w:hAnsi="Arial"/>
          <w:sz w:val="13"/>
          <w:szCs w:val="13"/>
          <w:color w:val="auto"/>
        </w:rPr>
      </w:pPr>
      <w:r>
        <w:rPr>
          <w:rFonts w:ascii="Arial" w:cs="Arial" w:eastAsia="Arial" w:hAnsi="Arial"/>
          <w:sz w:val="13"/>
          <w:szCs w:val="13"/>
          <w:color w:val="auto"/>
        </w:rPr>
        <w:t>limitations or bans on disposal or transportation of out-of-state, cross-border, or certain categories of waste, as well as mandates on the disposal of waste, can increase our expenses and reduce our revenue;</w:t>
      </w:r>
    </w:p>
    <w:p>
      <w:pPr>
        <w:spacing w:after="0" w:line="36" w:lineRule="exact"/>
        <w:rPr>
          <w:rFonts w:ascii="Arial" w:cs="Arial" w:eastAsia="Arial" w:hAnsi="Arial"/>
          <w:sz w:val="13"/>
          <w:szCs w:val="13"/>
          <w:color w:val="auto"/>
        </w:rPr>
      </w:pPr>
    </w:p>
    <w:p>
      <w:pPr>
        <w:ind w:left="1300" w:hanging="208"/>
        <w:spacing w:after="0"/>
        <w:tabs>
          <w:tab w:leader="none" w:pos="1300" w:val="left"/>
        </w:tabs>
        <w:numPr>
          <w:ilvl w:val="0"/>
          <w:numId w:val="4"/>
        </w:numPr>
        <w:rPr>
          <w:rFonts w:ascii="Arial" w:cs="Arial" w:eastAsia="Arial" w:hAnsi="Arial"/>
          <w:sz w:val="13"/>
          <w:szCs w:val="13"/>
          <w:color w:val="auto"/>
        </w:rPr>
      </w:pPr>
      <w:r>
        <w:rPr>
          <w:rFonts w:ascii="Arial" w:cs="Arial" w:eastAsia="Arial" w:hAnsi="Arial"/>
          <w:sz w:val="13"/>
          <w:szCs w:val="13"/>
          <w:color w:val="auto"/>
        </w:rPr>
        <w:t>fuel price increases or fuel supply shortages may increase our expenses or restrict our ability to operate;</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4"/>
        </w:numPr>
        <w:rPr>
          <w:rFonts w:ascii="Arial" w:cs="Arial" w:eastAsia="Arial" w:hAnsi="Arial"/>
          <w:sz w:val="12"/>
          <w:szCs w:val="12"/>
          <w:color w:val="auto"/>
        </w:rPr>
      </w:pPr>
      <w:r>
        <w:rPr>
          <w:rFonts w:ascii="Arial" w:cs="Arial" w:eastAsia="Arial" w:hAnsi="Arial"/>
          <w:sz w:val="12"/>
          <w:szCs w:val="12"/>
          <w:color w:val="auto"/>
        </w:rPr>
        <w:t>increased costs or the inability to obtain financial assurance or the inadequacy of our insurance coverages could negatively impact our liquidity and increase our liabilities;</w:t>
      </w:r>
    </w:p>
    <w:p>
      <w:pPr>
        <w:spacing w:after="0" w:line="103" w:lineRule="exact"/>
        <w:rPr>
          <w:rFonts w:ascii="Arial" w:cs="Arial" w:eastAsia="Arial" w:hAnsi="Arial"/>
          <w:sz w:val="12"/>
          <w:szCs w:val="12"/>
          <w:color w:val="auto"/>
        </w:rPr>
      </w:pPr>
    </w:p>
    <w:p>
      <w:pPr>
        <w:ind w:left="1300" w:hanging="208"/>
        <w:spacing w:after="0"/>
        <w:tabs>
          <w:tab w:leader="none" w:pos="1300" w:val="left"/>
        </w:tabs>
        <w:numPr>
          <w:ilvl w:val="0"/>
          <w:numId w:val="4"/>
        </w:numPr>
        <w:rPr>
          <w:rFonts w:ascii="Arial" w:cs="Arial" w:eastAsia="Arial" w:hAnsi="Arial"/>
          <w:sz w:val="13"/>
          <w:szCs w:val="13"/>
          <w:color w:val="auto"/>
        </w:rPr>
      </w:pPr>
      <w:r>
        <w:rPr>
          <w:rFonts w:ascii="Arial" w:cs="Arial" w:eastAsia="Arial" w:hAnsi="Arial"/>
          <w:sz w:val="13"/>
          <w:szCs w:val="13"/>
          <w:color w:val="auto"/>
        </w:rPr>
        <w:t>possible charges as a result of shut-down operations, uncompleted development or expansion projects or other events may negatively affect earnings;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4"/>
        </w:numPr>
        <w:rPr>
          <w:rFonts w:ascii="Arial" w:cs="Arial" w:eastAsia="Arial" w:hAnsi="Arial"/>
          <w:sz w:val="13"/>
          <w:szCs w:val="13"/>
          <w:color w:val="auto"/>
        </w:rPr>
      </w:pPr>
      <w:r>
        <w:rPr>
          <w:rFonts w:ascii="Arial" w:cs="Arial" w:eastAsia="Arial" w:hAnsi="Arial"/>
          <w:sz w:val="13"/>
          <w:szCs w:val="13"/>
          <w:color w:val="auto"/>
        </w:rPr>
        <w:t>fluctuations in commodity prices may have negative effects on our operating results;</w:t>
      </w:r>
    </w:p>
    <w:p>
      <w:pPr>
        <w:spacing w:after="0" w:line="92" w:lineRule="exact"/>
        <w:rPr>
          <w:rFonts w:ascii="Arial" w:cs="Arial" w:eastAsia="Arial" w:hAnsi="Arial"/>
          <w:sz w:val="13"/>
          <w:szCs w:val="13"/>
          <w:color w:val="auto"/>
        </w:rPr>
      </w:pPr>
    </w:p>
    <w:p>
      <w:pPr>
        <w:ind w:left="1300" w:right="360" w:hanging="208"/>
        <w:spacing w:after="0" w:line="294" w:lineRule="auto"/>
        <w:tabs>
          <w:tab w:leader="none" w:pos="1300" w:val="left"/>
        </w:tabs>
        <w:numPr>
          <w:ilvl w:val="0"/>
          <w:numId w:val="4"/>
        </w:numPr>
        <w:rPr>
          <w:rFonts w:ascii="Arial" w:cs="Arial" w:eastAsia="Arial" w:hAnsi="Arial"/>
          <w:sz w:val="13"/>
          <w:szCs w:val="13"/>
          <w:color w:val="auto"/>
        </w:rPr>
      </w:pPr>
      <w:r>
        <w:rPr>
          <w:rFonts w:ascii="Arial" w:cs="Arial" w:eastAsia="Arial" w:hAnsi="Arial"/>
          <w:sz w:val="13"/>
          <w:szCs w:val="13"/>
          <w:color w:val="auto"/>
        </w:rPr>
        <w:t>trends requiring recycling, waste reduction at the source and prohibiting the disposal of certain types of waste could have negative effects on volumes of waste going to landfills and waste-to-energy facilities;</w:t>
      </w:r>
    </w:p>
    <w:p>
      <w:pPr>
        <w:spacing w:after="0" w:line="36" w:lineRule="exact"/>
        <w:rPr>
          <w:rFonts w:ascii="Arial" w:cs="Arial" w:eastAsia="Arial" w:hAnsi="Arial"/>
          <w:sz w:val="13"/>
          <w:szCs w:val="13"/>
          <w:color w:val="auto"/>
        </w:rPr>
      </w:pPr>
    </w:p>
    <w:p>
      <w:pPr>
        <w:ind w:left="1300" w:hanging="208"/>
        <w:spacing w:after="0" w:line="276" w:lineRule="auto"/>
        <w:tabs>
          <w:tab w:leader="none" w:pos="1300" w:val="left"/>
        </w:tabs>
        <w:numPr>
          <w:ilvl w:val="0"/>
          <w:numId w:val="4"/>
        </w:numPr>
        <w:rPr>
          <w:rFonts w:ascii="Arial" w:cs="Arial" w:eastAsia="Arial" w:hAnsi="Arial"/>
          <w:sz w:val="13"/>
          <w:szCs w:val="13"/>
          <w:color w:val="auto"/>
        </w:rPr>
      </w:pPr>
      <w:r>
        <w:rPr>
          <w:rFonts w:ascii="Arial" w:cs="Arial" w:eastAsia="Arial" w:hAnsi="Arial"/>
          <w:sz w:val="13"/>
          <w:szCs w:val="13"/>
          <w:color w:val="auto"/>
        </w:rPr>
        <w:t>efforts by labor unions to organize our employees may increase operating expenses and we may be unable to negotiate acceptable collective bargaining agreements with those who have chosen to be represented by unions, which could lead to labor disruptions, including strikes and lock-outs, which could adversely affect our results of operations and cash flows;</w:t>
      </w:r>
    </w:p>
    <w:p>
      <w:pPr>
        <w:spacing w:after="0" w:line="48" w:lineRule="exact"/>
        <w:rPr>
          <w:rFonts w:ascii="Arial" w:cs="Arial" w:eastAsia="Arial" w:hAnsi="Arial"/>
          <w:sz w:val="13"/>
          <w:szCs w:val="13"/>
          <w:color w:val="auto"/>
        </w:rPr>
      </w:pPr>
    </w:p>
    <w:p>
      <w:pPr>
        <w:ind w:left="1300" w:right="40" w:hanging="208"/>
        <w:spacing w:after="0" w:line="294" w:lineRule="auto"/>
        <w:tabs>
          <w:tab w:leader="none" w:pos="1300" w:val="left"/>
        </w:tabs>
        <w:numPr>
          <w:ilvl w:val="0"/>
          <w:numId w:val="4"/>
        </w:numPr>
        <w:rPr>
          <w:rFonts w:ascii="Arial" w:cs="Arial" w:eastAsia="Arial" w:hAnsi="Arial"/>
          <w:sz w:val="13"/>
          <w:szCs w:val="13"/>
          <w:color w:val="auto"/>
        </w:rPr>
      </w:pPr>
      <w:r>
        <w:rPr>
          <w:rFonts w:ascii="Arial" w:cs="Arial" w:eastAsia="Arial" w:hAnsi="Arial"/>
          <w:sz w:val="13"/>
          <w:szCs w:val="13"/>
          <w:color w:val="auto"/>
        </w:rPr>
        <w:t>negative outcomes of litigation or threatened litigation or governmental proceedings may increase our costs, limit our ability to conduct or expand our operations, or limit our ability to execute our business plans and strategies;</w:t>
      </w:r>
    </w:p>
    <w:p>
      <w:pPr>
        <w:spacing w:after="0" w:line="36" w:lineRule="exact"/>
        <w:rPr>
          <w:rFonts w:ascii="Arial" w:cs="Arial" w:eastAsia="Arial" w:hAnsi="Arial"/>
          <w:sz w:val="13"/>
          <w:szCs w:val="13"/>
          <w:color w:val="auto"/>
        </w:rPr>
      </w:pPr>
    </w:p>
    <w:p>
      <w:pPr>
        <w:ind w:left="1300" w:right="380" w:hanging="208"/>
        <w:spacing w:after="0" w:line="294" w:lineRule="auto"/>
        <w:tabs>
          <w:tab w:leader="none" w:pos="1300" w:val="left"/>
        </w:tabs>
        <w:numPr>
          <w:ilvl w:val="0"/>
          <w:numId w:val="4"/>
        </w:numPr>
        <w:rPr>
          <w:rFonts w:ascii="Arial" w:cs="Arial" w:eastAsia="Arial" w:hAnsi="Arial"/>
          <w:sz w:val="13"/>
          <w:szCs w:val="13"/>
          <w:color w:val="auto"/>
        </w:rPr>
      </w:pPr>
      <w:r>
        <w:rPr>
          <w:rFonts w:ascii="Arial" w:cs="Arial" w:eastAsia="Arial" w:hAnsi="Arial"/>
          <w:sz w:val="13"/>
          <w:szCs w:val="13"/>
          <w:color w:val="auto"/>
        </w:rPr>
        <w:t>problems with the operation of our current information technology or the development and deployment of new information systems could decrease our efficiencies and increase our costs;</w:t>
      </w:r>
    </w:p>
    <w:p>
      <w:pPr>
        <w:spacing w:after="0" w:line="258"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5" w:lineRule="exact"/>
        <w:rPr>
          <w:sz w:val="20"/>
          <w:szCs w:val="20"/>
          <w:color w:val="auto"/>
        </w:rPr>
      </w:pPr>
    </w:p>
    <w:p>
      <w:pPr>
        <w:ind w:left="1300" w:right="340" w:hanging="208"/>
        <w:spacing w:after="0" w:line="294" w:lineRule="auto"/>
        <w:tabs>
          <w:tab w:leader="none" w:pos="130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adoption of new accounting standards or interpretations may cause fluctuations in reported quarterly results of operations or adversely impact our reported results of operations; and</w:t>
      </w:r>
    </w:p>
    <w:p>
      <w:pPr>
        <w:spacing w:after="0" w:line="36" w:lineRule="exact"/>
        <w:rPr>
          <w:rFonts w:ascii="Arial" w:cs="Arial" w:eastAsia="Arial" w:hAnsi="Arial"/>
          <w:sz w:val="13"/>
          <w:szCs w:val="13"/>
          <w:color w:val="auto"/>
        </w:rPr>
      </w:pPr>
    </w:p>
    <w:p>
      <w:pPr>
        <w:ind w:left="1300" w:hanging="208"/>
        <w:spacing w:after="0" w:line="294" w:lineRule="auto"/>
        <w:tabs>
          <w:tab w:leader="none" w:pos="1300" w:val="left"/>
        </w:tabs>
        <w:numPr>
          <w:ilvl w:val="0"/>
          <w:numId w:val="5"/>
        </w:numPr>
        <w:rPr>
          <w:rFonts w:ascii="Arial" w:cs="Arial" w:eastAsia="Arial" w:hAnsi="Arial"/>
          <w:sz w:val="13"/>
          <w:szCs w:val="13"/>
          <w:color w:val="auto"/>
        </w:rPr>
      </w:pPr>
      <w:r>
        <w:rPr>
          <w:rFonts w:ascii="Arial" w:cs="Arial" w:eastAsia="Arial" w:hAnsi="Arial"/>
          <w:sz w:val="13"/>
          <w:szCs w:val="13"/>
          <w:color w:val="auto"/>
        </w:rPr>
        <w:t>we may reduce or permanently eliminate our dividend or share repurchase program, reduce capital spending or cease acquisitions if cash flows are less than we expect and we are not able to obtain capital needed to refinance our debt obligations, including near-term maturities, on acceptable terms.</w:t>
      </w:r>
    </w:p>
    <w:p>
      <w:pPr>
        <w:spacing w:after="0" w:line="47" w:lineRule="exact"/>
        <w:rPr>
          <w:sz w:val="20"/>
          <w:szCs w:val="20"/>
          <w:color w:val="auto"/>
        </w:rPr>
      </w:pPr>
    </w:p>
    <w:p>
      <w:pPr>
        <w:jc w:val="right"/>
        <w:spacing w:after="0"/>
        <w:rPr>
          <w:sz w:val="20"/>
          <w:szCs w:val="20"/>
          <w:color w:val="auto"/>
        </w:rPr>
      </w:pPr>
      <w:r>
        <w:rPr>
          <w:rFonts w:ascii="Arial" w:cs="Arial" w:eastAsia="Arial" w:hAnsi="Arial"/>
          <w:sz w:val="13"/>
          <w:szCs w:val="13"/>
          <w:color w:val="auto"/>
        </w:rPr>
        <w:t>Unless required by law, we undertake no obligation to publicly update or revise any forward-looking statements to reflect events or developments after the date of this prospectus.</w:t>
      </w:r>
    </w:p>
    <w:p>
      <w:pPr>
        <w:spacing w:after="0" w:line="262"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ABOUT THIS PROSPECTUS</w:t>
      </w:r>
    </w:p>
    <w:p>
      <w:pPr>
        <w:spacing w:after="0" w:line="104" w:lineRule="exact"/>
        <w:rPr>
          <w:sz w:val="20"/>
          <w:szCs w:val="20"/>
          <w:color w:val="auto"/>
        </w:rPr>
      </w:pPr>
    </w:p>
    <w:p>
      <w:pPr>
        <w:ind w:left="680" w:right="40" w:firstLine="399"/>
        <w:spacing w:after="0" w:line="294" w:lineRule="auto"/>
        <w:rPr>
          <w:sz w:val="20"/>
          <w:szCs w:val="20"/>
          <w:color w:val="auto"/>
        </w:rPr>
      </w:pPr>
      <w:r>
        <w:rPr>
          <w:rFonts w:ascii="Arial" w:cs="Arial" w:eastAsia="Arial" w:hAnsi="Arial"/>
          <w:sz w:val="13"/>
          <w:szCs w:val="13"/>
          <w:color w:val="auto"/>
        </w:rPr>
        <w:t>This prospectus is part of a registration statement we filed with the SEC using a “shelf” registration process. We may offer and sell any combination of the securities described in this prospectus from time to time up to an indeterminate dollar amount, in one or more offerings.</w:t>
      </w:r>
    </w:p>
    <w:p>
      <w:pPr>
        <w:spacing w:after="0" w:line="4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types of securities that we or selling securityholders may offer and sell from time to time pursuant to this prospectus are:</w:t>
      </w:r>
    </w:p>
    <w:p>
      <w:pPr>
        <w:spacing w:after="0" w:line="193" w:lineRule="exact"/>
        <w:rPr>
          <w:sz w:val="20"/>
          <w:szCs w:val="20"/>
          <w:color w:val="auto"/>
        </w:rPr>
      </w:pPr>
    </w:p>
    <w:p>
      <w:pPr>
        <w:ind w:left="1300" w:hanging="208"/>
        <w:spacing w:after="0"/>
        <w:tabs>
          <w:tab w:leader="none" w:pos="1300" w:val="left"/>
        </w:tabs>
        <w:numPr>
          <w:ilvl w:val="0"/>
          <w:numId w:val="6"/>
        </w:numPr>
        <w:rPr>
          <w:rFonts w:ascii="Arial" w:cs="Arial" w:eastAsia="Arial" w:hAnsi="Arial"/>
          <w:sz w:val="13"/>
          <w:szCs w:val="13"/>
          <w:color w:val="auto"/>
        </w:rPr>
      </w:pPr>
      <w:r>
        <w:rPr>
          <w:rFonts w:ascii="Arial" w:cs="Arial" w:eastAsia="Arial" w:hAnsi="Arial"/>
          <w:sz w:val="13"/>
          <w:szCs w:val="13"/>
          <w:color w:val="auto"/>
        </w:rPr>
        <w:t>debt securities;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6"/>
        </w:numPr>
        <w:rPr>
          <w:rFonts w:ascii="Arial" w:cs="Arial" w:eastAsia="Arial" w:hAnsi="Arial"/>
          <w:sz w:val="13"/>
          <w:szCs w:val="13"/>
          <w:color w:val="auto"/>
        </w:rPr>
      </w:pPr>
      <w:r>
        <w:rPr>
          <w:rFonts w:ascii="Arial" w:cs="Arial" w:eastAsia="Arial" w:hAnsi="Arial"/>
          <w:sz w:val="13"/>
          <w:szCs w:val="13"/>
          <w:color w:val="auto"/>
        </w:rPr>
        <w:t>common stock;</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6"/>
        </w:numPr>
        <w:rPr>
          <w:rFonts w:ascii="Arial" w:cs="Arial" w:eastAsia="Arial" w:hAnsi="Arial"/>
          <w:sz w:val="13"/>
          <w:szCs w:val="13"/>
          <w:color w:val="auto"/>
        </w:rPr>
      </w:pPr>
      <w:r>
        <w:rPr>
          <w:rFonts w:ascii="Arial" w:cs="Arial" w:eastAsia="Arial" w:hAnsi="Arial"/>
          <w:sz w:val="13"/>
          <w:szCs w:val="13"/>
          <w:color w:val="auto"/>
        </w:rPr>
        <w:t>preferred stock;</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6"/>
        </w:numPr>
        <w:rPr>
          <w:rFonts w:ascii="Arial" w:cs="Arial" w:eastAsia="Arial" w:hAnsi="Arial"/>
          <w:sz w:val="13"/>
          <w:szCs w:val="13"/>
          <w:color w:val="auto"/>
        </w:rPr>
      </w:pPr>
      <w:r>
        <w:rPr>
          <w:rFonts w:ascii="Arial" w:cs="Arial" w:eastAsia="Arial" w:hAnsi="Arial"/>
          <w:sz w:val="13"/>
          <w:szCs w:val="13"/>
          <w:color w:val="auto"/>
        </w:rPr>
        <w:t>warrants;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6"/>
        </w:numPr>
        <w:rPr>
          <w:rFonts w:ascii="Arial" w:cs="Arial" w:eastAsia="Arial" w:hAnsi="Arial"/>
          <w:sz w:val="13"/>
          <w:szCs w:val="13"/>
          <w:color w:val="auto"/>
        </w:rPr>
      </w:pPr>
      <w:r>
        <w:rPr>
          <w:rFonts w:ascii="Arial" w:cs="Arial" w:eastAsia="Arial" w:hAnsi="Arial"/>
          <w:sz w:val="13"/>
          <w:szCs w:val="13"/>
          <w:color w:val="auto"/>
        </w:rPr>
        <w:t>guarantees; and</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6"/>
        </w:numPr>
        <w:rPr>
          <w:rFonts w:ascii="Arial" w:cs="Arial" w:eastAsia="Arial" w:hAnsi="Arial"/>
          <w:sz w:val="13"/>
          <w:szCs w:val="13"/>
          <w:color w:val="auto"/>
        </w:rPr>
      </w:pPr>
      <w:r>
        <w:rPr>
          <w:rFonts w:ascii="Arial" w:cs="Arial" w:eastAsia="Arial" w:hAnsi="Arial"/>
          <w:sz w:val="13"/>
          <w:szCs w:val="13"/>
          <w:color w:val="auto"/>
        </w:rPr>
        <w:t>units consisting of any of the securities listed above.</w:t>
      </w:r>
    </w:p>
    <w:p>
      <w:pPr>
        <w:spacing w:after="0" w:line="102" w:lineRule="exact"/>
        <w:rPr>
          <w:sz w:val="20"/>
          <w:szCs w:val="20"/>
          <w:color w:val="auto"/>
        </w:rPr>
      </w:pPr>
    </w:p>
    <w:p>
      <w:pPr>
        <w:ind w:left="680" w:right="300" w:firstLine="399"/>
        <w:spacing w:after="0" w:line="338" w:lineRule="auto"/>
        <w:rPr>
          <w:sz w:val="20"/>
          <w:szCs w:val="20"/>
          <w:color w:val="auto"/>
        </w:rPr>
      </w:pPr>
      <w:r>
        <w:rPr>
          <w:rFonts w:ascii="Arial" w:cs="Arial" w:eastAsia="Arial" w:hAnsi="Arial"/>
          <w:sz w:val="12"/>
          <w:szCs w:val="12"/>
          <w:color w:val="auto"/>
        </w:rPr>
        <w:t>Each time we or selling securityholders sell securities pursuant to this prospectus, we will describe in a prospectus supplement, which will be delivered with this prospectus, specific information about the offering and the terms of the particular securities offered. In each prospectus supplement we will include the following information, if applicable:</w:t>
      </w:r>
    </w:p>
    <w:p>
      <w:pPr>
        <w:spacing w:after="0" w:line="24" w:lineRule="exact"/>
        <w:rPr>
          <w:sz w:val="20"/>
          <w:szCs w:val="20"/>
          <w:color w:val="auto"/>
        </w:rPr>
      </w:pPr>
    </w:p>
    <w:p>
      <w:pPr>
        <w:ind w:left="1300" w:hanging="208"/>
        <w:spacing w:after="0"/>
        <w:tabs>
          <w:tab w:leader="none" w:pos="1300"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 type and amount of securities that we or selling securityholders propose to sell;</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 initial public offering price of the securities;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 names of any underwriters or agents through or to which we or selling securityholders will sell the securities;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7"/>
        </w:numPr>
        <w:rPr>
          <w:rFonts w:ascii="Arial" w:cs="Arial" w:eastAsia="Arial" w:hAnsi="Arial"/>
          <w:sz w:val="13"/>
          <w:szCs w:val="13"/>
          <w:color w:val="auto"/>
        </w:rPr>
      </w:pPr>
      <w:r>
        <w:rPr>
          <w:rFonts w:ascii="Arial" w:cs="Arial" w:eastAsia="Arial" w:hAnsi="Arial"/>
          <w:sz w:val="13"/>
          <w:szCs w:val="13"/>
          <w:color w:val="auto"/>
        </w:rPr>
        <w:t>any compensation of those underwriters or agents; and</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7"/>
        </w:numPr>
        <w:rPr>
          <w:rFonts w:ascii="Arial" w:cs="Arial" w:eastAsia="Arial" w:hAnsi="Arial"/>
          <w:sz w:val="13"/>
          <w:szCs w:val="13"/>
          <w:color w:val="auto"/>
        </w:rPr>
      </w:pPr>
      <w:r>
        <w:rPr>
          <w:rFonts w:ascii="Arial" w:cs="Arial" w:eastAsia="Arial" w:hAnsi="Arial"/>
          <w:sz w:val="13"/>
          <w:szCs w:val="13"/>
          <w:color w:val="auto"/>
        </w:rPr>
        <w:t>information about any securities exchanges or automated quotation systems on which the securities will be listed or traded.</w:t>
      </w:r>
    </w:p>
    <w:p>
      <w:pPr>
        <w:spacing w:after="0" w:line="102"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In addition, the prospectus supplement may also add, update or change the information contained in this prospectus. You should read this prospectus and the applicable</w:t>
      </w:r>
    </w:p>
    <w:p>
      <w:pPr>
        <w:spacing w:after="0" w:line="22" w:lineRule="exact"/>
        <w:rPr>
          <w:sz w:val="20"/>
          <w:szCs w:val="20"/>
          <w:color w:val="auto"/>
        </w:rPr>
      </w:pPr>
    </w:p>
    <w:p>
      <w:pPr>
        <w:jc w:val="center"/>
        <w:ind w:right="-499"/>
        <w:spacing w:after="0"/>
        <w:rPr>
          <w:sz w:val="20"/>
          <w:szCs w:val="20"/>
          <w:color w:val="auto"/>
        </w:rPr>
      </w:pPr>
      <w:r>
        <w:rPr>
          <w:rFonts w:ascii="Arial" w:cs="Arial" w:eastAsia="Arial" w:hAnsi="Arial"/>
          <w:sz w:val="12"/>
          <w:szCs w:val="12"/>
          <w:color w:val="auto"/>
        </w:rPr>
        <w:t>prospectus supplement together with the additional information described under the headings “Documents Incorporated by Reference” and “Where You Can Find More Information.”</w:t>
      </w:r>
    </w:p>
    <w:p>
      <w:pPr>
        <w:spacing w:after="0" w:line="103" w:lineRule="exact"/>
        <w:rPr>
          <w:sz w:val="20"/>
          <w:szCs w:val="20"/>
          <w:color w:val="auto"/>
        </w:rPr>
      </w:pPr>
    </w:p>
    <w:p>
      <w:pPr>
        <w:ind w:left="680" w:right="20" w:firstLine="399"/>
        <w:spacing w:after="0" w:line="270" w:lineRule="auto"/>
        <w:rPr>
          <w:sz w:val="20"/>
          <w:szCs w:val="20"/>
          <w:color w:val="auto"/>
        </w:rPr>
      </w:pPr>
      <w:r>
        <w:rPr>
          <w:rFonts w:ascii="Arial" w:cs="Arial" w:eastAsia="Arial" w:hAnsi="Arial"/>
          <w:sz w:val="13"/>
          <w:szCs w:val="13"/>
          <w:color w:val="auto"/>
        </w:rPr>
        <w:t>Wherever references are made in this prospectus to information that will be included in a prospectus supplement, to the extent permitted by applicable law, rules or regulations, we may instead include such information or add, update or change the information contained in this prospectus (i) by means of a post-effective amendment to the registration statement of which this prospectus is a part; (ii) through filings we make with the SEC that are incorporated by reference into this prospectus; or (iii) by any other method as may then be permitted under applicable law, rules or regulations.</w:t>
      </w:r>
    </w:p>
    <w:p>
      <w:pPr>
        <w:spacing w:after="0" w:line="274"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INCORPORATION OF CERTAIN DOCUMENTS BY REFERENCE</w:t>
      </w:r>
    </w:p>
    <w:p>
      <w:pPr>
        <w:spacing w:after="0" w:line="104" w:lineRule="exact"/>
        <w:rPr>
          <w:sz w:val="20"/>
          <w:szCs w:val="20"/>
          <w:color w:val="auto"/>
        </w:rPr>
      </w:pPr>
    </w:p>
    <w:p>
      <w:pPr>
        <w:jc w:val="both"/>
        <w:ind w:left="680" w:right="140" w:firstLine="399"/>
        <w:spacing w:after="0" w:line="276" w:lineRule="auto"/>
        <w:rPr>
          <w:sz w:val="20"/>
          <w:szCs w:val="20"/>
          <w:color w:val="auto"/>
        </w:rPr>
      </w:pPr>
      <w:r>
        <w:rPr>
          <w:rFonts w:ascii="Arial" w:cs="Arial" w:eastAsia="Arial" w:hAnsi="Arial"/>
          <w:sz w:val="13"/>
          <w:szCs w:val="13"/>
          <w:color w:val="auto"/>
        </w:rPr>
        <w:t>THIS PROSPECTUS INCORPORATES DOCUMENTS BY REFERENCE WHICH ARE NOT PRESENTED IN OR DELIVERED WITH THIS PROSPECTUS. WE HAVE NOT AUTHORIZED ANYONE TO PROVIDE YOU WITH INFORMATION THAT IS DIFFERENT FROM OR IN ADDITION TO THE INFORMATION CONTAINED IN THIS DOCUMENT AND INCORPORATED BY REFERENCE INTO THIS PROSPECTUS.</w:t>
      </w:r>
    </w:p>
    <w:p>
      <w:pPr>
        <w:spacing w:after="0" w:line="59" w:lineRule="exact"/>
        <w:rPr>
          <w:sz w:val="20"/>
          <w:szCs w:val="20"/>
          <w:color w:val="auto"/>
        </w:rPr>
      </w:pPr>
    </w:p>
    <w:p>
      <w:pPr>
        <w:ind w:left="680" w:right="140" w:firstLine="399"/>
        <w:spacing w:after="0" w:line="270" w:lineRule="auto"/>
        <w:rPr>
          <w:sz w:val="20"/>
          <w:szCs w:val="20"/>
          <w:color w:val="auto"/>
        </w:rPr>
      </w:pPr>
      <w:r>
        <w:rPr>
          <w:rFonts w:ascii="Arial" w:cs="Arial" w:eastAsia="Arial" w:hAnsi="Arial"/>
          <w:sz w:val="13"/>
          <w:szCs w:val="13"/>
          <w:color w:val="auto"/>
        </w:rPr>
        <w:t>We incorporate information into this prospectus by reference, which means that we disclose important information to you by referring you to another document filed separately with the SEC. The information incorporated by reference is deemed to be part of this prospectus, except to the extent superseded by information contained herein or by information contained in documents filed with or furnished to the SEC after the date of this prospectus. This prospectus incorporates by reference the documents set forth below that have been previously filed with the SEC. These documents contain important information about us and our financial condition.</w:t>
      </w:r>
    </w:p>
    <w:p>
      <w:pPr>
        <w:spacing w:after="0" w:line="67" w:lineRule="exact"/>
        <w:rPr>
          <w:sz w:val="20"/>
          <w:szCs w:val="20"/>
          <w:color w:val="auto"/>
        </w:rPr>
      </w:pPr>
    </w:p>
    <w:tbl>
      <w:tblPr>
        <w:tblLayout w:type="fixed"/>
        <w:tblInd w:w="680" w:type="dxa"/>
        <w:tblCellMar>
          <w:top w:w="0" w:type="dxa"/>
          <w:left w:w="0" w:type="dxa"/>
          <w:bottom w:w="0" w:type="dxa"/>
          <w:right w:w="0" w:type="dxa"/>
        </w:tblCellMar>
      </w:tblPr>
      <w:tr>
        <w:trPr>
          <w:trHeight w:val="138"/>
        </w:trPr>
        <w:tc>
          <w:tcPr>
            <w:tcW w:w="8280" w:type="dxa"/>
            <w:vAlign w:val="bottom"/>
            <w:gridSpan w:val="2"/>
          </w:tcPr>
          <w:p>
            <w:pPr>
              <w:spacing w:after="0"/>
              <w:rPr>
                <w:sz w:val="20"/>
                <w:szCs w:val="20"/>
                <w:color w:val="auto"/>
              </w:rPr>
            </w:pPr>
            <w:r>
              <w:rPr>
                <w:rFonts w:ascii="Arial" w:cs="Arial" w:eastAsia="Arial" w:hAnsi="Arial"/>
                <w:sz w:val="11"/>
                <w:szCs w:val="11"/>
                <w:b w:val="1"/>
                <w:bCs w:val="1"/>
                <w:color w:val="auto"/>
              </w:rPr>
              <w:t>SEC Filing (Our SEC File Number is 1-1254)</w:t>
            </w:r>
          </w:p>
        </w:tc>
        <w:tc>
          <w:tcPr>
            <w:tcW w:w="1700" w:type="dxa"/>
            <w:vAlign w:val="bottom"/>
          </w:tcPr>
          <w:p>
            <w:pPr>
              <w:ind w:left="800"/>
              <w:spacing w:after="0"/>
              <w:rPr>
                <w:sz w:val="20"/>
                <w:szCs w:val="20"/>
                <w:color w:val="auto"/>
              </w:rPr>
            </w:pPr>
            <w:r>
              <w:rPr>
                <w:rFonts w:ascii="Arial" w:cs="Arial" w:eastAsia="Arial" w:hAnsi="Arial"/>
                <w:sz w:val="11"/>
                <w:szCs w:val="11"/>
                <w:b w:val="1"/>
                <w:bCs w:val="1"/>
                <w:color w:val="auto"/>
              </w:rPr>
              <w:t>Date Filed</w:t>
            </w:r>
          </w:p>
        </w:tc>
      </w:tr>
      <w:tr>
        <w:trPr>
          <w:trHeight w:val="30"/>
        </w:trPr>
        <w:tc>
          <w:tcPr>
            <w:tcW w:w="80" w:type="dxa"/>
            <w:vAlign w:val="bottom"/>
            <w:tcBorders>
              <w:top w:val="single" w:sz="8" w:color="auto"/>
            </w:tcBorders>
          </w:tcPr>
          <w:p>
            <w:pPr>
              <w:spacing w:after="0"/>
              <w:rPr>
                <w:sz w:val="2"/>
                <w:szCs w:val="2"/>
                <w:color w:val="auto"/>
              </w:rPr>
            </w:pPr>
          </w:p>
        </w:tc>
        <w:tc>
          <w:tcPr>
            <w:tcW w:w="82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150"/>
        </w:trPr>
        <w:tc>
          <w:tcPr>
            <w:tcW w:w="8280" w:type="dxa"/>
            <w:vAlign w:val="bottom"/>
            <w:gridSpan w:val="2"/>
            <w:shd w:val="clear" w:color="auto" w:fill="CCEEFF"/>
          </w:tcPr>
          <w:p>
            <w:pPr>
              <w:spacing w:after="0"/>
              <w:rPr>
                <w:sz w:val="20"/>
                <w:szCs w:val="20"/>
                <w:color w:val="auto"/>
              </w:rPr>
            </w:pPr>
            <w:r>
              <w:rPr>
                <w:rFonts w:ascii="Arial" w:cs="Arial" w:eastAsia="Arial" w:hAnsi="Arial"/>
                <w:sz w:val="13"/>
                <w:szCs w:val="13"/>
                <w:color w:val="auto"/>
                <w:w w:val="98"/>
              </w:rPr>
              <w:t>Annual Report on Form 10-K (including the portions of our proxy statement for our 2009 annual meeting of stockholders incorporated by reference</w:t>
            </w:r>
          </w:p>
        </w:tc>
        <w:tc>
          <w:tcPr>
            <w:tcW w:w="1700" w:type="dxa"/>
            <w:vAlign w:val="bottom"/>
            <w:shd w:val="clear" w:color="auto" w:fill="CCEEFF"/>
          </w:tcPr>
          <w:p>
            <w:pPr>
              <w:spacing w:after="0"/>
              <w:rPr>
                <w:sz w:val="13"/>
                <w:szCs w:val="13"/>
                <w:color w:val="auto"/>
              </w:rPr>
            </w:pPr>
          </w:p>
        </w:tc>
      </w:tr>
      <w:tr>
        <w:trPr>
          <w:trHeight w:val="172"/>
        </w:trPr>
        <w:tc>
          <w:tcPr>
            <w:tcW w:w="80" w:type="dxa"/>
            <w:vAlign w:val="bottom"/>
            <w:shd w:val="clear" w:color="auto" w:fill="CCEEFF"/>
          </w:tcPr>
          <w:p>
            <w:pPr>
              <w:spacing w:after="0"/>
              <w:rPr>
                <w:sz w:val="14"/>
                <w:szCs w:val="14"/>
                <w:color w:val="auto"/>
              </w:rPr>
            </w:pPr>
          </w:p>
        </w:tc>
        <w:tc>
          <w:tcPr>
            <w:tcW w:w="8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therein) for the year ended December 31, 2008</w:t>
            </w:r>
          </w:p>
        </w:tc>
        <w:tc>
          <w:tcPr>
            <w:tcW w:w="1700" w:type="dxa"/>
            <w:vAlign w:val="bottom"/>
            <w:shd w:val="clear" w:color="auto" w:fill="CCEEFF"/>
          </w:tcPr>
          <w:p>
            <w:pPr>
              <w:jc w:val="center"/>
              <w:ind w:right="14"/>
              <w:spacing w:after="0"/>
              <w:rPr>
                <w:sz w:val="20"/>
                <w:szCs w:val="20"/>
                <w:color w:val="auto"/>
              </w:rPr>
            </w:pPr>
            <w:r>
              <w:rPr>
                <w:rFonts w:ascii="Arial" w:cs="Arial" w:eastAsia="Arial" w:hAnsi="Arial"/>
                <w:sz w:val="13"/>
                <w:szCs w:val="13"/>
                <w:color w:val="auto"/>
                <w:w w:val="92"/>
              </w:rPr>
              <w:t>February 17, 2009</w:t>
            </w:r>
          </w:p>
        </w:tc>
      </w:tr>
      <w:tr>
        <w:trPr>
          <w:trHeight w:val="161"/>
        </w:trPr>
        <w:tc>
          <w:tcPr>
            <w:tcW w:w="8280" w:type="dxa"/>
            <w:vAlign w:val="bottom"/>
            <w:gridSpan w:val="2"/>
          </w:tcPr>
          <w:p>
            <w:pPr>
              <w:spacing w:after="0"/>
              <w:rPr>
                <w:sz w:val="20"/>
                <w:szCs w:val="20"/>
                <w:color w:val="auto"/>
              </w:rPr>
            </w:pPr>
            <w:r>
              <w:rPr>
                <w:rFonts w:ascii="Arial" w:cs="Arial" w:eastAsia="Arial" w:hAnsi="Arial"/>
                <w:sz w:val="13"/>
                <w:szCs w:val="13"/>
                <w:color w:val="auto"/>
              </w:rPr>
              <w:t>Quarterly report on Form 10-Q for the quarter ended March 31, 2009</w:t>
            </w:r>
          </w:p>
        </w:tc>
        <w:tc>
          <w:tcPr>
            <w:tcW w:w="1700" w:type="dxa"/>
            <w:vAlign w:val="bottom"/>
          </w:tcPr>
          <w:p>
            <w:pPr>
              <w:jc w:val="center"/>
              <w:ind w:right="14"/>
              <w:spacing w:after="0"/>
              <w:rPr>
                <w:sz w:val="20"/>
                <w:szCs w:val="20"/>
                <w:color w:val="auto"/>
              </w:rPr>
            </w:pPr>
            <w:r>
              <w:rPr>
                <w:rFonts w:ascii="Arial" w:cs="Arial" w:eastAsia="Arial" w:hAnsi="Arial"/>
                <w:sz w:val="13"/>
                <w:szCs w:val="13"/>
                <w:color w:val="auto"/>
                <w:w w:val="97"/>
              </w:rPr>
              <w:t>April 29, 2009</w:t>
            </w:r>
          </w:p>
        </w:tc>
      </w:tr>
      <w:tr>
        <w:trPr>
          <w:trHeight w:val="161"/>
        </w:trPr>
        <w:tc>
          <w:tcPr>
            <w:tcW w:w="8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Quarterly Report on Form 10-Q for the quarter ended June 30, 2009</w:t>
            </w:r>
          </w:p>
        </w:tc>
        <w:tc>
          <w:tcPr>
            <w:tcW w:w="1700" w:type="dxa"/>
            <w:vAlign w:val="bottom"/>
            <w:shd w:val="clear" w:color="auto" w:fill="CCEEFF"/>
          </w:tcPr>
          <w:p>
            <w:pPr>
              <w:jc w:val="center"/>
              <w:ind w:right="14"/>
              <w:spacing w:after="0"/>
              <w:rPr>
                <w:sz w:val="20"/>
                <w:szCs w:val="20"/>
                <w:color w:val="auto"/>
              </w:rPr>
            </w:pPr>
            <w:r>
              <w:rPr>
                <w:rFonts w:ascii="Arial" w:cs="Arial" w:eastAsia="Arial" w:hAnsi="Arial"/>
                <w:sz w:val="13"/>
                <w:szCs w:val="13"/>
                <w:color w:val="auto"/>
                <w:w w:val="95"/>
              </w:rPr>
              <w:t>July 30, 2009</w:t>
            </w:r>
          </w:p>
        </w:tc>
      </w:tr>
      <w:tr>
        <w:trPr>
          <w:trHeight w:val="161"/>
        </w:trPr>
        <w:tc>
          <w:tcPr>
            <w:tcW w:w="8280" w:type="dxa"/>
            <w:vAlign w:val="bottom"/>
            <w:gridSpan w:val="2"/>
          </w:tcPr>
          <w:p>
            <w:pPr>
              <w:spacing w:after="0"/>
              <w:rPr>
                <w:sz w:val="20"/>
                <w:szCs w:val="20"/>
                <w:color w:val="auto"/>
              </w:rPr>
            </w:pPr>
            <w:r>
              <w:rPr>
                <w:rFonts w:ascii="Arial" w:cs="Arial" w:eastAsia="Arial" w:hAnsi="Arial"/>
                <w:sz w:val="13"/>
                <w:szCs w:val="13"/>
                <w:color w:val="auto"/>
              </w:rPr>
              <w:t>Current Report on Form 8-K</w:t>
            </w:r>
          </w:p>
        </w:tc>
        <w:tc>
          <w:tcPr>
            <w:tcW w:w="1700" w:type="dxa"/>
            <w:vAlign w:val="bottom"/>
          </w:tcPr>
          <w:p>
            <w:pPr>
              <w:jc w:val="center"/>
              <w:ind w:right="14"/>
              <w:spacing w:after="0"/>
              <w:rPr>
                <w:sz w:val="20"/>
                <w:szCs w:val="20"/>
                <w:color w:val="auto"/>
              </w:rPr>
            </w:pPr>
            <w:r>
              <w:rPr>
                <w:rFonts w:ascii="Arial" w:cs="Arial" w:eastAsia="Arial" w:hAnsi="Arial"/>
                <w:sz w:val="13"/>
                <w:szCs w:val="13"/>
                <w:color w:val="auto"/>
                <w:w w:val="92"/>
              </w:rPr>
              <w:t>February 26, 2009</w:t>
            </w:r>
          </w:p>
        </w:tc>
      </w:tr>
      <w:tr>
        <w:trPr>
          <w:trHeight w:val="161"/>
        </w:trPr>
        <w:tc>
          <w:tcPr>
            <w:tcW w:w="8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Current Report on Form 8-K</w:t>
            </w:r>
          </w:p>
        </w:tc>
        <w:tc>
          <w:tcPr>
            <w:tcW w:w="1700" w:type="dxa"/>
            <w:vAlign w:val="bottom"/>
            <w:shd w:val="clear" w:color="auto" w:fill="CCEEFF"/>
          </w:tcPr>
          <w:p>
            <w:pPr>
              <w:jc w:val="center"/>
              <w:ind w:right="14"/>
              <w:spacing w:after="0"/>
              <w:rPr>
                <w:sz w:val="20"/>
                <w:szCs w:val="20"/>
                <w:color w:val="auto"/>
              </w:rPr>
            </w:pPr>
            <w:r>
              <w:rPr>
                <w:rFonts w:ascii="Arial" w:cs="Arial" w:eastAsia="Arial" w:hAnsi="Arial"/>
                <w:sz w:val="13"/>
                <w:szCs w:val="13"/>
                <w:color w:val="auto"/>
                <w:w w:val="92"/>
              </w:rPr>
              <w:t>February 27, 2009</w:t>
            </w:r>
          </w:p>
        </w:tc>
      </w:tr>
      <w:tr>
        <w:trPr>
          <w:trHeight w:val="161"/>
        </w:trPr>
        <w:tc>
          <w:tcPr>
            <w:tcW w:w="8280" w:type="dxa"/>
            <w:vAlign w:val="bottom"/>
            <w:gridSpan w:val="2"/>
          </w:tcPr>
          <w:p>
            <w:pPr>
              <w:spacing w:after="0"/>
              <w:rPr>
                <w:sz w:val="20"/>
                <w:szCs w:val="20"/>
                <w:color w:val="auto"/>
              </w:rPr>
            </w:pPr>
            <w:r>
              <w:rPr>
                <w:rFonts w:ascii="Arial" w:cs="Arial" w:eastAsia="Arial" w:hAnsi="Arial"/>
                <w:sz w:val="13"/>
                <w:szCs w:val="13"/>
                <w:color w:val="auto"/>
              </w:rPr>
              <w:t>Current Report on Form 8-K</w:t>
            </w:r>
          </w:p>
        </w:tc>
        <w:tc>
          <w:tcPr>
            <w:tcW w:w="1700" w:type="dxa"/>
            <w:vAlign w:val="bottom"/>
          </w:tcPr>
          <w:p>
            <w:pPr>
              <w:jc w:val="center"/>
              <w:ind w:right="14"/>
              <w:spacing w:after="0"/>
              <w:rPr>
                <w:sz w:val="20"/>
                <w:szCs w:val="20"/>
                <w:color w:val="auto"/>
              </w:rPr>
            </w:pPr>
            <w:r>
              <w:rPr>
                <w:rFonts w:ascii="Arial" w:cs="Arial" w:eastAsia="Arial" w:hAnsi="Arial"/>
                <w:sz w:val="13"/>
                <w:szCs w:val="13"/>
                <w:color w:val="auto"/>
                <w:w w:val="93"/>
              </w:rPr>
              <w:t>March 2, 2009</w:t>
            </w:r>
          </w:p>
        </w:tc>
      </w:tr>
      <w:tr>
        <w:trPr>
          <w:trHeight w:val="161"/>
        </w:trPr>
        <w:tc>
          <w:tcPr>
            <w:tcW w:w="8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Current Report on Form 8-K</w:t>
            </w:r>
          </w:p>
        </w:tc>
        <w:tc>
          <w:tcPr>
            <w:tcW w:w="1700" w:type="dxa"/>
            <w:vAlign w:val="bottom"/>
            <w:shd w:val="clear" w:color="auto" w:fill="CCEEFF"/>
          </w:tcPr>
          <w:p>
            <w:pPr>
              <w:jc w:val="center"/>
              <w:ind w:right="14"/>
              <w:spacing w:after="0"/>
              <w:rPr>
                <w:sz w:val="20"/>
                <w:szCs w:val="20"/>
                <w:color w:val="auto"/>
              </w:rPr>
            </w:pPr>
            <w:r>
              <w:rPr>
                <w:rFonts w:ascii="Arial" w:cs="Arial" w:eastAsia="Arial" w:hAnsi="Arial"/>
                <w:sz w:val="13"/>
                <w:szCs w:val="13"/>
                <w:color w:val="auto"/>
                <w:w w:val="93"/>
              </w:rPr>
              <w:t>May 12, 2009</w:t>
            </w:r>
          </w:p>
        </w:tc>
      </w:tr>
      <w:tr>
        <w:trPr>
          <w:trHeight w:val="172"/>
        </w:trPr>
        <w:tc>
          <w:tcPr>
            <w:tcW w:w="8280" w:type="dxa"/>
            <w:vAlign w:val="bottom"/>
            <w:gridSpan w:val="2"/>
          </w:tcPr>
          <w:p>
            <w:pPr>
              <w:spacing w:after="0"/>
              <w:rPr>
                <w:sz w:val="20"/>
                <w:szCs w:val="20"/>
                <w:color w:val="auto"/>
              </w:rPr>
            </w:pPr>
            <w:r>
              <w:rPr>
                <w:rFonts w:ascii="Arial" w:cs="Arial" w:eastAsia="Arial" w:hAnsi="Arial"/>
                <w:sz w:val="13"/>
                <w:szCs w:val="13"/>
                <w:color w:val="auto"/>
              </w:rPr>
              <w:t>Description of our Common Stock on Form 8-B</w:t>
            </w:r>
          </w:p>
        </w:tc>
        <w:tc>
          <w:tcPr>
            <w:tcW w:w="1700" w:type="dxa"/>
            <w:vAlign w:val="bottom"/>
          </w:tcPr>
          <w:p>
            <w:pPr>
              <w:jc w:val="center"/>
              <w:ind w:right="14"/>
              <w:spacing w:after="0"/>
              <w:rPr>
                <w:sz w:val="20"/>
                <w:szCs w:val="20"/>
                <w:color w:val="auto"/>
              </w:rPr>
            </w:pPr>
            <w:r>
              <w:rPr>
                <w:rFonts w:ascii="Arial" w:cs="Arial" w:eastAsia="Arial" w:hAnsi="Arial"/>
                <w:sz w:val="13"/>
                <w:szCs w:val="13"/>
                <w:color w:val="auto"/>
                <w:w w:val="95"/>
              </w:rPr>
              <w:t>July 13, 1995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6193790</wp:posOffset>
            </wp:positionH>
            <wp:positionV relativeFrom="paragraph">
              <wp:posOffset>-959485</wp:posOffset>
            </wp:positionV>
            <wp:extent cx="12700"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49" w:lineRule="exact"/>
        <w:rPr>
          <w:sz w:val="20"/>
          <w:szCs w:val="20"/>
          <w:color w:val="auto"/>
        </w:rPr>
      </w:pPr>
    </w:p>
    <w:p>
      <w:pPr>
        <w:ind w:left="680" w:right="80" w:firstLine="399"/>
        <w:spacing w:after="0" w:line="267" w:lineRule="auto"/>
        <w:rPr>
          <w:sz w:val="20"/>
          <w:szCs w:val="20"/>
          <w:color w:val="auto"/>
        </w:rPr>
      </w:pPr>
      <w:r>
        <w:rPr>
          <w:rFonts w:ascii="Arial" w:cs="Arial" w:eastAsia="Arial" w:hAnsi="Arial"/>
          <w:sz w:val="13"/>
          <w:szCs w:val="13"/>
          <w:color w:val="auto"/>
        </w:rPr>
        <w:t>We also incorporate by reference into this prospectus additional documents that we may file with the SEC under Section 13(a), 13(c), 14 or 15(d) of the Exchange Act from the date of this prospectus until all of the securities offered by this prospectus have been issued as described in this prospectus. These documents may include annual reports on Form 10-K, quarterly reports on Form 10-Q and current reports on Form 8-K, as well as proxy statements. We are not incorporating by reference any information furnished under items 2.02 or 7.01 (or corresponding information furnished under item 9.01 or included as an exhibit) in any past or future current report on Form 8-K that we may file with the SEC, unless otherwise specified in such current report.</w:t>
      </w:r>
    </w:p>
    <w:p>
      <w:pPr>
        <w:spacing w:after="0" w:line="65"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You may obtain copies of any of these filings through Waste Management as described below, or through the SEC or through the SEC’s Internet website as described below. Documents incorporated by reference are available without charge, excluding all exhibits unless an exhibit has been specifically incorporated by reference into this prospectus, by requesting them in writing, by telephone or via the Internet at:</w:t>
      </w:r>
    </w:p>
    <w:p>
      <w:pPr>
        <w:spacing w:after="0" w:line="220"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Waste Management, Inc.</w:t>
      </w:r>
    </w:p>
    <w:p>
      <w:pPr>
        <w:spacing w:after="0" w:line="22"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1001 Fannin Street, Suite 4000</w:t>
      </w:r>
    </w:p>
    <w:p>
      <w:pPr>
        <w:spacing w:after="0" w:line="12"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Houston, Texas 77002</w:t>
      </w:r>
    </w:p>
    <w:p>
      <w:pPr>
        <w:spacing w:after="0" w:line="12"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Attn: Corporate Secretary</w:t>
      </w:r>
    </w:p>
    <w:p>
      <w:pPr>
        <w:spacing w:after="0" w:line="12"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713-512-6200</w:t>
      </w:r>
    </w:p>
    <w:p>
      <w:pPr>
        <w:spacing w:after="0" w:line="12" w:lineRule="exact"/>
        <w:rPr>
          <w:sz w:val="20"/>
          <w:szCs w:val="20"/>
          <w:color w:val="auto"/>
        </w:rPr>
      </w:pPr>
    </w:p>
    <w:p>
      <w:pPr>
        <w:jc w:val="center"/>
        <w:ind w:right="-699"/>
        <w:spacing w:after="0"/>
        <w:rPr>
          <w:sz w:val="20"/>
          <w:szCs w:val="20"/>
          <w:color w:val="auto"/>
        </w:rPr>
      </w:pPr>
      <w:r>
        <w:rPr>
          <w:rFonts w:ascii="Arial" w:cs="Arial" w:eastAsia="Arial" w:hAnsi="Arial"/>
          <w:sz w:val="13"/>
          <w:szCs w:val="13"/>
          <w:u w:val="single" w:color="auto"/>
          <w:color w:val="auto"/>
        </w:rPr>
        <w:t>www.wm.com</w:t>
      </w:r>
    </w:p>
    <w:p>
      <w:pPr>
        <w:spacing w:after="0" w:line="9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THE INFORMATION CONTAINED ON OUR WEBSITE DOES NOT CONSTITUTE A PART OF THIS PROSPECTUS.</w:t>
      </w:r>
    </w:p>
    <w:p>
      <w:pPr>
        <w:spacing w:after="0" w:line="31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WHERE YOU CAN FIND MORE INFORMATION</w:t>
      </w:r>
    </w:p>
    <w:p>
      <w:pPr>
        <w:spacing w:after="0" w:line="104" w:lineRule="exact"/>
        <w:rPr>
          <w:sz w:val="20"/>
          <w:szCs w:val="20"/>
          <w:color w:val="auto"/>
        </w:rPr>
      </w:pPr>
    </w:p>
    <w:p>
      <w:pPr>
        <w:ind w:left="680" w:right="60" w:firstLine="399"/>
        <w:spacing w:after="0" w:line="270" w:lineRule="auto"/>
        <w:rPr>
          <w:sz w:val="20"/>
          <w:szCs w:val="20"/>
          <w:color w:val="auto"/>
        </w:rPr>
      </w:pPr>
      <w:r>
        <w:rPr>
          <w:rFonts w:ascii="Arial" w:cs="Arial" w:eastAsia="Arial" w:hAnsi="Arial"/>
          <w:sz w:val="13"/>
          <w:szCs w:val="13"/>
          <w:color w:val="auto"/>
        </w:rPr>
        <w:t xml:space="preserve">We file annual, quarterly and current reports, proxy statements and other information with the SEC. You can read and copy these materials at the SEC’s public reference room at 100 F Street, N.E., Washington, D.C. 20549. You can obtain information about the operation of the SEC’s public reference room by calling the SEC at 1-800-SEC-0330. The SEC also maintains an Internet site that contains information we have filed electronically with the SEC, which you can access over the Internet at </w:t>
      </w:r>
      <w:r>
        <w:rPr>
          <w:rFonts w:ascii="Arial" w:cs="Arial" w:eastAsia="Arial" w:hAnsi="Arial"/>
          <w:sz w:val="13"/>
          <w:szCs w:val="13"/>
          <w:i w:val="1"/>
          <w:iCs w:val="1"/>
          <w:color w:val="auto"/>
        </w:rPr>
        <w:t>http://www.sec.gov</w:t>
      </w:r>
      <w:r>
        <w:rPr>
          <w:rFonts w:ascii="Arial" w:cs="Arial" w:eastAsia="Arial" w:hAnsi="Arial"/>
          <w:sz w:val="13"/>
          <w:szCs w:val="13"/>
          <w:color w:val="auto"/>
        </w:rPr>
        <w:t>. You can also obtain information about us at the offices of the New York Stock Exchange, 20 Broad Street, New York, New York 10005.</w:t>
      </w:r>
    </w:p>
    <w:p>
      <w:pPr>
        <w:spacing w:after="0" w:line="63" w:lineRule="exact"/>
        <w:rPr>
          <w:sz w:val="20"/>
          <w:szCs w:val="20"/>
          <w:color w:val="auto"/>
        </w:rPr>
      </w:pPr>
    </w:p>
    <w:p>
      <w:pPr>
        <w:ind w:left="680" w:firstLine="399"/>
        <w:spacing w:after="0" w:line="270" w:lineRule="auto"/>
        <w:rPr>
          <w:sz w:val="20"/>
          <w:szCs w:val="20"/>
          <w:color w:val="auto"/>
        </w:rPr>
      </w:pPr>
      <w:r>
        <w:rPr>
          <w:rFonts w:ascii="Arial" w:cs="Arial" w:eastAsia="Arial" w:hAnsi="Arial"/>
          <w:sz w:val="13"/>
          <w:szCs w:val="13"/>
          <w:color w:val="auto"/>
        </w:rPr>
        <w:t>This prospectus is part of a registration statement we have filed with the SEC relating to the securities we may offer. As permitted by SEC rules, this prospectus does not contain all of the information we have included in the registration statement and the accompanying exhibits and schedules we file with the SEC. You may refer to the registration statement, exhibits and schedules for more information about us and the securities. The registration statement, exhibits and schedules are available at the SEC’s public reference room or through its Internet site.</w:t>
      </w:r>
    </w:p>
    <w:p>
      <w:pPr>
        <w:spacing w:after="0" w:line="222"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THE COMPANY</w:t>
      </w:r>
    </w:p>
    <w:p>
      <w:pPr>
        <w:spacing w:after="0" w:line="104" w:lineRule="exact"/>
        <w:rPr>
          <w:sz w:val="20"/>
          <w:szCs w:val="20"/>
          <w:color w:val="auto"/>
        </w:rPr>
      </w:pPr>
    </w:p>
    <w:p>
      <w:pPr>
        <w:ind w:left="680" w:right="20" w:firstLine="399"/>
        <w:spacing w:after="0" w:line="299" w:lineRule="auto"/>
        <w:rPr>
          <w:sz w:val="20"/>
          <w:szCs w:val="20"/>
          <w:color w:val="auto"/>
        </w:rPr>
      </w:pPr>
      <w:r>
        <w:rPr>
          <w:rFonts w:ascii="Arial" w:cs="Arial" w:eastAsia="Arial" w:hAnsi="Arial"/>
          <w:sz w:val="12"/>
          <w:szCs w:val="12"/>
          <w:color w:val="auto"/>
        </w:rPr>
        <w:t>We are the leading provider of integrated waste services in North America. Using our vast network of assets and employees, we provide a comprehensive range of waste management services. Through our subsidiaries we provide collection, transfer, recycling, disposal and waste-to-energy services. In providing these services, we actively pursue projects and initiatives that we believe make a positive difference for our environment, including recovering and processing the methane gas produced naturally by landfills into a renewable energy source. Our customers include commercial, industrial, municipal and residential customers, other waste management companies, electric utilities and governmental entities.</w:t>
      </w:r>
    </w:p>
    <w:p>
      <w:pPr>
        <w:spacing w:after="0" w:line="4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principal executive offices are located at 1001 Fannin Street, Suite 4000, Houston, Texas 77002 and our telephone number is (713) 512-6200.</w:t>
      </w:r>
    </w:p>
    <w:p>
      <w:pPr>
        <w:spacing w:after="0" w:line="262"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RISK FACTORS</w:t>
      </w:r>
    </w:p>
    <w:p>
      <w:pPr>
        <w:spacing w:after="0" w:line="104" w:lineRule="exact"/>
        <w:rPr>
          <w:sz w:val="20"/>
          <w:szCs w:val="20"/>
          <w:color w:val="auto"/>
        </w:rPr>
      </w:pPr>
    </w:p>
    <w:p>
      <w:pPr>
        <w:jc w:val="both"/>
        <w:ind w:left="680" w:right="40" w:firstLine="399"/>
        <w:spacing w:after="0" w:line="309" w:lineRule="auto"/>
        <w:rPr>
          <w:sz w:val="20"/>
          <w:szCs w:val="20"/>
          <w:color w:val="auto"/>
        </w:rPr>
      </w:pPr>
      <w:r>
        <w:rPr>
          <w:rFonts w:ascii="Arial" w:cs="Arial" w:eastAsia="Arial" w:hAnsi="Arial"/>
          <w:sz w:val="12"/>
          <w:szCs w:val="12"/>
          <w:color w:val="auto"/>
        </w:rPr>
        <w:t>Investment in any securities offered pursuant to this prospectus involves risk. Before acquiring any such securities, you should carefully consider the risk factors incorporated by reference to our most recent Annual Report on Form 10-K and each subsequently filed Quarterly Report on Form 10-Q, the other information contained or incorporated by reference in this prospectus, as updated by our subsequent filings under the Exchange Act, and the risk factors and other information contained in the applicable prospectus supplement.</w:t>
      </w:r>
    </w:p>
    <w:p>
      <w:pPr>
        <w:spacing w:after="0" w:line="201" w:lineRule="exact"/>
        <w:rPr>
          <w:sz w:val="20"/>
          <w:szCs w:val="20"/>
          <w:color w:val="auto"/>
        </w:rPr>
      </w:pPr>
    </w:p>
    <w:p>
      <w:pPr>
        <w:ind w:left="4300"/>
        <w:spacing w:after="0"/>
        <w:rPr>
          <w:sz w:val="20"/>
          <w:szCs w:val="20"/>
          <w:color w:val="auto"/>
        </w:rPr>
      </w:pPr>
      <w:r>
        <w:rPr>
          <w:rFonts w:ascii="Arial" w:cs="Arial" w:eastAsia="Arial" w:hAnsi="Arial"/>
          <w:sz w:val="13"/>
          <w:szCs w:val="13"/>
          <w:b w:val="1"/>
          <w:bCs w:val="1"/>
          <w:color w:val="auto"/>
        </w:rPr>
        <w:t>RATIO OF EARNINGS TO FIXED CHARGES</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sets forth our ratio of earnings to fixed charges for the periods indicated:</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5560" w:type="dxa"/>
            <w:vAlign w:val="bottom"/>
          </w:tcPr>
          <w:p>
            <w:pPr>
              <w:spacing w:after="0"/>
              <w:rPr>
                <w:sz w:val="10"/>
                <w:szCs w:val="10"/>
                <w:color w:val="auto"/>
              </w:rPr>
            </w:pPr>
          </w:p>
        </w:tc>
        <w:tc>
          <w:tcPr>
            <w:tcW w:w="800" w:type="dxa"/>
            <w:vAlign w:val="bottom"/>
          </w:tcPr>
          <w:p>
            <w:pPr>
              <w:jc w:val="center"/>
              <w:ind w:left="126"/>
              <w:spacing w:after="0"/>
              <w:rPr>
                <w:sz w:val="20"/>
                <w:szCs w:val="20"/>
                <w:color w:val="auto"/>
              </w:rPr>
            </w:pPr>
            <w:r>
              <w:rPr>
                <w:rFonts w:ascii="Arial" w:cs="Arial" w:eastAsia="Arial" w:hAnsi="Arial"/>
                <w:sz w:val="11"/>
                <w:szCs w:val="11"/>
                <w:b w:val="1"/>
                <w:bCs w:val="1"/>
                <w:color w:val="auto"/>
                <w:w w:val="91"/>
              </w:rPr>
              <w:t>For the</w:t>
            </w: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560" w:type="dxa"/>
            <w:vAlign w:val="bottom"/>
          </w:tcPr>
          <w:p>
            <w:pPr>
              <w:spacing w:after="0"/>
              <w:rPr>
                <w:sz w:val="10"/>
                <w:szCs w:val="10"/>
                <w:color w:val="auto"/>
              </w:rPr>
            </w:pPr>
          </w:p>
        </w:tc>
        <w:tc>
          <w:tcPr>
            <w:tcW w:w="800" w:type="dxa"/>
            <w:vAlign w:val="bottom"/>
          </w:tcPr>
          <w:p>
            <w:pPr>
              <w:jc w:val="center"/>
              <w:ind w:left="126"/>
              <w:spacing w:after="0" w:line="121" w:lineRule="exact"/>
              <w:rPr>
                <w:sz w:val="20"/>
                <w:szCs w:val="20"/>
                <w:color w:val="auto"/>
              </w:rPr>
            </w:pPr>
            <w:r>
              <w:rPr>
                <w:rFonts w:ascii="Arial" w:cs="Arial" w:eastAsia="Arial" w:hAnsi="Arial"/>
                <w:sz w:val="11"/>
                <w:szCs w:val="11"/>
                <w:b w:val="1"/>
                <w:bCs w:val="1"/>
                <w:color w:val="auto"/>
                <w:w w:val="91"/>
              </w:rPr>
              <w:t>Six Months</w:t>
            </w: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0" w:type="dxa"/>
            <w:vAlign w:val="bottom"/>
            <w:gridSpan w:val="6"/>
            <w:vMerge w:val="restart"/>
          </w:tcPr>
          <w:p>
            <w:pPr>
              <w:ind w:left="240"/>
              <w:spacing w:after="0"/>
              <w:rPr>
                <w:sz w:val="20"/>
                <w:szCs w:val="20"/>
                <w:color w:val="auto"/>
              </w:rPr>
            </w:pPr>
            <w:r>
              <w:rPr>
                <w:rFonts w:ascii="Arial" w:cs="Arial" w:eastAsia="Arial" w:hAnsi="Arial"/>
                <w:sz w:val="11"/>
                <w:szCs w:val="11"/>
                <w:b w:val="1"/>
                <w:bCs w:val="1"/>
                <w:color w:val="auto"/>
              </w:rPr>
              <w:t>Year Ended December 31,</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5560" w:type="dxa"/>
            <w:vAlign w:val="bottom"/>
          </w:tcPr>
          <w:p>
            <w:pPr>
              <w:spacing w:after="0"/>
              <w:rPr>
                <w:sz w:val="10"/>
                <w:szCs w:val="10"/>
                <w:color w:val="auto"/>
              </w:rPr>
            </w:pPr>
          </w:p>
        </w:tc>
        <w:tc>
          <w:tcPr>
            <w:tcW w:w="800" w:type="dxa"/>
            <w:vAlign w:val="bottom"/>
          </w:tcPr>
          <w:p>
            <w:pPr>
              <w:jc w:val="center"/>
              <w:ind w:left="126"/>
              <w:spacing w:after="0" w:line="118" w:lineRule="exact"/>
              <w:rPr>
                <w:sz w:val="20"/>
                <w:szCs w:val="20"/>
                <w:color w:val="auto"/>
              </w:rPr>
            </w:pPr>
            <w:r>
              <w:rPr>
                <w:rFonts w:ascii="Arial" w:cs="Arial" w:eastAsia="Arial" w:hAnsi="Arial"/>
                <w:sz w:val="11"/>
                <w:szCs w:val="11"/>
                <w:b w:val="1"/>
                <w:bCs w:val="1"/>
                <w:color w:val="auto"/>
                <w:w w:val="89"/>
              </w:rPr>
              <w:t>Ended</w:t>
            </w: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000" w:type="dxa"/>
            <w:vAlign w:val="bottom"/>
            <w:tcBorders>
              <w:bottom w:val="single" w:sz="8" w:color="auto"/>
            </w:tcBorders>
            <w:gridSpan w:val="6"/>
            <w:vMerge w:val="continue"/>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5560" w:type="dxa"/>
            <w:vAlign w:val="bottom"/>
          </w:tcPr>
          <w:p>
            <w:pPr>
              <w:spacing w:after="0"/>
              <w:rPr>
                <w:sz w:val="8"/>
                <w:szCs w:val="8"/>
                <w:color w:val="auto"/>
              </w:rPr>
            </w:pPr>
          </w:p>
        </w:tc>
        <w:tc>
          <w:tcPr>
            <w:tcW w:w="800" w:type="dxa"/>
            <w:vAlign w:val="bottom"/>
            <w:tcBorders>
              <w:bottom w:val="single" w:sz="8" w:color="auto"/>
            </w:tcBorders>
          </w:tcPr>
          <w:p>
            <w:pPr>
              <w:jc w:val="center"/>
              <w:ind w:left="126"/>
              <w:spacing w:after="0" w:line="101" w:lineRule="exact"/>
              <w:rPr>
                <w:sz w:val="20"/>
                <w:szCs w:val="20"/>
                <w:color w:val="auto"/>
              </w:rPr>
            </w:pPr>
            <w:r>
              <w:rPr>
                <w:rFonts w:ascii="Arial" w:cs="Arial" w:eastAsia="Arial" w:hAnsi="Arial"/>
                <w:sz w:val="11"/>
                <w:szCs w:val="11"/>
                <w:b w:val="1"/>
                <w:bCs w:val="1"/>
                <w:color w:val="auto"/>
                <w:w w:val="86"/>
              </w:rPr>
              <w:t>June 30, 2009</w:t>
            </w:r>
          </w:p>
        </w:tc>
        <w:tc>
          <w:tcPr>
            <w:tcW w:w="1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Borders>
              <w:bottom w:val="single" w:sz="8" w:color="auto"/>
            </w:tcBorders>
          </w:tcPr>
          <w:p>
            <w:pPr>
              <w:jc w:val="right"/>
              <w:spacing w:after="0" w:line="101" w:lineRule="exact"/>
              <w:rPr>
                <w:sz w:val="20"/>
                <w:szCs w:val="20"/>
                <w:color w:val="auto"/>
              </w:rPr>
            </w:pPr>
            <w:r>
              <w:rPr>
                <w:rFonts w:ascii="Arial" w:cs="Arial" w:eastAsia="Arial" w:hAnsi="Arial"/>
                <w:sz w:val="11"/>
                <w:szCs w:val="11"/>
                <w:b w:val="1"/>
                <w:bCs w:val="1"/>
                <w:color w:val="auto"/>
                <w:w w:val="97"/>
              </w:rPr>
              <w:t>2008</w:t>
            </w:r>
          </w:p>
        </w:tc>
        <w:tc>
          <w:tcPr>
            <w:tcW w:w="360" w:type="dxa"/>
            <w:vAlign w:val="bottom"/>
          </w:tcPr>
          <w:p>
            <w:pPr>
              <w:spacing w:after="0"/>
              <w:rPr>
                <w:sz w:val="8"/>
                <w:szCs w:val="8"/>
                <w:color w:val="auto"/>
              </w:rPr>
            </w:pPr>
          </w:p>
        </w:tc>
        <w:tc>
          <w:tcPr>
            <w:tcW w:w="280" w:type="dxa"/>
            <w:vAlign w:val="bottom"/>
            <w:tcBorders>
              <w:bottom w:val="single" w:sz="8" w:color="auto"/>
            </w:tcBorders>
          </w:tcPr>
          <w:p>
            <w:pPr>
              <w:jc w:val="right"/>
              <w:spacing w:after="0" w:line="101" w:lineRule="exact"/>
              <w:rPr>
                <w:sz w:val="20"/>
                <w:szCs w:val="20"/>
                <w:color w:val="auto"/>
              </w:rPr>
            </w:pPr>
            <w:r>
              <w:rPr>
                <w:rFonts w:ascii="Arial" w:cs="Arial" w:eastAsia="Arial" w:hAnsi="Arial"/>
                <w:sz w:val="11"/>
                <w:szCs w:val="11"/>
                <w:b w:val="1"/>
                <w:bCs w:val="1"/>
                <w:color w:val="auto"/>
                <w:w w:val="97"/>
              </w:rPr>
              <w:t>2007</w:t>
            </w:r>
          </w:p>
        </w:tc>
        <w:tc>
          <w:tcPr>
            <w:tcW w:w="380" w:type="dxa"/>
            <w:vAlign w:val="bottom"/>
          </w:tcPr>
          <w:p>
            <w:pPr>
              <w:spacing w:after="0"/>
              <w:rPr>
                <w:sz w:val="8"/>
                <w:szCs w:val="8"/>
                <w:color w:val="auto"/>
              </w:rPr>
            </w:pPr>
          </w:p>
        </w:tc>
        <w:tc>
          <w:tcPr>
            <w:tcW w:w="300" w:type="dxa"/>
            <w:vAlign w:val="bottom"/>
            <w:tcBorders>
              <w:bottom w:val="single" w:sz="8" w:color="auto"/>
            </w:tcBorders>
          </w:tcPr>
          <w:p>
            <w:pPr>
              <w:jc w:val="right"/>
              <w:spacing w:after="0" w:line="101" w:lineRule="exact"/>
              <w:rPr>
                <w:sz w:val="20"/>
                <w:szCs w:val="20"/>
                <w:color w:val="auto"/>
              </w:rPr>
            </w:pPr>
            <w:r>
              <w:rPr>
                <w:rFonts w:ascii="Arial" w:cs="Arial" w:eastAsia="Arial" w:hAnsi="Arial"/>
                <w:sz w:val="11"/>
                <w:szCs w:val="11"/>
                <w:b w:val="1"/>
                <w:bCs w:val="1"/>
                <w:color w:val="auto"/>
                <w:w w:val="97"/>
              </w:rPr>
              <w:t>2006</w:t>
            </w:r>
          </w:p>
        </w:tc>
        <w:tc>
          <w:tcPr>
            <w:tcW w:w="380" w:type="dxa"/>
            <w:vAlign w:val="bottom"/>
          </w:tcPr>
          <w:p>
            <w:pPr>
              <w:spacing w:after="0"/>
              <w:rPr>
                <w:sz w:val="8"/>
                <w:szCs w:val="8"/>
                <w:color w:val="auto"/>
              </w:rPr>
            </w:pPr>
          </w:p>
        </w:tc>
        <w:tc>
          <w:tcPr>
            <w:tcW w:w="280" w:type="dxa"/>
            <w:vAlign w:val="bottom"/>
            <w:tcBorders>
              <w:bottom w:val="single" w:sz="8" w:color="auto"/>
            </w:tcBorders>
          </w:tcPr>
          <w:p>
            <w:pPr>
              <w:jc w:val="right"/>
              <w:spacing w:after="0" w:line="101" w:lineRule="exact"/>
              <w:rPr>
                <w:sz w:val="20"/>
                <w:szCs w:val="20"/>
                <w:color w:val="auto"/>
              </w:rPr>
            </w:pPr>
            <w:r>
              <w:rPr>
                <w:rFonts w:ascii="Arial" w:cs="Arial" w:eastAsia="Arial" w:hAnsi="Arial"/>
                <w:sz w:val="11"/>
                <w:szCs w:val="11"/>
                <w:b w:val="1"/>
                <w:bCs w:val="1"/>
                <w:color w:val="auto"/>
                <w:w w:val="89"/>
              </w:rPr>
              <w:t>2005</w:t>
            </w:r>
          </w:p>
        </w:tc>
        <w:tc>
          <w:tcPr>
            <w:tcW w:w="380" w:type="dxa"/>
            <w:vAlign w:val="bottom"/>
          </w:tcPr>
          <w:p>
            <w:pPr>
              <w:spacing w:after="0"/>
              <w:rPr>
                <w:sz w:val="8"/>
                <w:szCs w:val="8"/>
                <w:color w:val="auto"/>
              </w:rPr>
            </w:pPr>
          </w:p>
        </w:tc>
        <w:tc>
          <w:tcPr>
            <w:tcW w:w="340" w:type="dxa"/>
            <w:vAlign w:val="bottom"/>
            <w:tcBorders>
              <w:bottom w:val="single" w:sz="8" w:color="auto"/>
            </w:tcBorders>
          </w:tcPr>
          <w:p>
            <w:pPr>
              <w:jc w:val="right"/>
              <w:spacing w:after="0" w:line="101" w:lineRule="exact"/>
              <w:rPr>
                <w:sz w:val="20"/>
                <w:szCs w:val="20"/>
                <w:color w:val="auto"/>
              </w:rPr>
            </w:pPr>
            <w:r>
              <w:rPr>
                <w:rFonts w:ascii="Arial" w:cs="Arial" w:eastAsia="Arial" w:hAnsi="Arial"/>
                <w:sz w:val="11"/>
                <w:szCs w:val="11"/>
                <w:b w:val="1"/>
                <w:bCs w:val="1"/>
                <w:color w:val="auto"/>
              </w:rPr>
              <w:t>2004</w:t>
            </w:r>
          </w:p>
        </w:tc>
        <w:tc>
          <w:tcPr>
            <w:tcW w:w="0" w:type="dxa"/>
            <w:vAlign w:val="bottom"/>
          </w:tcPr>
          <w:p>
            <w:pPr>
              <w:spacing w:after="0"/>
              <w:rPr>
                <w:sz w:val="1"/>
                <w:szCs w:val="1"/>
                <w:color w:val="auto"/>
              </w:rPr>
            </w:pPr>
          </w:p>
        </w:tc>
      </w:tr>
      <w:tr>
        <w:trPr>
          <w:trHeight w:val="191"/>
        </w:trPr>
        <w:tc>
          <w:tcPr>
            <w:tcW w:w="6360" w:type="dxa"/>
            <w:vAlign w:val="bottom"/>
            <w:gridSpan w:val="2"/>
          </w:tcPr>
          <w:p>
            <w:pPr>
              <w:spacing w:after="0"/>
              <w:rPr>
                <w:sz w:val="20"/>
                <w:szCs w:val="20"/>
                <w:color w:val="auto"/>
              </w:rPr>
            </w:pPr>
            <w:r>
              <w:rPr>
                <w:rFonts w:ascii="Arial" w:cs="Arial" w:eastAsia="Arial" w:hAnsi="Arial"/>
                <w:sz w:val="13"/>
                <w:szCs w:val="13"/>
                <w:color w:val="auto"/>
              </w:rPr>
              <w:t>Ratio of earnings to fixed charges</w:t>
            </w:r>
          </w:p>
        </w:tc>
        <w:tc>
          <w:tcPr>
            <w:tcW w:w="540" w:type="dxa"/>
            <w:vAlign w:val="bottom"/>
            <w:gridSpan w:val="2"/>
          </w:tcPr>
          <w:p>
            <w:pPr>
              <w:ind w:left="20"/>
              <w:spacing w:after="0"/>
              <w:rPr>
                <w:sz w:val="20"/>
                <w:szCs w:val="20"/>
                <w:color w:val="auto"/>
              </w:rPr>
            </w:pPr>
            <w:r>
              <w:rPr>
                <w:rFonts w:ascii="Arial" w:cs="Arial" w:eastAsia="Arial" w:hAnsi="Arial"/>
                <w:sz w:val="13"/>
                <w:szCs w:val="13"/>
                <w:color w:val="auto"/>
              </w:rPr>
              <w:t>3.9x</w:t>
            </w:r>
          </w:p>
        </w:tc>
        <w:tc>
          <w:tcPr>
            <w:tcW w:w="660" w:type="dxa"/>
            <w:vAlign w:val="bottom"/>
            <w:gridSpan w:val="2"/>
          </w:tcPr>
          <w:p>
            <w:pPr>
              <w:ind w:left="120"/>
              <w:spacing w:after="0"/>
              <w:rPr>
                <w:sz w:val="20"/>
                <w:szCs w:val="20"/>
                <w:color w:val="auto"/>
              </w:rPr>
            </w:pPr>
            <w:r>
              <w:rPr>
                <w:rFonts w:ascii="Arial" w:cs="Arial" w:eastAsia="Arial" w:hAnsi="Arial"/>
                <w:sz w:val="13"/>
                <w:szCs w:val="13"/>
                <w:color w:val="auto"/>
              </w:rPr>
              <w:t>4.5x</w:t>
            </w:r>
          </w:p>
        </w:tc>
        <w:tc>
          <w:tcPr>
            <w:tcW w:w="660" w:type="dxa"/>
            <w:vAlign w:val="bottom"/>
            <w:gridSpan w:val="2"/>
          </w:tcPr>
          <w:p>
            <w:pPr>
              <w:ind w:left="120"/>
              <w:spacing w:after="0"/>
              <w:rPr>
                <w:sz w:val="20"/>
                <w:szCs w:val="20"/>
                <w:color w:val="auto"/>
              </w:rPr>
            </w:pPr>
            <w:r>
              <w:rPr>
                <w:rFonts w:ascii="Arial" w:cs="Arial" w:eastAsia="Arial" w:hAnsi="Arial"/>
                <w:sz w:val="13"/>
                <w:szCs w:val="13"/>
                <w:color w:val="auto"/>
              </w:rPr>
              <w:t>4.0x</w:t>
            </w:r>
          </w:p>
        </w:tc>
        <w:tc>
          <w:tcPr>
            <w:tcW w:w="680" w:type="dxa"/>
            <w:vAlign w:val="bottom"/>
            <w:gridSpan w:val="2"/>
          </w:tcPr>
          <w:p>
            <w:pPr>
              <w:ind w:left="120"/>
              <w:spacing w:after="0"/>
              <w:rPr>
                <w:sz w:val="20"/>
                <w:szCs w:val="20"/>
                <w:color w:val="auto"/>
              </w:rPr>
            </w:pPr>
            <w:r>
              <w:rPr>
                <w:rFonts w:ascii="Arial" w:cs="Arial" w:eastAsia="Arial" w:hAnsi="Arial"/>
                <w:sz w:val="13"/>
                <w:szCs w:val="13"/>
                <w:color w:val="auto"/>
              </w:rPr>
              <w:t>3.5x</w:t>
            </w:r>
          </w:p>
        </w:tc>
        <w:tc>
          <w:tcPr>
            <w:tcW w:w="660" w:type="dxa"/>
            <w:vAlign w:val="bottom"/>
            <w:gridSpan w:val="2"/>
          </w:tcPr>
          <w:p>
            <w:pPr>
              <w:ind w:left="120"/>
              <w:spacing w:after="0"/>
              <w:rPr>
                <w:sz w:val="20"/>
                <w:szCs w:val="20"/>
                <w:color w:val="auto"/>
              </w:rPr>
            </w:pPr>
            <w:r>
              <w:rPr>
                <w:rFonts w:ascii="Arial" w:cs="Arial" w:eastAsia="Arial" w:hAnsi="Arial"/>
                <w:sz w:val="13"/>
                <w:szCs w:val="13"/>
                <w:color w:val="auto"/>
              </w:rPr>
              <w:t>3.2x</w:t>
            </w:r>
          </w:p>
        </w:tc>
        <w:tc>
          <w:tcPr>
            <w:tcW w:w="340" w:type="dxa"/>
            <w:vAlign w:val="bottom"/>
          </w:tcPr>
          <w:p>
            <w:pPr>
              <w:jc w:val="right"/>
              <w:spacing w:after="0"/>
              <w:rPr>
                <w:sz w:val="20"/>
                <w:szCs w:val="20"/>
                <w:color w:val="auto"/>
              </w:rPr>
            </w:pPr>
            <w:r>
              <w:rPr>
                <w:rFonts w:ascii="Arial" w:cs="Arial" w:eastAsia="Arial" w:hAnsi="Arial"/>
                <w:sz w:val="13"/>
                <w:szCs w:val="13"/>
                <w:color w:val="auto"/>
              </w:rPr>
              <w:t>3.5x</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80" w:right="220" w:firstLine="399"/>
        <w:spacing w:after="0" w:line="294" w:lineRule="auto"/>
        <w:rPr>
          <w:sz w:val="20"/>
          <w:szCs w:val="20"/>
          <w:color w:val="auto"/>
        </w:rPr>
      </w:pPr>
      <w:r>
        <w:rPr>
          <w:rFonts w:ascii="Arial" w:cs="Arial" w:eastAsia="Arial" w:hAnsi="Arial"/>
          <w:sz w:val="13"/>
          <w:szCs w:val="13"/>
          <w:color w:val="auto"/>
        </w:rPr>
        <w:t>For the purposes of computing these ratios, earnings represents income before income taxes and losses in equity investments plus interest expense and implicit interest in rent expense. Fixed charges consists of interest expense, capitalized interest and implicit interest in rent expense.</w:t>
      </w:r>
    </w:p>
    <w:p>
      <w:pPr>
        <w:spacing w:after="0" w:line="20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USE OF PROCEEDS</w:t>
      </w:r>
    </w:p>
    <w:p>
      <w:pPr>
        <w:spacing w:after="0" w:line="104" w:lineRule="exact"/>
        <w:rPr>
          <w:sz w:val="20"/>
          <w:szCs w:val="20"/>
          <w:color w:val="auto"/>
        </w:rPr>
      </w:pPr>
    </w:p>
    <w:p>
      <w:pPr>
        <w:ind w:left="680" w:right="360" w:firstLine="399"/>
        <w:spacing w:after="0" w:line="294" w:lineRule="auto"/>
        <w:rPr>
          <w:sz w:val="20"/>
          <w:szCs w:val="20"/>
          <w:color w:val="auto"/>
        </w:rPr>
      </w:pPr>
      <w:r>
        <w:rPr>
          <w:rFonts w:ascii="Arial" w:cs="Arial" w:eastAsia="Arial" w:hAnsi="Arial"/>
          <w:sz w:val="13"/>
          <w:szCs w:val="13"/>
          <w:color w:val="auto"/>
        </w:rPr>
        <w:t>Unless otherwise indicated in an accompanying prospectus supplement, we intend to use the net proceeds we receive from the sale of securities by us for general corporate purposes, which may include additions to working capital, refinancing existing indebtedness, capital expenditures and possible acquisitions. Unless</w:t>
      </w:r>
    </w:p>
    <w:p>
      <w:pPr>
        <w:spacing w:after="0" w:line="258"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otherwise specified in the applicable prospectus supplement, we will not receive any proceeds from the sale of securities by selling securityholders.</w:t>
      </w:r>
    </w:p>
    <w:p>
      <w:pPr>
        <w:spacing w:after="0" w:line="262"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DESCRIPTION OF THE DEBT SECURITIES</w:t>
      </w:r>
    </w:p>
    <w:p>
      <w:pPr>
        <w:spacing w:after="0" w:line="104" w:lineRule="exact"/>
        <w:rPr>
          <w:sz w:val="20"/>
          <w:szCs w:val="20"/>
          <w:color w:val="auto"/>
        </w:rPr>
      </w:pPr>
    </w:p>
    <w:p>
      <w:pPr>
        <w:ind w:left="680" w:firstLine="399"/>
        <w:spacing w:after="0" w:line="270" w:lineRule="auto"/>
        <w:rPr>
          <w:sz w:val="20"/>
          <w:szCs w:val="20"/>
          <w:color w:val="auto"/>
        </w:rPr>
      </w:pPr>
      <w:r>
        <w:rPr>
          <w:rFonts w:ascii="Arial" w:cs="Arial" w:eastAsia="Arial" w:hAnsi="Arial"/>
          <w:sz w:val="13"/>
          <w:szCs w:val="13"/>
          <w:color w:val="auto"/>
        </w:rPr>
        <w:t>The debt securities covered by this prospectus will be our general unsecured obligations. We will issue senior debt securities on a senior unsecured basis under an indenture, dated as of September 10, 1997, among Waste Management, as issuer, and Texas Commerce Bank National Association (now known as The Bank of New York Trust Company, N.A.), as trustee. We will issue subordinated debt securities under an indenture dated as of February 1, 1997, among Waste Management, as issuer, and The Bank of New York Trust Company, N.A., as trustee. The indentures are substantially identical, except for provisions relating to subordination and covenants.</w:t>
      </w:r>
    </w:p>
    <w:p>
      <w:pPr>
        <w:spacing w:after="0" w:line="63" w:lineRule="exact"/>
        <w:rPr>
          <w:sz w:val="20"/>
          <w:szCs w:val="20"/>
          <w:color w:val="auto"/>
        </w:rPr>
      </w:pPr>
    </w:p>
    <w:p>
      <w:pPr>
        <w:ind w:left="680" w:right="60" w:firstLine="399"/>
        <w:spacing w:after="0" w:line="270" w:lineRule="auto"/>
        <w:rPr>
          <w:sz w:val="20"/>
          <w:szCs w:val="20"/>
          <w:color w:val="auto"/>
        </w:rPr>
      </w:pPr>
      <w:r>
        <w:rPr>
          <w:rFonts w:ascii="Arial" w:cs="Arial" w:eastAsia="Arial" w:hAnsi="Arial"/>
          <w:sz w:val="13"/>
          <w:szCs w:val="13"/>
          <w:color w:val="auto"/>
        </w:rPr>
        <w:t>We have summarized material provisions of the indentures and the debt securities below. This summary is not complete, and is subject, and qualified in its entirety by reference, to all the provisions of the applicable indenture, including the definition of certain terms. We have filed the indentures with the SEC as exhibits to the registration statement, and you should read the indentures for provisions that may be important to you. The following sets forth certain general terms and provisions of any debt securities offered by this prospectus. The particular terms of debt securities will be described in the prospectus supplement relating to those offered debt securities.</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Provisions Applicable to Each Indenture</w:t>
      </w:r>
    </w:p>
    <w:p>
      <w:pPr>
        <w:spacing w:after="0" w:line="104" w:lineRule="exact"/>
        <w:rPr>
          <w:sz w:val="20"/>
          <w:szCs w:val="20"/>
          <w:color w:val="auto"/>
        </w:rPr>
      </w:pPr>
    </w:p>
    <w:p>
      <w:pPr>
        <w:ind w:left="680" w:right="120" w:firstLine="399"/>
        <w:spacing w:after="0" w:line="294" w:lineRule="auto"/>
        <w:rPr>
          <w:sz w:val="20"/>
          <w:szCs w:val="20"/>
          <w:color w:val="auto"/>
        </w:rPr>
      </w:pPr>
      <w:r>
        <w:rPr>
          <w:rFonts w:ascii="Arial" w:cs="Arial" w:eastAsia="Arial" w:hAnsi="Arial"/>
          <w:sz w:val="13"/>
          <w:szCs w:val="13"/>
          <w:i w:val="1"/>
          <w:iCs w:val="1"/>
          <w:color w:val="auto"/>
        </w:rPr>
        <w:t xml:space="preserve">General. </w:t>
      </w:r>
      <w:r>
        <w:rPr>
          <w:rFonts w:ascii="Arial" w:cs="Arial" w:eastAsia="Arial" w:hAnsi="Arial"/>
          <w:sz w:val="13"/>
          <w:szCs w:val="13"/>
          <w:color w:val="auto"/>
        </w:rPr>
        <w:t>Neither indenture limits the amount of debt securities that may be issued under that indenture, and neither limits the amount of other unsecured debt or securities that</w:t>
      </w:r>
      <w:r>
        <w:rPr>
          <w:rFonts w:ascii="Arial" w:cs="Arial" w:eastAsia="Arial" w:hAnsi="Arial"/>
          <w:sz w:val="13"/>
          <w:szCs w:val="13"/>
          <w:i w:val="1"/>
          <w:iCs w:val="1"/>
          <w:color w:val="auto"/>
        </w:rPr>
        <w:t xml:space="preserve"> </w:t>
      </w:r>
      <w:r>
        <w:rPr>
          <w:rFonts w:ascii="Arial" w:cs="Arial" w:eastAsia="Arial" w:hAnsi="Arial"/>
          <w:sz w:val="13"/>
          <w:szCs w:val="13"/>
          <w:color w:val="auto"/>
        </w:rPr>
        <w:t>we may issue. We may issue debt securities under the indentures from time to time in one or more series, each in an amount authorized prior to issuance.</w:t>
      </w:r>
    </w:p>
    <w:p>
      <w:pPr>
        <w:spacing w:after="0" w:line="47" w:lineRule="exact"/>
        <w:rPr>
          <w:sz w:val="20"/>
          <w:szCs w:val="20"/>
          <w:color w:val="auto"/>
        </w:rPr>
      </w:pPr>
    </w:p>
    <w:p>
      <w:pPr>
        <w:ind w:left="680" w:right="80" w:firstLine="399"/>
        <w:spacing w:after="0" w:line="294" w:lineRule="auto"/>
        <w:rPr>
          <w:sz w:val="20"/>
          <w:szCs w:val="20"/>
          <w:color w:val="auto"/>
        </w:rPr>
      </w:pPr>
      <w:r>
        <w:rPr>
          <w:rFonts w:ascii="Arial" w:cs="Arial" w:eastAsia="Arial" w:hAnsi="Arial"/>
          <w:sz w:val="13"/>
          <w:szCs w:val="13"/>
          <w:i w:val="1"/>
          <w:iCs w:val="1"/>
          <w:color w:val="auto"/>
        </w:rPr>
        <w:t xml:space="preserve">Terms. </w:t>
      </w:r>
      <w:r>
        <w:rPr>
          <w:rFonts w:ascii="Arial" w:cs="Arial" w:eastAsia="Arial" w:hAnsi="Arial"/>
          <w:sz w:val="13"/>
          <w:szCs w:val="13"/>
          <w:color w:val="auto"/>
        </w:rPr>
        <w:t>The prospectus supplement relating to any series of debt securities being offered will include specific terms relating to the offering. These terms will include some or all</w:t>
      </w:r>
      <w:r>
        <w:rPr>
          <w:rFonts w:ascii="Arial" w:cs="Arial" w:eastAsia="Arial" w:hAnsi="Arial"/>
          <w:sz w:val="13"/>
          <w:szCs w:val="13"/>
          <w:i w:val="1"/>
          <w:iCs w:val="1"/>
          <w:color w:val="auto"/>
        </w:rPr>
        <w:t xml:space="preserve"> </w:t>
      </w:r>
      <w:r>
        <w:rPr>
          <w:rFonts w:ascii="Arial" w:cs="Arial" w:eastAsia="Arial" w:hAnsi="Arial"/>
          <w:sz w:val="13"/>
          <w:szCs w:val="13"/>
          <w:color w:val="auto"/>
        </w:rPr>
        <w:t>of the following:</w:t>
      </w:r>
    </w:p>
    <w:p>
      <w:pPr>
        <w:spacing w:after="0" w:line="47" w:lineRule="exact"/>
        <w:rPr>
          <w:sz w:val="20"/>
          <w:szCs w:val="20"/>
          <w:color w:val="auto"/>
        </w:rPr>
      </w:pPr>
    </w:p>
    <w:p>
      <w:pPr>
        <w:ind w:left="1300" w:hanging="208"/>
        <w:spacing w:after="0"/>
        <w:tabs>
          <w:tab w:leader="none" w:pos="1300" w:val="left"/>
        </w:tabs>
        <w:numPr>
          <w:ilvl w:val="0"/>
          <w:numId w:val="8"/>
        </w:numPr>
        <w:rPr>
          <w:rFonts w:ascii="Arial" w:cs="Arial" w:eastAsia="Arial" w:hAnsi="Arial"/>
          <w:sz w:val="13"/>
          <w:szCs w:val="13"/>
          <w:color w:val="auto"/>
        </w:rPr>
      </w:pPr>
      <w:r>
        <w:rPr>
          <w:rFonts w:ascii="Arial" w:cs="Arial" w:eastAsia="Arial" w:hAnsi="Arial"/>
          <w:sz w:val="13"/>
          <w:szCs w:val="13"/>
          <w:color w:val="auto"/>
        </w:rPr>
        <w:t>whether the debt securities will be senior or subordinated debt securities;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 title of the debt securities;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 total principal amount of the debt securities;</w:t>
      </w:r>
    </w:p>
    <w:p>
      <w:pPr>
        <w:spacing w:after="0" w:line="92" w:lineRule="exact"/>
        <w:rPr>
          <w:rFonts w:ascii="Arial" w:cs="Arial" w:eastAsia="Arial" w:hAnsi="Arial"/>
          <w:sz w:val="13"/>
          <w:szCs w:val="13"/>
          <w:color w:val="auto"/>
        </w:rPr>
      </w:pPr>
    </w:p>
    <w:p>
      <w:pPr>
        <w:ind w:left="1300" w:right="20" w:hanging="208"/>
        <w:spacing w:after="0" w:line="294" w:lineRule="auto"/>
        <w:tabs>
          <w:tab w:leader="none" w:pos="1300" w:val="left"/>
        </w:tabs>
        <w:numPr>
          <w:ilvl w:val="0"/>
          <w:numId w:val="8"/>
        </w:numPr>
        <w:rPr>
          <w:rFonts w:ascii="Arial" w:cs="Arial" w:eastAsia="Arial" w:hAnsi="Arial"/>
          <w:sz w:val="13"/>
          <w:szCs w:val="13"/>
          <w:color w:val="auto"/>
        </w:rPr>
      </w:pPr>
      <w:r>
        <w:rPr>
          <w:rFonts w:ascii="Arial" w:cs="Arial" w:eastAsia="Arial" w:hAnsi="Arial"/>
          <w:sz w:val="13"/>
          <w:szCs w:val="13"/>
          <w:color w:val="auto"/>
        </w:rPr>
        <w:t>whether the debt securities will be issued in individual certificates to each holder or in the form of temporary or permanent global securities held by a depositary on behalf of holders;</w:t>
      </w:r>
    </w:p>
    <w:p>
      <w:pPr>
        <w:spacing w:after="0" w:line="36" w:lineRule="exact"/>
        <w:rPr>
          <w:rFonts w:ascii="Arial" w:cs="Arial" w:eastAsia="Arial" w:hAnsi="Arial"/>
          <w:sz w:val="13"/>
          <w:szCs w:val="13"/>
          <w:color w:val="auto"/>
        </w:rPr>
      </w:pPr>
    </w:p>
    <w:p>
      <w:pPr>
        <w:ind w:left="1300" w:hanging="208"/>
        <w:spacing w:after="0"/>
        <w:tabs>
          <w:tab w:leader="none" w:pos="1300"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 date or dates on which the principal of and any premium on the debt securities will be payable;</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8"/>
        </w:numPr>
        <w:rPr>
          <w:rFonts w:ascii="Arial" w:cs="Arial" w:eastAsia="Arial" w:hAnsi="Arial"/>
          <w:sz w:val="13"/>
          <w:szCs w:val="13"/>
          <w:color w:val="auto"/>
        </w:rPr>
      </w:pPr>
      <w:r>
        <w:rPr>
          <w:rFonts w:ascii="Arial" w:cs="Arial" w:eastAsia="Arial" w:hAnsi="Arial"/>
          <w:sz w:val="13"/>
          <w:szCs w:val="13"/>
          <w:color w:val="auto"/>
        </w:rPr>
        <w:t>any interest rate, the date from which interest will accrue, interest payment dates and record dates for interest payments;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8"/>
        </w:numPr>
        <w:rPr>
          <w:rFonts w:ascii="Arial" w:cs="Arial" w:eastAsia="Arial" w:hAnsi="Arial"/>
          <w:sz w:val="13"/>
          <w:szCs w:val="13"/>
          <w:color w:val="auto"/>
        </w:rPr>
      </w:pPr>
      <w:r>
        <w:rPr>
          <w:rFonts w:ascii="Arial" w:cs="Arial" w:eastAsia="Arial" w:hAnsi="Arial"/>
          <w:sz w:val="13"/>
          <w:szCs w:val="13"/>
          <w:color w:val="auto"/>
        </w:rPr>
        <w:t>any right to extend or defer the interest payment periods and the duration of the extension;</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8"/>
        </w:numPr>
        <w:rPr>
          <w:rFonts w:ascii="Arial" w:cs="Arial" w:eastAsia="Arial" w:hAnsi="Arial"/>
          <w:sz w:val="13"/>
          <w:szCs w:val="13"/>
          <w:color w:val="auto"/>
        </w:rPr>
      </w:pPr>
      <w:r>
        <w:rPr>
          <w:rFonts w:ascii="Arial" w:cs="Arial" w:eastAsia="Arial" w:hAnsi="Arial"/>
          <w:sz w:val="13"/>
          <w:szCs w:val="13"/>
          <w:color w:val="auto"/>
        </w:rPr>
        <w:t>whether and under what circumstances any additional amounts with respect to the debt securities will be payable;</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 place or places where payments on the debt securities will be payable;</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8"/>
        </w:numPr>
        <w:rPr>
          <w:rFonts w:ascii="Arial" w:cs="Arial" w:eastAsia="Arial" w:hAnsi="Arial"/>
          <w:sz w:val="13"/>
          <w:szCs w:val="13"/>
          <w:color w:val="auto"/>
        </w:rPr>
      </w:pPr>
      <w:r>
        <w:rPr>
          <w:rFonts w:ascii="Arial" w:cs="Arial" w:eastAsia="Arial" w:hAnsi="Arial"/>
          <w:sz w:val="13"/>
          <w:szCs w:val="13"/>
          <w:color w:val="auto"/>
        </w:rPr>
        <w:t>any provisions for optional redemption or early repayment;</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8"/>
        </w:numPr>
        <w:rPr>
          <w:rFonts w:ascii="Arial" w:cs="Arial" w:eastAsia="Arial" w:hAnsi="Arial"/>
          <w:sz w:val="13"/>
          <w:szCs w:val="13"/>
          <w:color w:val="auto"/>
        </w:rPr>
      </w:pPr>
      <w:r>
        <w:rPr>
          <w:rFonts w:ascii="Arial" w:cs="Arial" w:eastAsia="Arial" w:hAnsi="Arial"/>
          <w:sz w:val="13"/>
          <w:szCs w:val="13"/>
          <w:color w:val="auto"/>
        </w:rPr>
        <w:t>any provisions that would require the redemption, purchase or repayment of debt securities;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 denominations in which the debt securities will be issued;</w:t>
      </w:r>
    </w:p>
    <w:p>
      <w:pPr>
        <w:spacing w:after="0" w:line="92" w:lineRule="exact"/>
        <w:rPr>
          <w:rFonts w:ascii="Arial" w:cs="Arial" w:eastAsia="Arial" w:hAnsi="Arial"/>
          <w:sz w:val="13"/>
          <w:szCs w:val="13"/>
          <w:color w:val="auto"/>
        </w:rPr>
      </w:pPr>
    </w:p>
    <w:p>
      <w:pPr>
        <w:ind w:left="1300" w:right="280" w:hanging="208"/>
        <w:spacing w:after="0" w:line="294" w:lineRule="auto"/>
        <w:tabs>
          <w:tab w:leader="none" w:pos="1300" w:val="left"/>
        </w:tabs>
        <w:numPr>
          <w:ilvl w:val="0"/>
          <w:numId w:val="8"/>
        </w:numPr>
        <w:rPr>
          <w:rFonts w:ascii="Arial" w:cs="Arial" w:eastAsia="Arial" w:hAnsi="Arial"/>
          <w:sz w:val="13"/>
          <w:szCs w:val="13"/>
          <w:color w:val="auto"/>
        </w:rPr>
      </w:pPr>
      <w:r>
        <w:rPr>
          <w:rFonts w:ascii="Arial" w:cs="Arial" w:eastAsia="Arial" w:hAnsi="Arial"/>
          <w:sz w:val="13"/>
          <w:szCs w:val="13"/>
          <w:color w:val="auto"/>
        </w:rPr>
        <w:t>whether payments on the debt securities will be payable in foreign currency or currency units or another form and whether payments will be payable by reference to any index or formula;</w:t>
      </w:r>
    </w:p>
    <w:p>
      <w:pPr>
        <w:spacing w:after="0" w:line="258"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20"/>
          </w:cols>
          <w:pgMar w:left="220" w:top="349" w:right="105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5" w:lineRule="exact"/>
        <w:rPr>
          <w:sz w:val="20"/>
          <w:szCs w:val="20"/>
          <w:color w:val="auto"/>
        </w:rPr>
      </w:pPr>
    </w:p>
    <w:p>
      <w:pPr>
        <w:ind w:left="1300" w:hanging="208"/>
        <w:spacing w:after="0"/>
        <w:tabs>
          <w:tab w:leader="none" w:pos="130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portion of the principal amount of debt securities that will be payable if the maturity is accelerated, if other than the entire principal amount;</w:t>
      </w:r>
    </w:p>
    <w:p>
      <w:pPr>
        <w:spacing w:after="0" w:line="92" w:lineRule="exact"/>
        <w:rPr>
          <w:rFonts w:ascii="Arial" w:cs="Arial" w:eastAsia="Arial" w:hAnsi="Arial"/>
          <w:sz w:val="13"/>
          <w:szCs w:val="13"/>
          <w:color w:val="auto"/>
        </w:rPr>
      </w:pPr>
    </w:p>
    <w:p>
      <w:pPr>
        <w:ind w:left="1300" w:right="160" w:hanging="208"/>
        <w:spacing w:after="0" w:line="294" w:lineRule="auto"/>
        <w:tabs>
          <w:tab w:leader="none" w:pos="1300" w:val="left"/>
        </w:tabs>
        <w:numPr>
          <w:ilvl w:val="0"/>
          <w:numId w:val="9"/>
        </w:numPr>
        <w:rPr>
          <w:rFonts w:ascii="Arial" w:cs="Arial" w:eastAsia="Arial" w:hAnsi="Arial"/>
          <w:sz w:val="13"/>
          <w:szCs w:val="13"/>
          <w:color w:val="auto"/>
        </w:rPr>
      </w:pPr>
      <w:r>
        <w:rPr>
          <w:rFonts w:ascii="Arial" w:cs="Arial" w:eastAsia="Arial" w:hAnsi="Arial"/>
          <w:sz w:val="13"/>
          <w:szCs w:val="13"/>
          <w:color w:val="auto"/>
        </w:rPr>
        <w:t>any additional means of defeasance of the debt securities, any additional conditions or limitations to defeasance of the debt securities or any changes to those conditions or limitations;</w:t>
      </w:r>
    </w:p>
    <w:p>
      <w:pPr>
        <w:spacing w:after="0" w:line="36" w:lineRule="exact"/>
        <w:rPr>
          <w:rFonts w:ascii="Arial" w:cs="Arial" w:eastAsia="Arial" w:hAnsi="Arial"/>
          <w:sz w:val="13"/>
          <w:szCs w:val="13"/>
          <w:color w:val="auto"/>
        </w:rPr>
      </w:pPr>
    </w:p>
    <w:p>
      <w:pPr>
        <w:ind w:left="1300" w:hanging="208"/>
        <w:spacing w:after="0"/>
        <w:tabs>
          <w:tab w:leader="none" w:pos="1300" w:val="left"/>
        </w:tabs>
        <w:numPr>
          <w:ilvl w:val="0"/>
          <w:numId w:val="9"/>
        </w:numPr>
        <w:rPr>
          <w:rFonts w:ascii="Arial" w:cs="Arial" w:eastAsia="Arial" w:hAnsi="Arial"/>
          <w:sz w:val="13"/>
          <w:szCs w:val="13"/>
          <w:color w:val="auto"/>
        </w:rPr>
      </w:pPr>
      <w:r>
        <w:rPr>
          <w:rFonts w:ascii="Arial" w:cs="Arial" w:eastAsia="Arial" w:hAnsi="Arial"/>
          <w:sz w:val="13"/>
          <w:szCs w:val="13"/>
          <w:color w:val="auto"/>
        </w:rPr>
        <w:t>any changes or additions to the events of default or covenants described in this prospectus;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9"/>
        </w:numPr>
        <w:rPr>
          <w:rFonts w:ascii="Arial" w:cs="Arial" w:eastAsia="Arial" w:hAnsi="Arial"/>
          <w:sz w:val="13"/>
          <w:szCs w:val="13"/>
          <w:color w:val="auto"/>
        </w:rPr>
      </w:pPr>
      <w:r>
        <w:rPr>
          <w:rFonts w:ascii="Arial" w:cs="Arial" w:eastAsia="Arial" w:hAnsi="Arial"/>
          <w:sz w:val="13"/>
          <w:szCs w:val="13"/>
          <w:color w:val="auto"/>
        </w:rPr>
        <w:t>any restrictions or other provisions relating to the transfer or exchange of debt securities;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9"/>
        </w:numPr>
        <w:rPr>
          <w:rFonts w:ascii="Arial" w:cs="Arial" w:eastAsia="Arial" w:hAnsi="Arial"/>
          <w:sz w:val="13"/>
          <w:szCs w:val="13"/>
          <w:color w:val="auto"/>
        </w:rPr>
      </w:pPr>
      <w:r>
        <w:rPr>
          <w:rFonts w:ascii="Arial" w:cs="Arial" w:eastAsia="Arial" w:hAnsi="Arial"/>
          <w:sz w:val="13"/>
          <w:szCs w:val="13"/>
          <w:color w:val="auto"/>
        </w:rPr>
        <w:t>any terms for the conversion or exchange of the debt securities for other securities of Waste Management or any other entity;</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9"/>
        </w:numPr>
        <w:rPr>
          <w:rFonts w:ascii="Arial" w:cs="Arial" w:eastAsia="Arial" w:hAnsi="Arial"/>
          <w:sz w:val="13"/>
          <w:szCs w:val="13"/>
          <w:color w:val="auto"/>
        </w:rPr>
      </w:pPr>
      <w:r>
        <w:rPr>
          <w:rFonts w:ascii="Arial" w:cs="Arial" w:eastAsia="Arial" w:hAnsi="Arial"/>
          <w:sz w:val="13"/>
          <w:szCs w:val="13"/>
          <w:color w:val="auto"/>
        </w:rPr>
        <w:t>with respect to the subordinated indenture, any changes to the subordination provisions for the subordinated debt securities; and</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9"/>
        </w:numPr>
        <w:rPr>
          <w:rFonts w:ascii="Arial" w:cs="Arial" w:eastAsia="Arial" w:hAnsi="Arial"/>
          <w:sz w:val="13"/>
          <w:szCs w:val="13"/>
          <w:color w:val="auto"/>
        </w:rPr>
      </w:pPr>
      <w:r>
        <w:rPr>
          <w:rFonts w:ascii="Arial" w:cs="Arial" w:eastAsia="Arial" w:hAnsi="Arial"/>
          <w:sz w:val="13"/>
          <w:szCs w:val="13"/>
          <w:color w:val="auto"/>
        </w:rPr>
        <w:t>any other terms of the debt securities not inconsistent with the applicable indenture.</w:t>
      </w:r>
    </w:p>
    <w:p>
      <w:pPr>
        <w:spacing w:after="0" w:line="102"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We may sell the debt securities at a discount, which may be substantial, below their stated principal amount. These debt securities may bear no interest or interest at a rate that at the time of issuance is below market rates. If we sell these debt securities, we will describe in the prospectus supplement any material United States federal income tax consequences and other special considerations.</w:t>
      </w:r>
    </w:p>
    <w:p>
      <w:pPr>
        <w:spacing w:after="0" w:line="59"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If we sell any of the debt securities for any foreign currency or currency unit or if payments on the debt securities are payable in any foreign currency or currency unit, we will describe in the prospectus supplement the restrictions, elections, tax consequences, specific terms and other information relating to those debt securities and the foreign currency or currency unit.</w:t>
      </w:r>
    </w:p>
    <w:p>
      <w:pPr>
        <w:spacing w:after="0" w:line="59" w:lineRule="exact"/>
        <w:rPr>
          <w:sz w:val="20"/>
          <w:szCs w:val="20"/>
          <w:color w:val="auto"/>
        </w:rPr>
      </w:pPr>
    </w:p>
    <w:p>
      <w:pPr>
        <w:ind w:left="680" w:right="520" w:firstLine="399"/>
        <w:spacing w:after="0" w:line="294" w:lineRule="auto"/>
        <w:rPr>
          <w:sz w:val="20"/>
          <w:szCs w:val="20"/>
          <w:color w:val="auto"/>
        </w:rPr>
      </w:pPr>
      <w:r>
        <w:rPr>
          <w:rFonts w:ascii="Arial" w:cs="Arial" w:eastAsia="Arial" w:hAnsi="Arial"/>
          <w:sz w:val="13"/>
          <w:szCs w:val="13"/>
          <w:i w:val="1"/>
          <w:iCs w:val="1"/>
          <w:color w:val="auto"/>
        </w:rPr>
        <w:t xml:space="preserve">Consolidation, Merger and Sale of Assets. </w:t>
      </w:r>
      <w:r>
        <w:rPr>
          <w:rFonts w:ascii="Arial" w:cs="Arial" w:eastAsia="Arial" w:hAnsi="Arial"/>
          <w:sz w:val="13"/>
          <w:szCs w:val="13"/>
          <w:color w:val="auto"/>
        </w:rPr>
        <w:t>The indentures generally prohibit a consolidation or merger of Waste Management into another person, or a lease, transfer or</w:t>
      </w:r>
      <w:r>
        <w:rPr>
          <w:rFonts w:ascii="Arial" w:cs="Arial" w:eastAsia="Arial" w:hAnsi="Arial"/>
          <w:sz w:val="13"/>
          <w:szCs w:val="13"/>
          <w:i w:val="1"/>
          <w:iCs w:val="1"/>
          <w:color w:val="auto"/>
        </w:rPr>
        <w:t xml:space="preserve"> </w:t>
      </w:r>
      <w:r>
        <w:rPr>
          <w:rFonts w:ascii="Arial" w:cs="Arial" w:eastAsia="Arial" w:hAnsi="Arial"/>
          <w:sz w:val="13"/>
          <w:szCs w:val="13"/>
          <w:color w:val="auto"/>
        </w:rPr>
        <w:t>disposition of all or substantially all of our assets to another person unless:</w:t>
      </w:r>
    </w:p>
    <w:p>
      <w:pPr>
        <w:spacing w:after="0" w:line="47" w:lineRule="exact"/>
        <w:rPr>
          <w:sz w:val="20"/>
          <w:szCs w:val="20"/>
          <w:color w:val="auto"/>
        </w:rPr>
      </w:pPr>
    </w:p>
    <w:p>
      <w:pPr>
        <w:ind w:left="1300" w:right="260" w:hanging="208"/>
        <w:spacing w:after="0" w:line="294" w:lineRule="auto"/>
        <w:tabs>
          <w:tab w:leader="none" w:pos="13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 resulting person formed or into which Waste Management is merged or the person which acquires all or substantially all of our assets assumes the performance of the covenants and obligations under the indentures and the due and punctual payments on the debt securities; and</w:t>
      </w:r>
    </w:p>
    <w:p>
      <w:pPr>
        <w:spacing w:after="0" w:line="36" w:lineRule="exact"/>
        <w:rPr>
          <w:rFonts w:ascii="Arial" w:cs="Arial" w:eastAsia="Arial" w:hAnsi="Arial"/>
          <w:sz w:val="13"/>
          <w:szCs w:val="13"/>
          <w:color w:val="auto"/>
        </w:rPr>
      </w:pPr>
    </w:p>
    <w:p>
      <w:pPr>
        <w:ind w:left="1300" w:hanging="208"/>
        <w:spacing w:after="0"/>
        <w:tabs>
          <w:tab w:leader="none" w:pos="13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immediately after giving effect to the transaction, no default or event of default would occur and be continuing or would result from the transaction.</w:t>
      </w:r>
    </w:p>
    <w:p>
      <w:pPr>
        <w:spacing w:after="0" w:line="102" w:lineRule="exact"/>
        <w:rPr>
          <w:sz w:val="20"/>
          <w:szCs w:val="20"/>
          <w:color w:val="auto"/>
        </w:rPr>
      </w:pPr>
    </w:p>
    <w:p>
      <w:pPr>
        <w:ind w:left="680" w:right="260" w:firstLine="399"/>
        <w:spacing w:after="0" w:line="294" w:lineRule="auto"/>
        <w:rPr>
          <w:sz w:val="20"/>
          <w:szCs w:val="20"/>
          <w:color w:val="auto"/>
        </w:rPr>
      </w:pPr>
      <w:r>
        <w:rPr>
          <w:rFonts w:ascii="Arial" w:cs="Arial" w:eastAsia="Arial" w:hAnsi="Arial"/>
          <w:sz w:val="13"/>
          <w:szCs w:val="13"/>
          <w:color w:val="auto"/>
        </w:rPr>
        <w:t>Upon any such consolidation, merger or asset lease, transfer or disposition, the resulting entity or transferee will be substituted for us under the applicable indenture and debt securities. In the case of an asset transfer or disposition other than a lease, we will be released from the applicable indenture.</w:t>
      </w:r>
    </w:p>
    <w:p>
      <w:pPr>
        <w:spacing w:after="0" w:line="47" w:lineRule="exact"/>
        <w:rPr>
          <w:sz w:val="20"/>
          <w:szCs w:val="20"/>
          <w:color w:val="auto"/>
        </w:rPr>
      </w:pPr>
    </w:p>
    <w:p>
      <w:pPr>
        <w:ind w:left="1080"/>
        <w:spacing w:after="0"/>
        <w:rPr>
          <w:sz w:val="20"/>
          <w:szCs w:val="20"/>
          <w:color w:val="auto"/>
        </w:rPr>
      </w:pPr>
      <w:r>
        <w:rPr>
          <w:rFonts w:ascii="Arial" w:cs="Arial" w:eastAsia="Arial" w:hAnsi="Arial"/>
          <w:sz w:val="12"/>
          <w:szCs w:val="12"/>
          <w:i w:val="1"/>
          <w:iCs w:val="1"/>
          <w:color w:val="auto"/>
        </w:rPr>
        <w:t xml:space="preserve">Events of Default. </w:t>
      </w:r>
      <w:r>
        <w:rPr>
          <w:rFonts w:ascii="Arial" w:cs="Arial" w:eastAsia="Arial" w:hAnsi="Arial"/>
          <w:sz w:val="12"/>
          <w:szCs w:val="12"/>
          <w:color w:val="auto"/>
        </w:rPr>
        <w:t>Unless we inform you otherwise in the applicable prospectus supplement, the following are events of default with respect to a series of debt securities:</w:t>
      </w:r>
    </w:p>
    <w:p>
      <w:pPr>
        <w:spacing w:after="0" w:line="114" w:lineRule="exact"/>
        <w:rPr>
          <w:sz w:val="20"/>
          <w:szCs w:val="20"/>
          <w:color w:val="auto"/>
        </w:rPr>
      </w:pPr>
    </w:p>
    <w:p>
      <w:pPr>
        <w:ind w:left="1300" w:hanging="208"/>
        <w:spacing w:after="0"/>
        <w:tabs>
          <w:tab w:leader="none" w:pos="13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failure to pay interest on that series of debt securities for 30 days when due;</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failure to pay principal of or any premium on that series of debt securities when due;</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failure to deposit into any sinking fund when due;</w:t>
      </w:r>
    </w:p>
    <w:p>
      <w:pPr>
        <w:spacing w:after="0" w:line="92" w:lineRule="exact"/>
        <w:rPr>
          <w:rFonts w:ascii="Arial" w:cs="Arial" w:eastAsia="Arial" w:hAnsi="Arial"/>
          <w:sz w:val="13"/>
          <w:szCs w:val="13"/>
          <w:color w:val="auto"/>
        </w:rPr>
      </w:pPr>
    </w:p>
    <w:p>
      <w:pPr>
        <w:ind w:left="1300" w:right="20" w:hanging="208"/>
        <w:spacing w:after="0" w:line="270" w:lineRule="auto"/>
        <w:tabs>
          <w:tab w:leader="none" w:pos="13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failure to comply with any covenant or agreement in that series of debt securities or the applicable indenture (other than an agreement or covenant that has been included in the indenture solely for the benefit of other series of debt securities) for 60 days after written notice by the trustee in the case of the senior indenture and for 90 days after written notice by the trustee in the case of the subordinated indenture or by the holders of at least 25% in principal amount of the outstanding debt securities issued under that indenture that are affected by that failure;</w:t>
      </w:r>
    </w:p>
    <w:p>
      <w:pPr>
        <w:spacing w:after="0" w:line="52" w:lineRule="exact"/>
        <w:rPr>
          <w:rFonts w:ascii="Arial" w:cs="Arial" w:eastAsia="Arial" w:hAnsi="Arial"/>
          <w:sz w:val="13"/>
          <w:szCs w:val="13"/>
          <w:color w:val="auto"/>
        </w:rPr>
      </w:pPr>
    </w:p>
    <w:p>
      <w:pPr>
        <w:ind w:left="1300" w:hanging="208"/>
        <w:spacing w:after="0"/>
        <w:tabs>
          <w:tab w:leader="none" w:pos="13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specified events involving bankruptcy, insolvency or reorganization; and</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any other event of default provided for that series of debt securities.</w:t>
      </w:r>
    </w:p>
    <w:p>
      <w:pPr>
        <w:spacing w:after="0" w:line="314"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5"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If an event of default for any series of debt securities occurs and is continuing, the trustee or the holders of at least 25% in principal amount of the outstanding debt securities of the series affected by the default may declare the principal of and all accrued and unpaid interest on those debt securities to be due and payable. The holders of a majority in principal amount of the outstanding debt securities of the series affected by the default may in some cases rescind this accelerated payment requirement.</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holder of a debt security of any series issued under an indenture may pursue any remedy under that indenture only if:</w:t>
      </w:r>
    </w:p>
    <w:p>
      <w:pPr>
        <w:spacing w:after="0" w:line="102" w:lineRule="exact"/>
        <w:rPr>
          <w:sz w:val="20"/>
          <w:szCs w:val="20"/>
          <w:color w:val="auto"/>
        </w:rPr>
      </w:pPr>
    </w:p>
    <w:p>
      <w:pPr>
        <w:ind w:left="1300" w:hanging="208"/>
        <w:spacing w:after="0"/>
        <w:tabs>
          <w:tab w:leader="none" w:pos="13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holder gives the trustee written notice of a continuing event of default for that series;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holders of at least 25% in principal amount of the outstanding debt securities of that series make a written request to the trustee to pursue the remedy;</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holders offer to the trustee indemnity satisfactory to the trustee;</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trustee fails to act for a period of 60 days after receipt of the request and offer of indemnity; and</w:t>
      </w:r>
    </w:p>
    <w:p>
      <w:pPr>
        <w:spacing w:after="0" w:line="92" w:lineRule="exact"/>
        <w:rPr>
          <w:rFonts w:ascii="Arial" w:cs="Arial" w:eastAsia="Arial" w:hAnsi="Arial"/>
          <w:sz w:val="13"/>
          <w:szCs w:val="13"/>
          <w:color w:val="auto"/>
        </w:rPr>
      </w:pPr>
    </w:p>
    <w:p>
      <w:pPr>
        <w:ind w:left="680" w:right="160" w:firstLine="412"/>
        <w:spacing w:after="0" w:line="404" w:lineRule="auto"/>
        <w:tabs>
          <w:tab w:leader="none" w:pos="1285" w:val="left"/>
        </w:tabs>
        <w:numPr>
          <w:ilvl w:val="0"/>
          <w:numId w:val="12"/>
        </w:numPr>
        <w:rPr>
          <w:rFonts w:ascii="Arial" w:cs="Arial" w:eastAsia="Arial" w:hAnsi="Arial"/>
          <w:sz w:val="13"/>
          <w:szCs w:val="13"/>
          <w:color w:val="auto"/>
        </w:rPr>
      </w:pPr>
      <w:r>
        <w:rPr>
          <w:rFonts w:ascii="Arial" w:cs="Arial" w:eastAsia="Arial" w:hAnsi="Arial"/>
          <w:sz w:val="13"/>
          <w:szCs w:val="13"/>
          <w:color w:val="auto"/>
        </w:rPr>
        <w:t>during that 60-day period, the holders of a majority in principal amount of the debt securities of that series do not give the trustee a direction inconsistent with the request. This provision does not, however, affect the right of a holder of a debt security to sue for enforcement of any overdue payment.</w:t>
      </w:r>
    </w:p>
    <w:p>
      <w:pPr>
        <w:spacing w:after="0" w:line="1" w:lineRule="exact"/>
        <w:rPr>
          <w:sz w:val="20"/>
          <w:szCs w:val="20"/>
          <w:color w:val="auto"/>
        </w:rPr>
      </w:pPr>
    </w:p>
    <w:p>
      <w:pPr>
        <w:ind w:left="680" w:right="360" w:firstLine="399"/>
        <w:spacing w:after="0" w:line="294" w:lineRule="auto"/>
        <w:rPr>
          <w:sz w:val="20"/>
          <w:szCs w:val="20"/>
          <w:color w:val="auto"/>
        </w:rPr>
      </w:pPr>
      <w:r>
        <w:rPr>
          <w:rFonts w:ascii="Arial" w:cs="Arial" w:eastAsia="Arial" w:hAnsi="Arial"/>
          <w:sz w:val="13"/>
          <w:szCs w:val="13"/>
          <w:color w:val="auto"/>
        </w:rPr>
        <w:t>In most cases, holders of a majority in principal amount of the outstanding debt securities of a series (or of all debt securities issued under the applicable indenture that are affected, voting as one class) may direct the time, method and place of:</w:t>
      </w:r>
    </w:p>
    <w:p>
      <w:pPr>
        <w:spacing w:after="0" w:line="47" w:lineRule="exact"/>
        <w:rPr>
          <w:sz w:val="20"/>
          <w:szCs w:val="20"/>
          <w:color w:val="auto"/>
        </w:rPr>
      </w:pPr>
    </w:p>
    <w:p>
      <w:pPr>
        <w:ind w:left="1300" w:hanging="208"/>
        <w:spacing w:after="0"/>
        <w:tabs>
          <w:tab w:leader="none" w:pos="13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conducting any proceeding for any remedy available to the trustee; and</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exercising any trust or power conferred on the trustee relating to or arising as a result of an event of default.</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indentures require us to file each year with the trustee a written statement as to our compliance with the covenants contained in the applicable indenture.</w:t>
      </w:r>
    </w:p>
    <w:p>
      <w:pPr>
        <w:spacing w:after="0" w:line="102" w:lineRule="exact"/>
        <w:rPr>
          <w:sz w:val="20"/>
          <w:szCs w:val="20"/>
          <w:color w:val="auto"/>
        </w:rPr>
      </w:pPr>
    </w:p>
    <w:p>
      <w:pPr>
        <w:ind w:left="680" w:firstLine="399"/>
        <w:spacing w:after="0" w:line="270" w:lineRule="auto"/>
        <w:rPr>
          <w:sz w:val="20"/>
          <w:szCs w:val="20"/>
          <w:color w:val="auto"/>
        </w:rPr>
      </w:pPr>
      <w:r>
        <w:rPr>
          <w:rFonts w:ascii="Arial" w:cs="Arial" w:eastAsia="Arial" w:hAnsi="Arial"/>
          <w:sz w:val="13"/>
          <w:szCs w:val="13"/>
          <w:i w:val="1"/>
          <w:iCs w:val="1"/>
          <w:color w:val="auto"/>
        </w:rPr>
        <w:t xml:space="preserve">Modification and Waiver. </w:t>
      </w:r>
      <w:r>
        <w:rPr>
          <w:rFonts w:ascii="Arial" w:cs="Arial" w:eastAsia="Arial" w:hAnsi="Arial"/>
          <w:sz w:val="13"/>
          <w:szCs w:val="13"/>
          <w:color w:val="auto"/>
        </w:rPr>
        <w:t>Each indenture may be amended or supplemented if the majority in principal amount of the outstanding debt securities of all series issued under that</w:t>
      </w:r>
      <w:r>
        <w:rPr>
          <w:rFonts w:ascii="Arial" w:cs="Arial" w:eastAsia="Arial" w:hAnsi="Arial"/>
          <w:sz w:val="13"/>
          <w:szCs w:val="13"/>
          <w:i w:val="1"/>
          <w:iCs w:val="1"/>
          <w:color w:val="auto"/>
        </w:rPr>
        <w:t xml:space="preserve"> </w:t>
      </w:r>
      <w:r>
        <w:rPr>
          <w:rFonts w:ascii="Arial" w:cs="Arial" w:eastAsia="Arial" w:hAnsi="Arial"/>
          <w:sz w:val="13"/>
          <w:szCs w:val="13"/>
          <w:color w:val="auto"/>
        </w:rPr>
        <w:t>indenture that are affected by the amendment or supplement (acting as one class) consent to it. However, the subordinated indenture may not be amended to alter the subordination of any outstanding subordinated securities without the consent of each holder of senior debt then outstanding that would be adversely affected by the amendment. Additionally, without the consent of the holder of each debt security affected, no modification may:</w:t>
      </w:r>
    </w:p>
    <w:p>
      <w:pPr>
        <w:spacing w:after="0" w:line="63" w:lineRule="exact"/>
        <w:rPr>
          <w:sz w:val="20"/>
          <w:szCs w:val="20"/>
          <w:color w:val="auto"/>
        </w:rPr>
      </w:pPr>
    </w:p>
    <w:p>
      <w:pPr>
        <w:ind w:left="1300" w:hanging="208"/>
        <w:spacing w:after="0"/>
        <w:tabs>
          <w:tab w:leader="none" w:pos="13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reduce the amount of debt securities whose holders must consent to an amendment, supplement or waiver;</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reduce the rate of or change the time for payment of interest on the debt security;</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reduce the principal of the debt security or change its stated maturity;</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reduce any premium payable on the redemption of the debt security or change the time at which the debt security may or must be redeemed;</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change any obligation to pay additional amounts on the debt security;</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change any obligation for us to maintain a paying agency;</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make payments on the debt security payable in currency other than as originally stated in the debt security;</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impair the holder’s right to institute suit for the enforcement of any payment on or with respect to the debt security;</w:t>
      </w:r>
    </w:p>
    <w:p>
      <w:pPr>
        <w:spacing w:after="0" w:line="314"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00"/>
          </w:cols>
          <w:pgMar w:left="220" w:top="349" w:right="107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5" w:lineRule="exact"/>
        <w:rPr>
          <w:sz w:val="20"/>
          <w:szCs w:val="20"/>
          <w:color w:val="auto"/>
        </w:rPr>
      </w:pPr>
    </w:p>
    <w:p>
      <w:pPr>
        <w:ind w:left="1300" w:hanging="208"/>
        <w:spacing w:after="0" w:line="294" w:lineRule="auto"/>
        <w:tabs>
          <w:tab w:leader="none" w:pos="13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make any change in the percentage of principal amount of debt securities necessary to waive compliance with certain provisions of the indenture or to make any change in the provision related to modification; or</w:t>
      </w:r>
    </w:p>
    <w:p>
      <w:pPr>
        <w:spacing w:after="0" w:line="36" w:lineRule="exact"/>
        <w:rPr>
          <w:rFonts w:ascii="Arial" w:cs="Arial" w:eastAsia="Arial" w:hAnsi="Arial"/>
          <w:sz w:val="13"/>
          <w:szCs w:val="13"/>
          <w:color w:val="auto"/>
        </w:rPr>
      </w:pPr>
    </w:p>
    <w:p>
      <w:pPr>
        <w:ind w:left="1300" w:hanging="208"/>
        <w:spacing w:after="0"/>
        <w:tabs>
          <w:tab w:leader="none" w:pos="13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adversely affect the right to convert subordinated debt securities, if applicable.</w:t>
      </w:r>
    </w:p>
    <w:p>
      <w:pPr>
        <w:spacing w:after="0" w:line="102" w:lineRule="exact"/>
        <w:rPr>
          <w:sz w:val="20"/>
          <w:szCs w:val="20"/>
          <w:color w:val="auto"/>
        </w:rPr>
      </w:pPr>
    </w:p>
    <w:p>
      <w:pPr>
        <w:ind w:left="680" w:right="20" w:firstLine="399"/>
        <w:spacing w:after="0" w:line="294" w:lineRule="auto"/>
        <w:rPr>
          <w:sz w:val="20"/>
          <w:szCs w:val="20"/>
          <w:color w:val="auto"/>
        </w:rPr>
      </w:pPr>
      <w:r>
        <w:rPr>
          <w:rFonts w:ascii="Arial" w:cs="Arial" w:eastAsia="Arial" w:hAnsi="Arial"/>
          <w:sz w:val="13"/>
          <w:szCs w:val="13"/>
          <w:color w:val="auto"/>
        </w:rPr>
        <w:t>The holders of a majority in principal amount of the outstanding debt securities of any series (or, in some cases, of all debt securities issued under the applicable indenture, voting as one class) may waive any existing or past default or event of default with respect to those debt securities. Those holders may not, however, waive any</w:t>
      </w:r>
    </w:p>
    <w:p>
      <w:pPr>
        <w:spacing w:after="0" w:line="47" w:lineRule="exact"/>
        <w:rPr>
          <w:sz w:val="20"/>
          <w:szCs w:val="20"/>
          <w:color w:val="auto"/>
        </w:rPr>
      </w:pPr>
    </w:p>
    <w:p>
      <w:pPr>
        <w:ind w:left="1300" w:hanging="208"/>
        <w:spacing w:after="0"/>
        <w:tabs>
          <w:tab w:leader="none" w:pos="13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default or event of default in any payment on any debt security; or</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compliance with a provision that cannot be amended or supplemented without the consent of each holder affected.</w:t>
      </w:r>
    </w:p>
    <w:p>
      <w:pPr>
        <w:spacing w:after="0" w:line="102"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i w:val="1"/>
          <w:iCs w:val="1"/>
          <w:color w:val="auto"/>
        </w:rPr>
        <w:t xml:space="preserve">Defeasance. </w:t>
      </w:r>
      <w:r>
        <w:rPr>
          <w:rFonts w:ascii="Arial" w:cs="Arial" w:eastAsia="Arial" w:hAnsi="Arial"/>
          <w:sz w:val="13"/>
          <w:szCs w:val="13"/>
          <w:color w:val="auto"/>
        </w:rPr>
        <w:t>When we use the term defeasance, we mean discharge from some or all of our obligations under the indentures. If any combination of funds or government</w:t>
      </w:r>
      <w:r>
        <w:rPr>
          <w:rFonts w:ascii="Arial" w:cs="Arial" w:eastAsia="Arial" w:hAnsi="Arial"/>
          <w:sz w:val="13"/>
          <w:szCs w:val="13"/>
          <w:i w:val="1"/>
          <w:iCs w:val="1"/>
          <w:color w:val="auto"/>
        </w:rPr>
        <w:t xml:space="preserve"> </w:t>
      </w:r>
      <w:r>
        <w:rPr>
          <w:rFonts w:ascii="Arial" w:cs="Arial" w:eastAsia="Arial" w:hAnsi="Arial"/>
          <w:sz w:val="13"/>
          <w:szCs w:val="13"/>
          <w:color w:val="auto"/>
        </w:rPr>
        <w:t>securities are deposited with the trustee under an indenture sufficient to make payments on the debt securities of a series issued under that indenture on the dates those payments are due and payable, then, at our option, either of the following will occur:</w:t>
      </w:r>
    </w:p>
    <w:p>
      <w:pPr>
        <w:spacing w:after="0" w:line="59" w:lineRule="exact"/>
        <w:rPr>
          <w:sz w:val="20"/>
          <w:szCs w:val="20"/>
          <w:color w:val="auto"/>
        </w:rPr>
      </w:pPr>
    </w:p>
    <w:p>
      <w:pPr>
        <w:ind w:left="1300" w:hanging="208"/>
        <w:spacing w:after="0"/>
        <w:tabs>
          <w:tab w:leader="none" w:pos="13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we will be discharged from our obligations with respect to the debt securities of that series and, if applicable, the related guarantees (“legal defeasance”); or</w:t>
      </w:r>
    </w:p>
    <w:p>
      <w:pPr>
        <w:spacing w:after="0" w:line="92" w:lineRule="exact"/>
        <w:rPr>
          <w:rFonts w:ascii="Arial" w:cs="Arial" w:eastAsia="Arial" w:hAnsi="Arial"/>
          <w:sz w:val="13"/>
          <w:szCs w:val="13"/>
          <w:color w:val="auto"/>
        </w:rPr>
      </w:pPr>
    </w:p>
    <w:p>
      <w:pPr>
        <w:ind w:left="1300" w:right="240" w:hanging="208"/>
        <w:spacing w:after="0" w:line="294" w:lineRule="auto"/>
        <w:tabs>
          <w:tab w:leader="none" w:pos="13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we will no longer have any obligation to comply with the restrictive covenants, the merger covenant and other specified covenants under the applicable indenture, and the related events of default will no longer apply (“covenant defeasance”).</w:t>
      </w:r>
    </w:p>
    <w:p>
      <w:pPr>
        <w:spacing w:after="0" w:line="47" w:lineRule="exact"/>
        <w:rPr>
          <w:sz w:val="20"/>
          <w:szCs w:val="20"/>
          <w:color w:val="auto"/>
        </w:rPr>
      </w:pPr>
    </w:p>
    <w:p>
      <w:pPr>
        <w:ind w:left="680"/>
        <w:spacing w:after="0" w:line="270" w:lineRule="auto"/>
        <w:rPr>
          <w:sz w:val="20"/>
          <w:szCs w:val="20"/>
          <w:color w:val="auto"/>
        </w:rPr>
      </w:pPr>
      <w:r>
        <w:rPr>
          <w:rFonts w:ascii="Arial" w:cs="Arial" w:eastAsia="Arial" w:hAnsi="Arial"/>
          <w:sz w:val="13"/>
          <w:szCs w:val="13"/>
          <w:color w:val="auto"/>
        </w:rPr>
        <w:t>If a series of debt securities is defeased, the holders of the debt securities of the series affected will not be entitled to the benefits of the applicable indenture, except for obligations to register the transfer or exchange of debt securities, replace stolen, lost or mutilated debt securities, maintain paying agencies, hold moneys for payment in trust and, in the case of subordinated debt securities, no defeasance will affect our obligations respecting the conversion of debt securities into Common Stock. In the case of covenant defeasance, our obligation to pay principal, premium and interest on the debt securities will also survive.</w:t>
      </w:r>
    </w:p>
    <w:p>
      <w:pPr>
        <w:spacing w:after="0" w:line="63" w:lineRule="exact"/>
        <w:rPr>
          <w:sz w:val="20"/>
          <w:szCs w:val="20"/>
          <w:color w:val="auto"/>
        </w:rPr>
      </w:pPr>
    </w:p>
    <w:p>
      <w:pPr>
        <w:jc w:val="both"/>
        <w:ind w:left="680" w:right="180" w:firstLine="399"/>
        <w:spacing w:after="0" w:line="276" w:lineRule="auto"/>
        <w:rPr>
          <w:sz w:val="20"/>
          <w:szCs w:val="20"/>
          <w:color w:val="auto"/>
        </w:rPr>
      </w:pPr>
      <w:r>
        <w:rPr>
          <w:rFonts w:ascii="Arial" w:cs="Arial" w:eastAsia="Arial" w:hAnsi="Arial"/>
          <w:sz w:val="13"/>
          <w:szCs w:val="13"/>
          <w:color w:val="auto"/>
        </w:rPr>
        <w:t>Unless we inform you otherwise in the prospectus supplement, we will be required to deliver to the trustee an opinion of counsel that the deposit and related defeasance would not cause the holders of the debt securities to recognize income, gain or loss for U.S. federal income tax purposes. If we elect legal defeasance, that opinion of counsel must be based upon a ruling from the U.S. Internal Revenue Service or a change in law to that effect.</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Governing Law. </w:t>
      </w:r>
      <w:r>
        <w:rPr>
          <w:rFonts w:ascii="Arial" w:cs="Arial" w:eastAsia="Arial" w:hAnsi="Arial"/>
          <w:sz w:val="13"/>
          <w:szCs w:val="13"/>
          <w:color w:val="auto"/>
        </w:rPr>
        <w:t>New York law will govern the indentures and the debt securities.</w:t>
      </w:r>
    </w:p>
    <w:p>
      <w:pPr>
        <w:spacing w:after="0" w:line="102" w:lineRule="exact"/>
        <w:rPr>
          <w:sz w:val="20"/>
          <w:szCs w:val="20"/>
          <w:color w:val="auto"/>
        </w:rPr>
      </w:pPr>
    </w:p>
    <w:p>
      <w:pPr>
        <w:ind w:left="680" w:right="60" w:firstLine="399"/>
        <w:spacing w:after="0" w:line="309" w:lineRule="auto"/>
        <w:rPr>
          <w:sz w:val="20"/>
          <w:szCs w:val="20"/>
          <w:color w:val="auto"/>
        </w:rPr>
      </w:pPr>
      <w:r>
        <w:rPr>
          <w:rFonts w:ascii="Arial" w:cs="Arial" w:eastAsia="Arial" w:hAnsi="Arial"/>
          <w:sz w:val="12"/>
          <w:szCs w:val="12"/>
          <w:i w:val="1"/>
          <w:iCs w:val="1"/>
          <w:color w:val="auto"/>
        </w:rPr>
        <w:t xml:space="preserve">Trustee. </w:t>
      </w:r>
      <w:r>
        <w:rPr>
          <w:rFonts w:ascii="Arial" w:cs="Arial" w:eastAsia="Arial" w:hAnsi="Arial"/>
          <w:sz w:val="12"/>
          <w:szCs w:val="12"/>
          <w:color w:val="auto"/>
        </w:rPr>
        <w:t>The Bank of New York Mellon Trust Company, N.A. is the trustee under the senior indenture and the subordinated indenture. The Bank of New York Trust Company,</w:t>
      </w:r>
      <w:r>
        <w:rPr>
          <w:rFonts w:ascii="Arial" w:cs="Arial" w:eastAsia="Arial" w:hAnsi="Arial"/>
          <w:sz w:val="12"/>
          <w:szCs w:val="12"/>
          <w:i w:val="1"/>
          <w:iCs w:val="1"/>
          <w:color w:val="auto"/>
        </w:rPr>
        <w:t xml:space="preserve"> </w:t>
      </w:r>
      <w:r>
        <w:rPr>
          <w:rFonts w:ascii="Arial" w:cs="Arial" w:eastAsia="Arial" w:hAnsi="Arial"/>
          <w:sz w:val="12"/>
          <w:szCs w:val="12"/>
          <w:color w:val="auto"/>
        </w:rPr>
        <w:t>N.A. serves as trustee or custodian relating to a number of series of debt obligations of Waste Management as of December 31, 2008. Certain of The Bank of New York Trust Company, N.A.’s affiliates perform certain commercial banking services for us for which they receive customary fees and act as a lender under our current credit facility.</w:t>
      </w:r>
    </w:p>
    <w:p>
      <w:pPr>
        <w:spacing w:after="0" w:line="41"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If an event of default occurs under an indenture and is continuing, the trustee under that indenture will be required to use the degree of care and skill of a prudent person in the conduct of that person’s own affairs. The trustee will become obligated to exercise any of its powers under that indenture at the request of any of the holders of any debt securities issued under that indenture only after those holders have offered the trustee indemnity satisfactory to it.</w:t>
      </w:r>
    </w:p>
    <w:p>
      <w:pPr>
        <w:spacing w:after="0" w:line="59" w:lineRule="exact"/>
        <w:rPr>
          <w:sz w:val="20"/>
          <w:szCs w:val="20"/>
          <w:color w:val="auto"/>
        </w:rPr>
      </w:pPr>
    </w:p>
    <w:p>
      <w:pPr>
        <w:ind w:left="680" w:right="20" w:firstLine="399"/>
        <w:spacing w:after="0" w:line="338" w:lineRule="auto"/>
        <w:rPr>
          <w:sz w:val="20"/>
          <w:szCs w:val="20"/>
          <w:color w:val="auto"/>
        </w:rPr>
      </w:pPr>
      <w:r>
        <w:rPr>
          <w:rFonts w:ascii="Arial" w:cs="Arial" w:eastAsia="Arial" w:hAnsi="Arial"/>
          <w:sz w:val="12"/>
          <w:szCs w:val="12"/>
          <w:color w:val="auto"/>
        </w:rPr>
        <w:t>Each indenture contains limitations on the right of the trustee, if it becomes our creditor, to obtain payment of claims or to realize on certain property received for any such claim, as security or otherwise. The trustee is permitted to engage in other transactions with us. If, however, it acquires any conflicting interest, it must eliminate that conflict or resign.</w:t>
      </w:r>
    </w:p>
    <w:p>
      <w:pPr>
        <w:spacing w:after="0" w:line="23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jc w:val="both"/>
        <w:ind w:left="680" w:right="60" w:firstLine="399"/>
        <w:spacing w:after="0" w:line="276" w:lineRule="auto"/>
        <w:rPr>
          <w:sz w:val="20"/>
          <w:szCs w:val="20"/>
          <w:color w:val="auto"/>
        </w:rPr>
      </w:pPr>
      <w:r>
        <w:rPr>
          <w:rFonts w:ascii="Arial" w:cs="Arial" w:eastAsia="Arial" w:hAnsi="Arial"/>
          <w:sz w:val="13"/>
          <w:szCs w:val="13"/>
          <w:i w:val="1"/>
          <w:iCs w:val="1"/>
          <w:color w:val="auto"/>
        </w:rPr>
        <w:t xml:space="preserve">Form, Exchange, Registration and Transfer. </w:t>
      </w:r>
      <w:r>
        <w:rPr>
          <w:rFonts w:ascii="Arial" w:cs="Arial" w:eastAsia="Arial" w:hAnsi="Arial"/>
          <w:sz w:val="13"/>
          <w:szCs w:val="13"/>
          <w:color w:val="auto"/>
        </w:rPr>
        <w:t>The debt securities may be issued in registered form, without interest coupons, or in bearer form, with interest coupons attached, or</w:t>
      </w:r>
      <w:r>
        <w:rPr>
          <w:rFonts w:ascii="Arial" w:cs="Arial" w:eastAsia="Arial" w:hAnsi="Arial"/>
          <w:sz w:val="13"/>
          <w:szCs w:val="13"/>
          <w:i w:val="1"/>
          <w:iCs w:val="1"/>
          <w:color w:val="auto"/>
        </w:rPr>
        <w:t xml:space="preserve"> </w:t>
      </w:r>
      <w:r>
        <w:rPr>
          <w:rFonts w:ascii="Arial" w:cs="Arial" w:eastAsia="Arial" w:hAnsi="Arial"/>
          <w:sz w:val="13"/>
          <w:szCs w:val="13"/>
          <w:color w:val="auto"/>
        </w:rPr>
        <w:t>both, as described in the prospectus supplement. There will be no service charge for any registration of transfer or exchange of the debt securities. However, payment of any transfer tax or similar governmental charge payable for that registration may be required.</w:t>
      </w:r>
    </w:p>
    <w:p>
      <w:pPr>
        <w:spacing w:after="0" w:line="59" w:lineRule="exact"/>
        <w:rPr>
          <w:sz w:val="20"/>
          <w:szCs w:val="20"/>
          <w:color w:val="auto"/>
        </w:rPr>
      </w:pPr>
    </w:p>
    <w:p>
      <w:pPr>
        <w:ind w:left="680" w:right="100" w:firstLine="399"/>
        <w:spacing w:after="0" w:line="309" w:lineRule="auto"/>
        <w:rPr>
          <w:sz w:val="20"/>
          <w:szCs w:val="20"/>
          <w:color w:val="auto"/>
        </w:rPr>
      </w:pPr>
      <w:r>
        <w:rPr>
          <w:rFonts w:ascii="Arial" w:cs="Arial" w:eastAsia="Arial" w:hAnsi="Arial"/>
          <w:sz w:val="12"/>
          <w:szCs w:val="12"/>
          <w:color w:val="auto"/>
        </w:rPr>
        <w:t>Debt securities of any series will be exchangeable for other debt securities of the same series, the same total principal amount and the same terms but in different authorized denominations in accordance with the applicable indenture. Holders may present debt securities for registration of transfer at the office of the security registrar or any transfer agent we designate. The security registrar or transfer agent will affect the transfer or exchange if its requirements and the requirements of the applicable indenture are met.</w:t>
      </w:r>
    </w:p>
    <w:p>
      <w:pPr>
        <w:spacing w:after="0" w:line="41"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The trustee will be appointed as security registrar for the debt securities. If a prospectus supplement refers to any transfer agents we initially designate, we may at any time rescind that designation or approve a change in the location through which any transfer agent acts. We are required to maintain an office or agency for transfers and exchanges in each place of payment. We may at any time designate additional transfer agents for any series of debt securities.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the case of any redemption, we will not be required to register the transfer or exchange of:</w:t>
      </w:r>
    </w:p>
    <w:p>
      <w:pPr>
        <w:spacing w:after="0" w:line="102" w:lineRule="exact"/>
        <w:rPr>
          <w:sz w:val="20"/>
          <w:szCs w:val="20"/>
          <w:color w:val="auto"/>
        </w:rPr>
      </w:pPr>
    </w:p>
    <w:p>
      <w:pPr>
        <w:ind w:left="1300" w:right="160" w:hanging="208"/>
        <w:spacing w:after="0" w:line="294" w:lineRule="auto"/>
        <w:tabs>
          <w:tab w:leader="none" w:pos="13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any debt security during a period beginning 15 business days prior to the mailing of the relevant notice of redemption or repurchase and ending on the close of business on the day of mailing of such notice; or</w:t>
      </w:r>
    </w:p>
    <w:p>
      <w:pPr>
        <w:spacing w:after="0" w:line="36" w:lineRule="exact"/>
        <w:rPr>
          <w:rFonts w:ascii="Arial" w:cs="Arial" w:eastAsia="Arial" w:hAnsi="Arial"/>
          <w:sz w:val="13"/>
          <w:szCs w:val="13"/>
          <w:color w:val="auto"/>
        </w:rPr>
      </w:pPr>
    </w:p>
    <w:p>
      <w:pPr>
        <w:ind w:left="1300" w:hanging="208"/>
        <w:spacing w:after="0"/>
        <w:tabs>
          <w:tab w:leader="none" w:pos="13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any debt security that has been called for redemption in whole or in part, except the unredeemed portion of any debt security being redeemed in part.</w:t>
      </w:r>
    </w:p>
    <w:p>
      <w:pPr>
        <w:spacing w:after="0" w:line="102" w:lineRule="exact"/>
        <w:rPr>
          <w:sz w:val="20"/>
          <w:szCs w:val="20"/>
          <w:color w:val="auto"/>
        </w:rPr>
      </w:pPr>
    </w:p>
    <w:p>
      <w:pPr>
        <w:ind w:left="680" w:firstLine="399"/>
        <w:spacing w:after="0" w:line="270" w:lineRule="auto"/>
        <w:rPr>
          <w:sz w:val="20"/>
          <w:szCs w:val="20"/>
          <w:color w:val="auto"/>
        </w:rPr>
      </w:pPr>
      <w:r>
        <w:rPr>
          <w:rFonts w:ascii="Arial" w:cs="Arial" w:eastAsia="Arial" w:hAnsi="Arial"/>
          <w:sz w:val="13"/>
          <w:szCs w:val="13"/>
          <w:i w:val="1"/>
          <w:iCs w:val="1"/>
          <w:color w:val="auto"/>
        </w:rPr>
        <w:t xml:space="preserve">Payment and Paying Agents. </w:t>
      </w:r>
      <w:r>
        <w:rPr>
          <w:rFonts w:ascii="Arial" w:cs="Arial" w:eastAsia="Arial" w:hAnsi="Arial"/>
          <w:sz w:val="13"/>
          <w:szCs w:val="13"/>
          <w:color w:val="auto"/>
        </w:rPr>
        <w:t>Unless we inform you otherwise in a prospectus supplement, payments on the debt securities will be made in U.S. dollars at the office of the trustee</w:t>
      </w:r>
      <w:r>
        <w:rPr>
          <w:rFonts w:ascii="Arial" w:cs="Arial" w:eastAsia="Arial" w:hAnsi="Arial"/>
          <w:sz w:val="13"/>
          <w:szCs w:val="13"/>
          <w:i w:val="1"/>
          <w:iCs w:val="1"/>
          <w:color w:val="auto"/>
        </w:rPr>
        <w:t xml:space="preserve"> </w:t>
      </w:r>
      <w:r>
        <w:rPr>
          <w:rFonts w:ascii="Arial" w:cs="Arial" w:eastAsia="Arial" w:hAnsi="Arial"/>
          <w:sz w:val="13"/>
          <w:szCs w:val="13"/>
          <w:color w:val="auto"/>
        </w:rPr>
        <w:t>and any paying agent. At our option, however, payments may be made by wire transfer for global debt securities or by check mailed to the address of the person entitled to the payment as it appears in the security register. Unless we inform you otherwise in a prospectus supplement, interest payments may be made to the person in whose name the debt security is registered at the close of business on the record date for the interest payment.</w:t>
      </w:r>
    </w:p>
    <w:p>
      <w:pPr>
        <w:spacing w:after="0" w:line="63"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Unless we inform you otherwise in a prospectus supplement, the trustee under the applicable indenture will be designated as the paying agent for payments on debt securities issued under that indenture. We may at any time designate additional paying agents or rescind the designation of any paying agent or approve a change in the office through which any paying agent acts.</w:t>
      </w:r>
    </w:p>
    <w:p>
      <w:pPr>
        <w:spacing w:after="0" w:line="59" w:lineRule="exact"/>
        <w:rPr>
          <w:sz w:val="20"/>
          <w:szCs w:val="20"/>
          <w:color w:val="auto"/>
        </w:rPr>
      </w:pPr>
    </w:p>
    <w:p>
      <w:pPr>
        <w:ind w:left="680" w:right="40" w:firstLine="399"/>
        <w:spacing w:after="0" w:line="309" w:lineRule="auto"/>
        <w:rPr>
          <w:sz w:val="20"/>
          <w:szCs w:val="20"/>
          <w:color w:val="auto"/>
        </w:rPr>
      </w:pPr>
      <w:r>
        <w:rPr>
          <w:rFonts w:ascii="Arial" w:cs="Arial" w:eastAsia="Arial" w:hAnsi="Arial"/>
          <w:sz w:val="12"/>
          <w:szCs w:val="12"/>
          <w:color w:val="auto"/>
        </w:rPr>
        <w:t>If the principal of or any premium or interest on debt securities of a series is payable on a day that is not a business day, the payment will be made on the following business day. For these purposes, unless we inform you otherwise in a prospectus supplement, a “business day” is any day that is not a Saturday, a Sunday or a day on which banking institutions in any of New York, New York; Houston, Texas or a place of payment on the debt securities of that series is authorized or obligated by law, regulation or executive order to remain closed.</w:t>
      </w:r>
    </w:p>
    <w:p>
      <w:pPr>
        <w:spacing w:after="0" w:line="41"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Subject to the requirements of any applicable abandoned property laws, the trustee and paying agent will pay to us upon written request any money held by them for payments on the debt securities that remains unclaimed for two years after the date upon which that payment has become due. After payment to us, holders entitled to the money must look to us for payment. In that case, all liability of the trustee or paying agent with respect to that money will cease.</w:t>
      </w:r>
    </w:p>
    <w:p>
      <w:pPr>
        <w:spacing w:after="0" w:line="59"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i w:val="1"/>
          <w:iCs w:val="1"/>
          <w:color w:val="auto"/>
        </w:rPr>
        <w:t xml:space="preserve">Book-Entry Debt Securities. </w:t>
      </w:r>
      <w:r>
        <w:rPr>
          <w:rFonts w:ascii="Arial" w:cs="Arial" w:eastAsia="Arial" w:hAnsi="Arial"/>
          <w:sz w:val="13"/>
          <w:szCs w:val="13"/>
          <w:color w:val="auto"/>
        </w:rPr>
        <w:t>The debt securities of a series may be issued in the form of one or more global debt securities that would be deposited with a depositary or its</w:t>
      </w:r>
      <w:r>
        <w:rPr>
          <w:rFonts w:ascii="Arial" w:cs="Arial" w:eastAsia="Arial" w:hAnsi="Arial"/>
          <w:sz w:val="13"/>
          <w:szCs w:val="13"/>
          <w:i w:val="1"/>
          <w:iCs w:val="1"/>
          <w:color w:val="auto"/>
        </w:rPr>
        <w:t xml:space="preserve"> </w:t>
      </w:r>
      <w:r>
        <w:rPr>
          <w:rFonts w:ascii="Arial" w:cs="Arial" w:eastAsia="Arial" w:hAnsi="Arial"/>
          <w:sz w:val="13"/>
          <w:szCs w:val="13"/>
          <w:color w:val="auto"/>
        </w:rPr>
        <w:t>nominee identified in the prospectus supplement. Global debt securities may be issued in either temporary or permanent form. We will describe in the prospectus supplement the terms of any depositary arrangement and the rights and limitations of owners of beneficial interests in any global debt security.</w:t>
      </w:r>
    </w:p>
    <w:p>
      <w:pPr>
        <w:spacing w:after="0" w:line="27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Provisions Applicable Solely to Senior Debt Securities</w:t>
      </w:r>
    </w:p>
    <w:p>
      <w:pPr>
        <w:spacing w:after="0" w:line="104" w:lineRule="exact"/>
        <w:rPr>
          <w:sz w:val="20"/>
          <w:szCs w:val="20"/>
          <w:color w:val="auto"/>
        </w:rPr>
      </w:pPr>
    </w:p>
    <w:p>
      <w:pPr>
        <w:ind w:left="680" w:right="40" w:firstLine="399"/>
        <w:spacing w:after="0" w:line="295" w:lineRule="auto"/>
        <w:rPr>
          <w:sz w:val="20"/>
          <w:szCs w:val="20"/>
          <w:color w:val="auto"/>
        </w:rPr>
      </w:pPr>
      <w:r>
        <w:rPr>
          <w:rFonts w:ascii="Arial" w:cs="Arial" w:eastAsia="Arial" w:hAnsi="Arial"/>
          <w:sz w:val="12"/>
          <w:szCs w:val="12"/>
          <w:i w:val="1"/>
          <w:iCs w:val="1"/>
          <w:color w:val="auto"/>
        </w:rPr>
        <w:t xml:space="preserve">Ranking and Guarantee. </w:t>
      </w:r>
      <w:r>
        <w:rPr>
          <w:rFonts w:ascii="Arial" w:cs="Arial" w:eastAsia="Arial" w:hAnsi="Arial"/>
          <w:sz w:val="12"/>
          <w:szCs w:val="12"/>
          <w:color w:val="auto"/>
        </w:rPr>
        <w:t>The senior debt securities will constitute senior debt of Waste Management and will rank equally with all of the other series of debt securities issued</w:t>
      </w:r>
      <w:r>
        <w:rPr>
          <w:rFonts w:ascii="Arial" w:cs="Arial" w:eastAsia="Arial" w:hAnsi="Arial"/>
          <w:sz w:val="12"/>
          <w:szCs w:val="12"/>
          <w:i w:val="1"/>
          <w:iCs w:val="1"/>
          <w:color w:val="auto"/>
        </w:rPr>
        <w:t xml:space="preserve"> </w:t>
      </w:r>
      <w:r>
        <w:rPr>
          <w:rFonts w:ascii="Arial" w:cs="Arial" w:eastAsia="Arial" w:hAnsi="Arial"/>
          <w:sz w:val="12"/>
          <w:szCs w:val="12"/>
          <w:color w:val="auto"/>
        </w:rPr>
        <w:t>under the senior indenture and will rank senior to all series of subordinated securities issued and outstanding from time to time. However, if the senior debt securities are not guaranteed by Waste Management Holdings, then such securities will be structurally subordinated to all senior debt that is so guaranteed. If provided in a prospectus supplement, Waste Management Holdings may fully and unconditionally guarantee on a senior unsecured basis the full and prompt payment of the principal of and any premium and interest on the senior debt securities issued by Waste Management when and as the payment becomes due and payable, whether at maturity or otherwise.</w:t>
      </w:r>
    </w:p>
    <w:p>
      <w:pPr>
        <w:spacing w:after="0" w:line="49"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i w:val="1"/>
          <w:iCs w:val="1"/>
          <w:color w:val="auto"/>
        </w:rPr>
        <w:t xml:space="preserve">Restrictive Covenants. </w:t>
      </w:r>
      <w:r>
        <w:rPr>
          <w:rFonts w:ascii="Arial" w:cs="Arial" w:eastAsia="Arial" w:hAnsi="Arial"/>
          <w:sz w:val="13"/>
          <w:szCs w:val="13"/>
          <w:color w:val="auto"/>
        </w:rPr>
        <w:t>We have agreed to two principal restrictions on our activities for the benefit of holders of the senior debt securities. The restrictive covenants summarized</w:t>
      </w:r>
      <w:r>
        <w:rPr>
          <w:rFonts w:ascii="Arial" w:cs="Arial" w:eastAsia="Arial" w:hAnsi="Arial"/>
          <w:sz w:val="13"/>
          <w:szCs w:val="13"/>
          <w:i w:val="1"/>
          <w:iCs w:val="1"/>
          <w:color w:val="auto"/>
        </w:rPr>
        <w:t xml:space="preserve"> </w:t>
      </w:r>
      <w:r>
        <w:rPr>
          <w:rFonts w:ascii="Arial" w:cs="Arial" w:eastAsia="Arial" w:hAnsi="Arial"/>
          <w:sz w:val="13"/>
          <w:szCs w:val="13"/>
          <w:color w:val="auto"/>
        </w:rPr>
        <w:t>below will apply to a series of senior debt securities (unless waived or amended) as long as any of those debt securities are outstanding, unless the prospectus supplement for the series states otherwise. We have used in this summary description capitalized terms that we have defined below under “Glossary.”</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Limitation on Liens</w:t>
      </w:r>
    </w:p>
    <w:p>
      <w:pPr>
        <w:spacing w:after="0" w:line="102" w:lineRule="exact"/>
        <w:rPr>
          <w:sz w:val="20"/>
          <w:szCs w:val="20"/>
          <w:color w:val="auto"/>
        </w:rPr>
      </w:pPr>
    </w:p>
    <w:p>
      <w:pPr>
        <w:ind w:left="680" w:firstLine="399"/>
        <w:spacing w:after="0" w:line="294" w:lineRule="auto"/>
        <w:rPr>
          <w:sz w:val="20"/>
          <w:szCs w:val="20"/>
          <w:color w:val="auto"/>
        </w:rPr>
      </w:pPr>
      <w:r>
        <w:rPr>
          <w:rFonts w:ascii="Arial" w:cs="Arial" w:eastAsia="Arial" w:hAnsi="Arial"/>
          <w:sz w:val="13"/>
          <w:szCs w:val="13"/>
          <w:color w:val="auto"/>
        </w:rPr>
        <w:t>We have agreed that we and our Restricted Subsidiaries will create, issue, incur or assume Indebtedness secured by a lien upon a Principal Property only if the outstanding senior debt securities are secured equally and ratably with or prior to the Indebtedness secured by that lien. This covenant has exceptions that permit:</w:t>
      </w:r>
    </w:p>
    <w:p>
      <w:pPr>
        <w:spacing w:after="0" w:line="47" w:lineRule="exact"/>
        <w:rPr>
          <w:sz w:val="20"/>
          <w:szCs w:val="20"/>
          <w:color w:val="auto"/>
        </w:rPr>
      </w:pPr>
    </w:p>
    <w:p>
      <w:pPr>
        <w:ind w:left="1660" w:hanging="190"/>
        <w:spacing w:after="0"/>
        <w:tabs>
          <w:tab w:leader="none" w:pos="1660" w:val="left"/>
        </w:tabs>
        <w:numPr>
          <w:ilvl w:val="0"/>
          <w:numId w:val="19"/>
        </w:numPr>
        <w:rPr>
          <w:rFonts w:ascii="Arial" w:cs="Arial" w:eastAsia="Arial" w:hAnsi="Arial"/>
          <w:sz w:val="13"/>
          <w:szCs w:val="13"/>
          <w:color w:val="auto"/>
        </w:rPr>
      </w:pPr>
      <w:r>
        <w:rPr>
          <w:rFonts w:ascii="Arial" w:cs="Arial" w:eastAsia="Arial" w:hAnsi="Arial"/>
          <w:sz w:val="13"/>
          <w:szCs w:val="13"/>
          <w:color w:val="auto"/>
        </w:rPr>
        <w:t>liens on the property or assets existing at the time of acquisition which secure obligations assumed by us or our Restricted Subsidiaries;</w:t>
      </w:r>
    </w:p>
    <w:p>
      <w:pPr>
        <w:spacing w:after="0" w:line="102" w:lineRule="exact"/>
        <w:rPr>
          <w:rFonts w:ascii="Arial" w:cs="Arial" w:eastAsia="Arial" w:hAnsi="Arial"/>
          <w:sz w:val="13"/>
          <w:szCs w:val="13"/>
          <w:color w:val="auto"/>
        </w:rPr>
      </w:pPr>
    </w:p>
    <w:p>
      <w:pPr>
        <w:ind w:left="1660" w:hanging="190"/>
        <w:spacing w:after="0"/>
        <w:tabs>
          <w:tab w:leader="none" w:pos="1660" w:val="left"/>
        </w:tabs>
        <w:numPr>
          <w:ilvl w:val="0"/>
          <w:numId w:val="19"/>
        </w:numPr>
        <w:rPr>
          <w:rFonts w:ascii="Arial" w:cs="Arial" w:eastAsia="Arial" w:hAnsi="Arial"/>
          <w:sz w:val="13"/>
          <w:szCs w:val="13"/>
          <w:color w:val="auto"/>
        </w:rPr>
      </w:pPr>
      <w:r>
        <w:rPr>
          <w:rFonts w:ascii="Arial" w:cs="Arial" w:eastAsia="Arial" w:hAnsi="Arial"/>
          <w:sz w:val="13"/>
          <w:szCs w:val="13"/>
          <w:color w:val="auto"/>
        </w:rPr>
        <w:t>conditional sales agreements with respect to any property or assets acquired by us or a Restricted Subsidiary;</w:t>
      </w:r>
    </w:p>
    <w:p>
      <w:pPr>
        <w:spacing w:after="0" w:line="102" w:lineRule="exact"/>
        <w:rPr>
          <w:rFonts w:ascii="Arial" w:cs="Arial" w:eastAsia="Arial" w:hAnsi="Arial"/>
          <w:sz w:val="13"/>
          <w:szCs w:val="13"/>
          <w:color w:val="auto"/>
        </w:rPr>
      </w:pPr>
    </w:p>
    <w:p>
      <w:pPr>
        <w:ind w:left="1080" w:right="460" w:firstLine="390"/>
        <w:spacing w:after="0" w:line="294" w:lineRule="auto"/>
        <w:tabs>
          <w:tab w:leader="none" w:pos="1646" w:val="left"/>
        </w:tabs>
        <w:numPr>
          <w:ilvl w:val="0"/>
          <w:numId w:val="19"/>
        </w:numPr>
        <w:rPr>
          <w:rFonts w:ascii="Arial" w:cs="Arial" w:eastAsia="Arial" w:hAnsi="Arial"/>
          <w:sz w:val="13"/>
          <w:szCs w:val="13"/>
          <w:color w:val="auto"/>
        </w:rPr>
      </w:pPr>
      <w:r>
        <w:rPr>
          <w:rFonts w:ascii="Arial" w:cs="Arial" w:eastAsia="Arial" w:hAnsi="Arial"/>
          <w:sz w:val="13"/>
          <w:szCs w:val="13"/>
          <w:color w:val="auto"/>
        </w:rPr>
        <w:t>liens on the property, assets or stock of an entity at the time the entity is merged into or consolidated with us or a Restricted Subsidiary or at the time the entity becomes a Restricted Subsidiary;</w:t>
      </w:r>
    </w:p>
    <w:p>
      <w:pPr>
        <w:spacing w:after="0" w:line="46" w:lineRule="exact"/>
        <w:rPr>
          <w:rFonts w:ascii="Arial" w:cs="Arial" w:eastAsia="Arial" w:hAnsi="Arial"/>
          <w:sz w:val="13"/>
          <w:szCs w:val="13"/>
          <w:color w:val="auto"/>
        </w:rPr>
      </w:pPr>
    </w:p>
    <w:p>
      <w:pPr>
        <w:ind w:left="1080" w:right="100" w:firstLine="390"/>
        <w:spacing w:after="0" w:line="294" w:lineRule="auto"/>
        <w:tabs>
          <w:tab w:leader="none" w:pos="1653" w:val="left"/>
        </w:tabs>
        <w:numPr>
          <w:ilvl w:val="0"/>
          <w:numId w:val="19"/>
        </w:numPr>
        <w:rPr>
          <w:rFonts w:ascii="Arial" w:cs="Arial" w:eastAsia="Arial" w:hAnsi="Arial"/>
          <w:sz w:val="13"/>
          <w:szCs w:val="13"/>
          <w:color w:val="auto"/>
        </w:rPr>
      </w:pPr>
      <w:r>
        <w:rPr>
          <w:rFonts w:ascii="Arial" w:cs="Arial" w:eastAsia="Arial" w:hAnsi="Arial"/>
          <w:sz w:val="13"/>
          <w:szCs w:val="13"/>
          <w:color w:val="auto"/>
        </w:rPr>
        <w:t xml:space="preserve">liens on the property, assets or stock of an entity that becomes us in accordance with </w:t>
      </w:r>
      <w:r>
        <w:rPr>
          <w:rFonts w:ascii="Arial" w:cs="Arial" w:eastAsia="Arial" w:hAnsi="Arial"/>
          <w:sz w:val="13"/>
          <w:szCs w:val="13"/>
          <w:i w:val="1"/>
          <w:iCs w:val="1"/>
          <w:color w:val="auto"/>
        </w:rPr>
        <w:t>“Provisions Applicable to Debt Securities — Consolidation, Merger and Sale of</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Assets,” </w:t>
      </w:r>
      <w:r>
        <w:rPr>
          <w:rFonts w:ascii="Arial" w:cs="Arial" w:eastAsia="Arial" w:hAnsi="Arial"/>
          <w:sz w:val="13"/>
          <w:szCs w:val="13"/>
          <w:color w:val="auto"/>
        </w:rPr>
        <w:t>above;</w:t>
      </w:r>
    </w:p>
    <w:p>
      <w:pPr>
        <w:spacing w:after="0" w:line="46" w:lineRule="exact"/>
        <w:rPr>
          <w:rFonts w:ascii="Arial" w:cs="Arial" w:eastAsia="Arial" w:hAnsi="Arial"/>
          <w:sz w:val="13"/>
          <w:szCs w:val="13"/>
          <w:color w:val="auto"/>
        </w:rPr>
      </w:pPr>
    </w:p>
    <w:p>
      <w:pPr>
        <w:ind w:left="1660" w:hanging="190"/>
        <w:spacing w:after="0"/>
        <w:tabs>
          <w:tab w:leader="none" w:pos="1660" w:val="left"/>
        </w:tabs>
        <w:numPr>
          <w:ilvl w:val="0"/>
          <w:numId w:val="19"/>
        </w:numPr>
        <w:rPr>
          <w:rFonts w:ascii="Arial" w:cs="Arial" w:eastAsia="Arial" w:hAnsi="Arial"/>
          <w:sz w:val="13"/>
          <w:szCs w:val="13"/>
          <w:color w:val="auto"/>
        </w:rPr>
      </w:pPr>
      <w:r>
        <w:rPr>
          <w:rFonts w:ascii="Arial" w:cs="Arial" w:eastAsia="Arial" w:hAnsi="Arial"/>
          <w:sz w:val="13"/>
          <w:szCs w:val="13"/>
          <w:color w:val="auto"/>
        </w:rPr>
        <w:t>liens on assets either:</w:t>
      </w:r>
    </w:p>
    <w:p>
      <w:pPr>
        <w:spacing w:after="0" w:line="102" w:lineRule="exact"/>
        <w:rPr>
          <w:sz w:val="20"/>
          <w:szCs w:val="20"/>
          <w:color w:val="auto"/>
        </w:rPr>
      </w:pPr>
    </w:p>
    <w:p>
      <w:pPr>
        <w:ind w:left="1680" w:hanging="185"/>
        <w:spacing w:after="0"/>
        <w:tabs>
          <w:tab w:leader="none" w:pos="16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existing at the time of, or created within 360 days after, the acquisition of the assets, or</w:t>
      </w:r>
    </w:p>
    <w:p>
      <w:pPr>
        <w:spacing w:after="0" w:line="92" w:lineRule="exact"/>
        <w:rPr>
          <w:rFonts w:ascii="Arial" w:cs="Arial" w:eastAsia="Arial" w:hAnsi="Arial"/>
          <w:sz w:val="13"/>
          <w:szCs w:val="13"/>
          <w:color w:val="auto"/>
        </w:rPr>
      </w:pPr>
    </w:p>
    <w:p>
      <w:pPr>
        <w:ind w:left="1680" w:right="60" w:hanging="185"/>
        <w:spacing w:after="0" w:line="276" w:lineRule="auto"/>
        <w:tabs>
          <w:tab w:leader="none" w:pos="16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securing Indebtedness incurred to finance all or part of the purchase price of the assets or the cost of constructing, improving, developing or expanding the assets that was incurred before, at the time of, or created within 360 days after, the later of the completion of construction, improvement, development or expansion or the commencement of commercial operation of the assets;</w:t>
      </w:r>
    </w:p>
    <w:p>
      <w:pPr>
        <w:spacing w:after="0" w:line="59" w:lineRule="exact"/>
        <w:rPr>
          <w:sz w:val="20"/>
          <w:szCs w:val="20"/>
          <w:color w:val="auto"/>
        </w:rPr>
      </w:pPr>
    </w:p>
    <w:p>
      <w:pPr>
        <w:ind w:left="1640" w:hanging="170"/>
        <w:spacing w:after="0"/>
        <w:tabs>
          <w:tab w:leader="none" w:pos="16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intercompany liens;</w:t>
      </w:r>
    </w:p>
    <w:p>
      <w:pPr>
        <w:spacing w:after="0" w:line="102" w:lineRule="exact"/>
        <w:rPr>
          <w:rFonts w:ascii="Arial" w:cs="Arial" w:eastAsia="Arial" w:hAnsi="Arial"/>
          <w:sz w:val="13"/>
          <w:szCs w:val="13"/>
          <w:color w:val="auto"/>
        </w:rPr>
      </w:pPr>
    </w:p>
    <w:p>
      <w:pPr>
        <w:ind w:left="1660" w:hanging="190"/>
        <w:spacing w:after="0"/>
        <w:tabs>
          <w:tab w:leader="none" w:pos="1660" w:val="left"/>
        </w:tabs>
        <w:numPr>
          <w:ilvl w:val="0"/>
          <w:numId w:val="21"/>
        </w:numPr>
        <w:rPr>
          <w:rFonts w:ascii="Arial" w:cs="Arial" w:eastAsia="Arial" w:hAnsi="Arial"/>
          <w:sz w:val="13"/>
          <w:szCs w:val="13"/>
          <w:color w:val="auto"/>
        </w:rPr>
      </w:pPr>
      <w:r>
        <w:rPr>
          <w:rFonts w:ascii="Arial" w:cs="Arial" w:eastAsia="Arial" w:hAnsi="Arial"/>
          <w:sz w:val="13"/>
          <w:szCs w:val="13"/>
          <w:color w:val="auto"/>
        </w:rPr>
        <w:t>mechanics’, materialmen’s and like liens incurred in the ordinary course of business;</w:t>
      </w:r>
    </w:p>
    <w:p>
      <w:pPr>
        <w:spacing w:after="0" w:line="102" w:lineRule="exact"/>
        <w:rPr>
          <w:rFonts w:ascii="Arial" w:cs="Arial" w:eastAsia="Arial" w:hAnsi="Arial"/>
          <w:sz w:val="13"/>
          <w:szCs w:val="13"/>
          <w:color w:val="auto"/>
        </w:rPr>
      </w:pPr>
    </w:p>
    <w:p>
      <w:pPr>
        <w:ind w:left="1660" w:hanging="190"/>
        <w:spacing w:after="0"/>
        <w:tabs>
          <w:tab w:leader="none" w:pos="1660" w:val="left"/>
        </w:tabs>
        <w:numPr>
          <w:ilvl w:val="0"/>
          <w:numId w:val="21"/>
        </w:numPr>
        <w:rPr>
          <w:rFonts w:ascii="Arial" w:cs="Arial" w:eastAsia="Arial" w:hAnsi="Arial"/>
          <w:sz w:val="13"/>
          <w:szCs w:val="13"/>
          <w:color w:val="auto"/>
        </w:rPr>
      </w:pPr>
      <w:r>
        <w:rPr>
          <w:rFonts w:ascii="Arial" w:cs="Arial" w:eastAsia="Arial" w:hAnsi="Arial"/>
          <w:sz w:val="13"/>
          <w:szCs w:val="13"/>
          <w:color w:val="auto"/>
        </w:rPr>
        <w:t>liens arising by deposits or security given to governmental agencies required in order to do business with the government;</w:t>
      </w:r>
    </w:p>
    <w:p>
      <w:pPr>
        <w:spacing w:after="0" w:line="102" w:lineRule="exact"/>
        <w:rPr>
          <w:rFonts w:ascii="Arial" w:cs="Arial" w:eastAsia="Arial" w:hAnsi="Arial"/>
          <w:sz w:val="13"/>
          <w:szCs w:val="13"/>
          <w:color w:val="auto"/>
        </w:rPr>
      </w:pPr>
    </w:p>
    <w:p>
      <w:pPr>
        <w:ind w:left="1640" w:hanging="170"/>
        <w:spacing w:after="0"/>
        <w:tabs>
          <w:tab w:leader="none" w:pos="16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liens for taxes, assessments or governmental charges not yet delinquent or being contested in good faith;</w:t>
      </w:r>
    </w:p>
    <w:p>
      <w:pPr>
        <w:spacing w:after="0" w:line="102" w:lineRule="exact"/>
        <w:rPr>
          <w:rFonts w:ascii="Arial" w:cs="Arial" w:eastAsia="Arial" w:hAnsi="Arial"/>
          <w:sz w:val="13"/>
          <w:szCs w:val="13"/>
          <w:color w:val="auto"/>
        </w:rPr>
      </w:pPr>
    </w:p>
    <w:p>
      <w:pPr>
        <w:ind w:left="1640" w:hanging="170"/>
        <w:spacing w:after="0"/>
        <w:tabs>
          <w:tab w:leader="none" w:pos="16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liens in connection with legal proceedings so long as the proceeding is being contested in good faith or execution thereon is stayed;</w:t>
      </w:r>
    </w:p>
    <w:p>
      <w:pPr>
        <w:spacing w:after="0" w:line="102" w:lineRule="exact"/>
        <w:rPr>
          <w:rFonts w:ascii="Arial" w:cs="Arial" w:eastAsia="Arial" w:hAnsi="Arial"/>
          <w:sz w:val="13"/>
          <w:szCs w:val="13"/>
          <w:color w:val="auto"/>
        </w:rPr>
      </w:pPr>
    </w:p>
    <w:p>
      <w:pPr>
        <w:ind w:left="1660" w:hanging="190"/>
        <w:spacing w:after="0"/>
        <w:tabs>
          <w:tab w:leader="none" w:pos="1660" w:val="left"/>
        </w:tabs>
        <w:numPr>
          <w:ilvl w:val="0"/>
          <w:numId w:val="21"/>
        </w:numPr>
        <w:rPr>
          <w:rFonts w:ascii="Arial" w:cs="Arial" w:eastAsia="Arial" w:hAnsi="Arial"/>
          <w:sz w:val="13"/>
          <w:szCs w:val="13"/>
          <w:color w:val="auto"/>
        </w:rPr>
      </w:pPr>
      <w:r>
        <w:rPr>
          <w:rFonts w:ascii="Arial" w:cs="Arial" w:eastAsia="Arial" w:hAnsi="Arial"/>
          <w:sz w:val="13"/>
          <w:szCs w:val="13"/>
          <w:color w:val="auto"/>
        </w:rPr>
        <w:t>landlord’s liens on fixtures located on property leased by us or Restricted Subsidiaries in the ordinary course of business;</w:t>
      </w:r>
    </w:p>
    <w:p>
      <w:pPr>
        <w:spacing w:after="0" w:line="31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20"/>
          </w:cols>
          <w:pgMar w:left="220" w:top="349" w:right="105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1640" w:hanging="170"/>
        <w:spacing w:after="0"/>
        <w:tabs>
          <w:tab w:leader="none" w:pos="16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liens in favor of any governmental authority in connection with the financing of the cost of construction or acquisition of property;</w:t>
      </w:r>
    </w:p>
    <w:p>
      <w:pPr>
        <w:spacing w:after="0" w:line="102" w:lineRule="exact"/>
        <w:rPr>
          <w:rFonts w:ascii="Arial" w:cs="Arial" w:eastAsia="Arial" w:hAnsi="Arial"/>
          <w:sz w:val="13"/>
          <w:szCs w:val="13"/>
          <w:color w:val="auto"/>
        </w:rPr>
      </w:pPr>
    </w:p>
    <w:p>
      <w:pPr>
        <w:ind w:left="1700" w:hanging="230"/>
        <w:spacing w:after="0"/>
        <w:tabs>
          <w:tab w:leader="none" w:pos="17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liens arising due to deposits to qualify us or a Restricted Subsidiary to do business, maintain self-insurance or obtain the benefit of or comply with laws;</w:t>
      </w:r>
    </w:p>
    <w:p>
      <w:pPr>
        <w:spacing w:after="0" w:line="102" w:lineRule="exact"/>
        <w:rPr>
          <w:rFonts w:ascii="Arial" w:cs="Arial" w:eastAsia="Arial" w:hAnsi="Arial"/>
          <w:sz w:val="13"/>
          <w:szCs w:val="13"/>
          <w:color w:val="auto"/>
        </w:rPr>
      </w:pPr>
    </w:p>
    <w:p>
      <w:pPr>
        <w:ind w:left="1660" w:hanging="190"/>
        <w:spacing w:after="0"/>
        <w:tabs>
          <w:tab w:leader="none" w:pos="1660" w:val="left"/>
        </w:tabs>
        <w:numPr>
          <w:ilvl w:val="0"/>
          <w:numId w:val="22"/>
        </w:numPr>
        <w:rPr>
          <w:rFonts w:ascii="Arial" w:cs="Arial" w:eastAsia="Arial" w:hAnsi="Arial"/>
          <w:sz w:val="13"/>
          <w:szCs w:val="13"/>
          <w:color w:val="auto"/>
        </w:rPr>
      </w:pPr>
      <w:r>
        <w:rPr>
          <w:rFonts w:ascii="Arial" w:cs="Arial" w:eastAsia="Arial" w:hAnsi="Arial"/>
          <w:sz w:val="13"/>
          <w:szCs w:val="13"/>
          <w:color w:val="auto"/>
        </w:rPr>
        <w:t>liens securing industrial development, pollution control or other revenue bonds of a domestic government entity;</w:t>
      </w:r>
    </w:p>
    <w:p>
      <w:pPr>
        <w:spacing w:after="0" w:line="102" w:lineRule="exact"/>
        <w:rPr>
          <w:rFonts w:ascii="Arial" w:cs="Arial" w:eastAsia="Arial" w:hAnsi="Arial"/>
          <w:sz w:val="13"/>
          <w:szCs w:val="13"/>
          <w:color w:val="auto"/>
        </w:rPr>
      </w:pPr>
    </w:p>
    <w:p>
      <w:pPr>
        <w:ind w:left="1660" w:hanging="190"/>
        <w:spacing w:after="0"/>
        <w:tabs>
          <w:tab w:leader="none" w:pos="1660" w:val="left"/>
        </w:tabs>
        <w:numPr>
          <w:ilvl w:val="0"/>
          <w:numId w:val="22"/>
        </w:numPr>
        <w:rPr>
          <w:rFonts w:ascii="Arial" w:cs="Arial" w:eastAsia="Arial" w:hAnsi="Arial"/>
          <w:sz w:val="13"/>
          <w:szCs w:val="13"/>
          <w:color w:val="auto"/>
        </w:rPr>
      </w:pPr>
      <w:r>
        <w:rPr>
          <w:rFonts w:ascii="Arial" w:cs="Arial" w:eastAsia="Arial" w:hAnsi="Arial"/>
          <w:sz w:val="13"/>
          <w:szCs w:val="13"/>
          <w:color w:val="auto"/>
        </w:rPr>
        <w:t>liens arising in connection with the sale of accounts receivable; and</w:t>
      </w:r>
    </w:p>
    <w:p>
      <w:pPr>
        <w:spacing w:after="0" w:line="102" w:lineRule="exact"/>
        <w:rPr>
          <w:rFonts w:ascii="Arial" w:cs="Arial" w:eastAsia="Arial" w:hAnsi="Arial"/>
          <w:sz w:val="13"/>
          <w:szCs w:val="13"/>
          <w:color w:val="auto"/>
        </w:rPr>
      </w:pPr>
    </w:p>
    <w:p>
      <w:pPr>
        <w:ind w:left="1080" w:right="220" w:firstLine="390"/>
        <w:spacing w:after="0" w:line="294" w:lineRule="auto"/>
        <w:tabs>
          <w:tab w:leader="none" w:pos="1653" w:val="left"/>
        </w:tabs>
        <w:numPr>
          <w:ilvl w:val="0"/>
          <w:numId w:val="22"/>
        </w:numPr>
        <w:rPr>
          <w:rFonts w:ascii="Arial" w:cs="Arial" w:eastAsia="Arial" w:hAnsi="Arial"/>
          <w:sz w:val="13"/>
          <w:szCs w:val="13"/>
          <w:color w:val="auto"/>
        </w:rPr>
      </w:pPr>
      <w:r>
        <w:rPr>
          <w:rFonts w:ascii="Arial" w:cs="Arial" w:eastAsia="Arial" w:hAnsi="Arial"/>
          <w:sz w:val="13"/>
          <w:szCs w:val="13"/>
          <w:color w:val="auto"/>
        </w:rPr>
        <w:t>any extensions, substitutions, replacements or renewals of the above-described liens or any Indebtedness secured by these liens if the lien is limited to the property (plus any improvements) secured by the original lien.</w:t>
      </w:r>
    </w:p>
    <w:p>
      <w:pPr>
        <w:spacing w:after="0" w:line="47" w:lineRule="exact"/>
        <w:rPr>
          <w:sz w:val="20"/>
          <w:szCs w:val="20"/>
          <w:color w:val="auto"/>
        </w:rPr>
      </w:pPr>
    </w:p>
    <w:p>
      <w:pPr>
        <w:ind w:left="680" w:right="20"/>
        <w:spacing w:after="0" w:line="267" w:lineRule="auto"/>
        <w:rPr>
          <w:sz w:val="20"/>
          <w:szCs w:val="20"/>
          <w:color w:val="auto"/>
        </w:rPr>
      </w:pPr>
      <w:r>
        <w:rPr>
          <w:rFonts w:ascii="Arial" w:cs="Arial" w:eastAsia="Arial" w:hAnsi="Arial"/>
          <w:sz w:val="13"/>
          <w:szCs w:val="13"/>
          <w:color w:val="auto"/>
        </w:rPr>
        <w:t>In addition, without securing the senior debt securities as described above, we and our Restricted Subsidiaries may issue, assume or guarantee Indebtedness that this covenant would otherwise restrict in a total principal amount that, when added to all other outstanding Indebtedness that this covenant would otherwise restrict and the total amount of Attributable Debt outstanding for Sale/Leaseback Transactions, does not exceed 15% of Consolidated Net Tangible Assets. When calculating this total principal amount, we exclude from the calculation Attributable Debt from Sale/Leaseback Transactions in connection with which we have purchased property or retired or defeased Indebtedness as described in clause (b) below under “Limitation on Sale/Leaseback Transactions.”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Limitation on Sale/Leaseback Transactions</w:t>
      </w:r>
    </w:p>
    <w:p>
      <w:pPr>
        <w:spacing w:after="0" w:line="102" w:lineRule="exact"/>
        <w:rPr>
          <w:sz w:val="20"/>
          <w:szCs w:val="20"/>
          <w:color w:val="auto"/>
        </w:rPr>
      </w:pPr>
    </w:p>
    <w:p>
      <w:pPr>
        <w:ind w:left="680" w:right="160" w:firstLine="399"/>
        <w:spacing w:after="0" w:line="294" w:lineRule="auto"/>
        <w:rPr>
          <w:sz w:val="20"/>
          <w:szCs w:val="20"/>
          <w:color w:val="auto"/>
        </w:rPr>
      </w:pPr>
      <w:r>
        <w:rPr>
          <w:rFonts w:ascii="Arial" w:cs="Arial" w:eastAsia="Arial" w:hAnsi="Arial"/>
          <w:sz w:val="13"/>
          <w:szCs w:val="13"/>
          <w:color w:val="auto"/>
        </w:rPr>
        <w:t>Unless provided otherwise in a prospectus supplement, we and our Restricted Subsidiaries will not enter into a Sale/Leaseback Transaction unless at least one of the following applies:</w:t>
      </w:r>
    </w:p>
    <w:p>
      <w:pPr>
        <w:spacing w:after="0" w:line="47" w:lineRule="exact"/>
        <w:rPr>
          <w:sz w:val="20"/>
          <w:szCs w:val="20"/>
          <w:color w:val="auto"/>
        </w:rPr>
      </w:pPr>
    </w:p>
    <w:p>
      <w:pPr>
        <w:ind w:left="1080" w:right="400" w:firstLine="390"/>
        <w:spacing w:after="0" w:line="338" w:lineRule="auto"/>
        <w:tabs>
          <w:tab w:leader="none" w:pos="1646" w:val="left"/>
        </w:tabs>
        <w:numPr>
          <w:ilvl w:val="0"/>
          <w:numId w:val="23"/>
        </w:numPr>
        <w:rPr>
          <w:rFonts w:ascii="Arial" w:cs="Arial" w:eastAsia="Arial" w:hAnsi="Arial"/>
          <w:sz w:val="12"/>
          <w:szCs w:val="12"/>
          <w:color w:val="auto"/>
        </w:rPr>
      </w:pPr>
      <w:r>
        <w:rPr>
          <w:rFonts w:ascii="Arial" w:cs="Arial" w:eastAsia="Arial" w:hAnsi="Arial"/>
          <w:sz w:val="12"/>
          <w:szCs w:val="12"/>
          <w:color w:val="auto"/>
        </w:rPr>
        <w:t>we or that Restricted Subsidiary could incur Indebtedness in a principal amount equal to the Attributable Debt for that Sale/Leaseback Transaction and, without violating the “Limitation on Liens” covenant, could secure that debt by a lien on the property to be leased without equally and ratably securing the senior debt securities;</w:t>
      </w:r>
    </w:p>
    <w:p>
      <w:pPr>
        <w:spacing w:after="0" w:line="24" w:lineRule="exact"/>
        <w:rPr>
          <w:rFonts w:ascii="Arial" w:cs="Arial" w:eastAsia="Arial" w:hAnsi="Arial"/>
          <w:sz w:val="12"/>
          <w:szCs w:val="12"/>
          <w:color w:val="auto"/>
        </w:rPr>
      </w:pPr>
    </w:p>
    <w:p>
      <w:pPr>
        <w:ind w:left="1080" w:right="500" w:firstLine="390"/>
        <w:spacing w:after="0" w:line="338" w:lineRule="auto"/>
        <w:tabs>
          <w:tab w:leader="none" w:pos="1653" w:val="left"/>
        </w:tabs>
        <w:numPr>
          <w:ilvl w:val="0"/>
          <w:numId w:val="23"/>
        </w:numPr>
        <w:rPr>
          <w:rFonts w:ascii="Arial" w:cs="Arial" w:eastAsia="Arial" w:hAnsi="Arial"/>
          <w:sz w:val="12"/>
          <w:szCs w:val="12"/>
          <w:color w:val="auto"/>
        </w:rPr>
      </w:pPr>
      <w:r>
        <w:rPr>
          <w:rFonts w:ascii="Arial" w:cs="Arial" w:eastAsia="Arial" w:hAnsi="Arial"/>
          <w:sz w:val="12"/>
          <w:szCs w:val="12"/>
          <w:color w:val="auto"/>
        </w:rPr>
        <w:t>within 180 days after the effective date of any Sale/Leaseback Transaction, we will apply the net proceeds of the Sale/Leaseback Transaction to the voluntary defeasance or retirement of any senior debt securities issued under the senior indenture or to the acquisition or capital improvement of a Principal Property; or</w:t>
      </w:r>
    </w:p>
    <w:p>
      <w:pPr>
        <w:spacing w:after="0" w:line="24" w:lineRule="exact"/>
        <w:rPr>
          <w:rFonts w:ascii="Arial" w:cs="Arial" w:eastAsia="Arial" w:hAnsi="Arial"/>
          <w:sz w:val="12"/>
          <w:szCs w:val="12"/>
          <w:color w:val="auto"/>
        </w:rPr>
      </w:pPr>
    </w:p>
    <w:p>
      <w:pPr>
        <w:ind w:left="1080" w:right="300" w:firstLine="390"/>
        <w:spacing w:after="0" w:line="294" w:lineRule="auto"/>
        <w:tabs>
          <w:tab w:leader="none" w:pos="1646" w:val="left"/>
        </w:tabs>
        <w:numPr>
          <w:ilvl w:val="0"/>
          <w:numId w:val="23"/>
        </w:numPr>
        <w:rPr>
          <w:rFonts w:ascii="Arial" w:cs="Arial" w:eastAsia="Arial" w:hAnsi="Arial"/>
          <w:sz w:val="13"/>
          <w:szCs w:val="13"/>
          <w:color w:val="auto"/>
        </w:rPr>
      </w:pPr>
      <w:r>
        <w:rPr>
          <w:rFonts w:ascii="Arial" w:cs="Arial" w:eastAsia="Arial" w:hAnsi="Arial"/>
          <w:sz w:val="13"/>
          <w:szCs w:val="13"/>
          <w:color w:val="auto"/>
        </w:rPr>
        <w:t>within 180 days after entering into the Sale/Leaseback Transaction, we have entered into a commitment to expend for the acquisition or capital improvement of a Principal Property an amount equal to the fair value (as determined by our Board of Directors) of the property to be leased.</w:t>
      </w:r>
    </w:p>
    <w:p>
      <w:pPr>
        <w:spacing w:after="0" w:line="47" w:lineRule="exact"/>
        <w:rPr>
          <w:sz w:val="20"/>
          <w:szCs w:val="20"/>
          <w:color w:val="auto"/>
        </w:rPr>
      </w:pPr>
    </w:p>
    <w:p>
      <w:pPr>
        <w:jc w:val="both"/>
        <w:ind w:left="1080" w:right="560"/>
        <w:spacing w:after="0" w:line="276" w:lineRule="auto"/>
        <w:rPr>
          <w:sz w:val="20"/>
          <w:szCs w:val="20"/>
          <w:color w:val="auto"/>
        </w:rPr>
      </w:pPr>
      <w:r>
        <w:rPr>
          <w:rFonts w:ascii="Arial" w:cs="Arial" w:eastAsia="Arial" w:hAnsi="Arial"/>
          <w:sz w:val="13"/>
          <w:szCs w:val="13"/>
          <w:color w:val="auto"/>
        </w:rPr>
        <w:t>Notwithstanding the above, we and our Restricted Subsidiaries may effect a Sale/Leaseback Transaction that is not allowable under the clauses above provided that the Attributable Debt associated with the transaction, together with the aggregate principal amount of debt secured by liens on Principal Property not acceptable under the “Limitation on Liens” covenant, do not exceed 15% of Consolidated Net Tangible Assets.</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Glossary</w:t>
      </w:r>
    </w:p>
    <w:p>
      <w:pPr>
        <w:spacing w:after="0" w:line="102" w:lineRule="exact"/>
        <w:rPr>
          <w:sz w:val="20"/>
          <w:szCs w:val="20"/>
          <w:color w:val="auto"/>
        </w:rPr>
      </w:pPr>
    </w:p>
    <w:p>
      <w:pPr>
        <w:ind w:left="680" w:firstLine="399"/>
        <w:spacing w:after="0" w:line="270" w:lineRule="auto"/>
        <w:rPr>
          <w:sz w:val="20"/>
          <w:szCs w:val="20"/>
          <w:color w:val="auto"/>
        </w:rPr>
      </w:pPr>
      <w:r>
        <w:rPr>
          <w:rFonts w:ascii="Arial" w:cs="Arial" w:eastAsia="Arial" w:hAnsi="Arial"/>
          <w:sz w:val="13"/>
          <w:szCs w:val="13"/>
          <w:i w:val="1"/>
          <w:iCs w:val="1"/>
          <w:color w:val="auto"/>
        </w:rPr>
        <w:t xml:space="preserve">“Attributable Debt” </w:t>
      </w:r>
      <w:r>
        <w:rPr>
          <w:rFonts w:ascii="Arial" w:cs="Arial" w:eastAsia="Arial" w:hAnsi="Arial"/>
          <w:sz w:val="13"/>
          <w:szCs w:val="13"/>
          <w:color w:val="auto"/>
        </w:rPr>
        <w:t>means the present value of the rental payments during the remaining term of the lease included in the Sale/Leaseback Transaction. To determine that present</w:t>
      </w:r>
      <w:r>
        <w:rPr>
          <w:rFonts w:ascii="Arial" w:cs="Arial" w:eastAsia="Arial" w:hAnsi="Arial"/>
          <w:sz w:val="13"/>
          <w:szCs w:val="13"/>
          <w:i w:val="1"/>
          <w:iCs w:val="1"/>
          <w:color w:val="auto"/>
        </w:rPr>
        <w:t xml:space="preserve"> </w:t>
      </w:r>
      <w:r>
        <w:rPr>
          <w:rFonts w:ascii="Arial" w:cs="Arial" w:eastAsia="Arial" w:hAnsi="Arial"/>
          <w:sz w:val="13"/>
          <w:szCs w:val="13"/>
          <w:color w:val="auto"/>
        </w:rPr>
        <w:t>value, we use a discount rate equal to the lease rate of the Sale/Leaseback Transaction. For these purposes, rental payments do not include any amounts required to be paid for taxes, maintenance, repairs, insurance, assessments, utilities, operating and labor costs and other items that do not constitute payments for property rights. In the case of any lease that the lessee may terminate by paying a penalty, if the net amount (including payment of the penalty) would be</w:t>
      </w:r>
    </w:p>
    <w:p>
      <w:pPr>
        <w:spacing w:after="0" w:line="27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20"/>
          </w:cols>
          <w:pgMar w:left="220" w:top="349" w:right="105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reduced if the lessee terminated the lease on the first date that it could be terminated, then this lower net amount will be used.</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“Consolidated Net Tangible Assets” </w:t>
      </w:r>
      <w:r>
        <w:rPr>
          <w:rFonts w:ascii="Arial" w:cs="Arial" w:eastAsia="Arial" w:hAnsi="Arial"/>
          <w:sz w:val="13"/>
          <w:szCs w:val="13"/>
          <w:color w:val="auto"/>
        </w:rPr>
        <w:t>means the total amount of assets of Waste Management, Inc. and its consolidated subsidiaries less:</w:t>
      </w:r>
    </w:p>
    <w:p>
      <w:pPr>
        <w:spacing w:after="0" w:line="102" w:lineRule="exact"/>
        <w:rPr>
          <w:sz w:val="20"/>
          <w:szCs w:val="20"/>
          <w:color w:val="auto"/>
        </w:rPr>
      </w:pPr>
    </w:p>
    <w:p>
      <w:pPr>
        <w:ind w:left="1300" w:right="260" w:hanging="208"/>
        <w:spacing w:after="0" w:line="294" w:lineRule="auto"/>
        <w:tabs>
          <w:tab w:leader="none" w:pos="13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all current liabilities (excluding liabilities that are extendable or renewable at our option to a date more than 12 months after the date of calculation and excluding current maturities of long-term debt); and</w:t>
      </w:r>
    </w:p>
    <w:p>
      <w:pPr>
        <w:spacing w:after="0" w:line="36" w:lineRule="exact"/>
        <w:rPr>
          <w:rFonts w:ascii="Arial" w:cs="Arial" w:eastAsia="Arial" w:hAnsi="Arial"/>
          <w:sz w:val="13"/>
          <w:szCs w:val="13"/>
          <w:color w:val="auto"/>
        </w:rPr>
      </w:pPr>
    </w:p>
    <w:p>
      <w:pPr>
        <w:ind w:left="1300" w:hanging="208"/>
        <w:spacing w:after="0"/>
        <w:tabs>
          <w:tab w:leader="none" w:pos="13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value of all intangible assets.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will calculate Consolidated Net Tangible Assets based on our most recent quarterly balance sheet.</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2"/>
          <w:szCs w:val="12"/>
          <w:i w:val="1"/>
          <w:iCs w:val="1"/>
          <w:color w:val="auto"/>
        </w:rPr>
        <w:t xml:space="preserve">“Indebtedness” </w:t>
      </w:r>
      <w:r>
        <w:rPr>
          <w:rFonts w:ascii="Arial" w:cs="Arial" w:eastAsia="Arial" w:hAnsi="Arial"/>
          <w:sz w:val="12"/>
          <w:szCs w:val="12"/>
          <w:color w:val="auto"/>
        </w:rPr>
        <w:t>means (a) all obligations for borrowed money or on which interest charges are customarily paid, all as shown on the balance sheet of the indebted party and</w:t>
      </w:r>
    </w:p>
    <w:p>
      <w:pPr>
        <w:spacing w:after="0" w:line="34"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 all guarantees of Indebtedness.</w:t>
      </w:r>
    </w:p>
    <w:p>
      <w:pPr>
        <w:spacing w:after="0" w:line="92"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i w:val="1"/>
          <w:iCs w:val="1"/>
          <w:color w:val="auto"/>
        </w:rPr>
        <w:t xml:space="preserve">“Restricted Subsidiary” </w:t>
      </w:r>
      <w:r>
        <w:rPr>
          <w:rFonts w:ascii="Arial" w:cs="Arial" w:eastAsia="Arial" w:hAnsi="Arial"/>
          <w:sz w:val="13"/>
          <w:szCs w:val="13"/>
          <w:color w:val="auto"/>
        </w:rPr>
        <w:t>means any Subsidiary (a) principally engaged in, or whose principal assets consist of property used by us or any Restricted Subsidiary in the storage,</w:t>
      </w:r>
      <w:r>
        <w:rPr>
          <w:rFonts w:ascii="Arial" w:cs="Arial" w:eastAsia="Arial" w:hAnsi="Arial"/>
          <w:sz w:val="13"/>
          <w:szCs w:val="13"/>
          <w:i w:val="1"/>
          <w:iCs w:val="1"/>
          <w:color w:val="auto"/>
        </w:rPr>
        <w:t xml:space="preserve"> </w:t>
      </w:r>
      <w:r>
        <w:rPr>
          <w:rFonts w:ascii="Arial" w:cs="Arial" w:eastAsia="Arial" w:hAnsi="Arial"/>
          <w:sz w:val="13"/>
          <w:szCs w:val="13"/>
          <w:color w:val="auto"/>
        </w:rPr>
        <w:t>collection, transfer, interim processing or disposal of waste within the United States or Canada or (b) which we designate as a Restricted Subsidiary in an officer’s certificate delivered to the trustee.</w:t>
      </w:r>
    </w:p>
    <w:p>
      <w:pPr>
        <w:spacing w:after="0" w:line="59" w:lineRule="exact"/>
        <w:rPr>
          <w:sz w:val="20"/>
          <w:szCs w:val="20"/>
          <w:color w:val="auto"/>
        </w:rPr>
      </w:pPr>
    </w:p>
    <w:p>
      <w:pPr>
        <w:ind w:left="680" w:right="300" w:firstLine="399"/>
        <w:spacing w:after="0" w:line="299" w:lineRule="auto"/>
        <w:rPr>
          <w:sz w:val="20"/>
          <w:szCs w:val="20"/>
          <w:color w:val="auto"/>
        </w:rPr>
      </w:pPr>
      <w:r>
        <w:rPr>
          <w:rFonts w:ascii="Arial" w:cs="Arial" w:eastAsia="Arial" w:hAnsi="Arial"/>
          <w:sz w:val="12"/>
          <w:szCs w:val="12"/>
          <w:i w:val="1"/>
          <w:iCs w:val="1"/>
          <w:color w:val="auto"/>
        </w:rPr>
        <w:t xml:space="preserve">“Principal Property” </w:t>
      </w:r>
      <w:r>
        <w:rPr>
          <w:rFonts w:ascii="Arial" w:cs="Arial" w:eastAsia="Arial" w:hAnsi="Arial"/>
          <w:sz w:val="12"/>
          <w:szCs w:val="12"/>
          <w:color w:val="auto"/>
        </w:rPr>
        <w:t>means any waste processing, waste disposal or resource recovery plant or similar facility located within the United States or Canada and owned by, or</w:t>
      </w:r>
      <w:r>
        <w:rPr>
          <w:rFonts w:ascii="Arial" w:cs="Arial" w:eastAsia="Arial" w:hAnsi="Arial"/>
          <w:sz w:val="12"/>
          <w:szCs w:val="12"/>
          <w:i w:val="1"/>
          <w:iCs w:val="1"/>
          <w:color w:val="auto"/>
        </w:rPr>
        <w:t xml:space="preserve"> </w:t>
      </w:r>
      <w:r>
        <w:rPr>
          <w:rFonts w:ascii="Arial" w:cs="Arial" w:eastAsia="Arial" w:hAnsi="Arial"/>
          <w:sz w:val="12"/>
          <w:szCs w:val="12"/>
          <w:color w:val="auto"/>
        </w:rPr>
        <w:t>leased to, us by any Restricted Subsidiary except (a) any such plant or facility (i) owned or leased jointly or in common with one or more persons other than us and any Restricted Subsidiaries in which our and our Restricted Subsidiaries’ interest does not exceed 50%, or (ii) which our Board of Directors determines is not material in importance to our total business or (b) any portion of such plant or facility which our Board of Directors determines in good faith not to be of material importance to the use or operation thereof.</w:t>
      </w:r>
    </w:p>
    <w:p>
      <w:pPr>
        <w:spacing w:after="0" w:line="48" w:lineRule="exact"/>
        <w:rPr>
          <w:sz w:val="20"/>
          <w:szCs w:val="20"/>
          <w:color w:val="auto"/>
        </w:rPr>
      </w:pPr>
    </w:p>
    <w:p>
      <w:pPr>
        <w:ind w:left="680" w:right="400" w:firstLine="399"/>
        <w:spacing w:after="0" w:line="294" w:lineRule="auto"/>
        <w:rPr>
          <w:sz w:val="20"/>
          <w:szCs w:val="20"/>
          <w:color w:val="auto"/>
        </w:rPr>
      </w:pPr>
      <w:r>
        <w:rPr>
          <w:rFonts w:ascii="Arial" w:cs="Arial" w:eastAsia="Arial" w:hAnsi="Arial"/>
          <w:sz w:val="13"/>
          <w:szCs w:val="13"/>
          <w:i w:val="1"/>
          <w:iCs w:val="1"/>
          <w:color w:val="auto"/>
        </w:rPr>
        <w:t xml:space="preserve">“Sale/Leaseback Transaction” </w:t>
      </w:r>
      <w:r>
        <w:rPr>
          <w:rFonts w:ascii="Arial" w:cs="Arial" w:eastAsia="Arial" w:hAnsi="Arial"/>
          <w:sz w:val="13"/>
          <w:szCs w:val="13"/>
          <w:color w:val="auto"/>
        </w:rPr>
        <w:t>means any arrangement with anyone under which we or our Restricted Subsidiaries lease any Principal Property that we or such Restricted</w:t>
      </w:r>
      <w:r>
        <w:rPr>
          <w:rFonts w:ascii="Arial" w:cs="Arial" w:eastAsia="Arial" w:hAnsi="Arial"/>
          <w:sz w:val="13"/>
          <w:szCs w:val="13"/>
          <w:i w:val="1"/>
          <w:iCs w:val="1"/>
          <w:color w:val="auto"/>
        </w:rPr>
        <w:t xml:space="preserve"> </w:t>
      </w:r>
      <w:r>
        <w:rPr>
          <w:rFonts w:ascii="Arial" w:cs="Arial" w:eastAsia="Arial" w:hAnsi="Arial"/>
          <w:sz w:val="13"/>
          <w:szCs w:val="13"/>
          <w:color w:val="auto"/>
        </w:rPr>
        <w:t>Subsidiary has sold or transferred or will sell or transfer to that person. This term excludes the following:</w:t>
      </w:r>
    </w:p>
    <w:p>
      <w:pPr>
        <w:spacing w:after="0" w:line="47" w:lineRule="exact"/>
        <w:rPr>
          <w:sz w:val="20"/>
          <w:szCs w:val="20"/>
          <w:color w:val="auto"/>
        </w:rPr>
      </w:pPr>
    </w:p>
    <w:p>
      <w:pPr>
        <w:ind w:left="1300" w:hanging="208"/>
        <w:spacing w:after="0"/>
        <w:tabs>
          <w:tab w:leader="none" w:pos="13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temporary leases for a term of not more than three years; and</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intercompany leases.</w:t>
      </w:r>
    </w:p>
    <w:p>
      <w:pPr>
        <w:spacing w:after="0" w:line="102" w:lineRule="exact"/>
        <w:rPr>
          <w:sz w:val="20"/>
          <w:szCs w:val="20"/>
          <w:color w:val="auto"/>
        </w:rPr>
      </w:pPr>
    </w:p>
    <w:p>
      <w:pPr>
        <w:ind w:left="680" w:firstLine="399"/>
        <w:spacing w:after="0" w:line="294" w:lineRule="auto"/>
        <w:rPr>
          <w:sz w:val="20"/>
          <w:szCs w:val="20"/>
          <w:color w:val="auto"/>
        </w:rPr>
      </w:pPr>
      <w:r>
        <w:rPr>
          <w:rFonts w:ascii="Arial" w:cs="Arial" w:eastAsia="Arial" w:hAnsi="Arial"/>
          <w:sz w:val="13"/>
          <w:szCs w:val="13"/>
          <w:i w:val="1"/>
          <w:iCs w:val="1"/>
          <w:color w:val="auto"/>
        </w:rPr>
        <w:t xml:space="preserve">“Subsidiary” </w:t>
      </w:r>
      <w:r>
        <w:rPr>
          <w:rFonts w:ascii="Arial" w:cs="Arial" w:eastAsia="Arial" w:hAnsi="Arial"/>
          <w:sz w:val="13"/>
          <w:szCs w:val="13"/>
          <w:color w:val="auto"/>
        </w:rPr>
        <w:t>means an entity at least a majority of the outstanding voting stock of which is owned, directly or indirectly, by us or by one or more other Subsidiaries, or by us and</w:t>
      </w:r>
      <w:r>
        <w:rPr>
          <w:rFonts w:ascii="Arial" w:cs="Arial" w:eastAsia="Arial" w:hAnsi="Arial"/>
          <w:sz w:val="13"/>
          <w:szCs w:val="13"/>
          <w:i w:val="1"/>
          <w:iCs w:val="1"/>
          <w:color w:val="auto"/>
        </w:rPr>
        <w:t xml:space="preserve"> </w:t>
      </w:r>
      <w:r>
        <w:rPr>
          <w:rFonts w:ascii="Arial" w:cs="Arial" w:eastAsia="Arial" w:hAnsi="Arial"/>
          <w:sz w:val="13"/>
          <w:szCs w:val="13"/>
          <w:color w:val="auto"/>
        </w:rPr>
        <w:t>one or more other Subsidiaries.</w:t>
      </w:r>
    </w:p>
    <w:p>
      <w:pPr>
        <w:spacing w:after="0" w:line="12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Provisions Applicable Solely to Subordinated Debt Securities</w:t>
      </w:r>
    </w:p>
    <w:p>
      <w:pPr>
        <w:spacing w:after="0" w:line="104" w:lineRule="exact"/>
        <w:rPr>
          <w:sz w:val="20"/>
          <w:szCs w:val="20"/>
          <w:color w:val="auto"/>
        </w:rPr>
      </w:pPr>
    </w:p>
    <w:p>
      <w:pPr>
        <w:ind w:left="680" w:right="160" w:firstLine="399"/>
        <w:spacing w:after="0" w:line="294" w:lineRule="auto"/>
        <w:rPr>
          <w:sz w:val="20"/>
          <w:szCs w:val="20"/>
          <w:color w:val="auto"/>
        </w:rPr>
      </w:pPr>
      <w:r>
        <w:rPr>
          <w:rFonts w:ascii="Arial" w:cs="Arial" w:eastAsia="Arial" w:hAnsi="Arial"/>
          <w:sz w:val="13"/>
          <w:szCs w:val="13"/>
          <w:i w:val="1"/>
          <w:iCs w:val="1"/>
          <w:color w:val="auto"/>
        </w:rPr>
        <w:t xml:space="preserve">Ranking. </w:t>
      </w:r>
      <w:r>
        <w:rPr>
          <w:rFonts w:ascii="Arial" w:cs="Arial" w:eastAsia="Arial" w:hAnsi="Arial"/>
          <w:sz w:val="13"/>
          <w:szCs w:val="13"/>
          <w:color w:val="auto"/>
        </w:rPr>
        <w:t>The subordinated debt securities will rank junior to all of our senior debt and may rank equally with or senior to our other subordinated debt that may be outstanding</w:t>
      </w:r>
      <w:r>
        <w:rPr>
          <w:rFonts w:ascii="Arial" w:cs="Arial" w:eastAsia="Arial" w:hAnsi="Arial"/>
          <w:sz w:val="13"/>
          <w:szCs w:val="13"/>
          <w:i w:val="1"/>
          <w:iCs w:val="1"/>
          <w:color w:val="auto"/>
        </w:rPr>
        <w:t xml:space="preserve"> </w:t>
      </w:r>
      <w:r>
        <w:rPr>
          <w:rFonts w:ascii="Arial" w:cs="Arial" w:eastAsia="Arial" w:hAnsi="Arial"/>
          <w:sz w:val="13"/>
          <w:szCs w:val="13"/>
          <w:color w:val="auto"/>
        </w:rPr>
        <w:t>from time to time.</w:t>
      </w:r>
    </w:p>
    <w:p>
      <w:pPr>
        <w:spacing w:after="0" w:line="47" w:lineRule="exact"/>
        <w:rPr>
          <w:sz w:val="20"/>
          <w:szCs w:val="20"/>
          <w:color w:val="auto"/>
        </w:rPr>
      </w:pPr>
    </w:p>
    <w:p>
      <w:pPr>
        <w:jc w:val="both"/>
        <w:ind w:left="680" w:right="120" w:firstLine="399"/>
        <w:spacing w:after="0" w:line="299" w:lineRule="auto"/>
        <w:rPr>
          <w:sz w:val="20"/>
          <w:szCs w:val="20"/>
          <w:color w:val="auto"/>
        </w:rPr>
      </w:pPr>
      <w:r>
        <w:rPr>
          <w:rFonts w:ascii="Arial" w:cs="Arial" w:eastAsia="Arial" w:hAnsi="Arial"/>
          <w:sz w:val="12"/>
          <w:szCs w:val="12"/>
          <w:i w:val="1"/>
          <w:iCs w:val="1"/>
          <w:color w:val="auto"/>
        </w:rPr>
        <w:t xml:space="preserve">Subordination. </w:t>
      </w:r>
      <w:r>
        <w:rPr>
          <w:rFonts w:ascii="Arial" w:cs="Arial" w:eastAsia="Arial" w:hAnsi="Arial"/>
          <w:sz w:val="12"/>
          <w:szCs w:val="12"/>
          <w:color w:val="auto"/>
        </w:rPr>
        <w:t>Under the subordinated indenture, payment of the principal of and any premium and interest on the subordinated debt securities will generally be subordinated</w:t>
      </w:r>
      <w:r>
        <w:rPr>
          <w:rFonts w:ascii="Arial" w:cs="Arial" w:eastAsia="Arial" w:hAnsi="Arial"/>
          <w:sz w:val="12"/>
          <w:szCs w:val="12"/>
          <w:i w:val="1"/>
          <w:iCs w:val="1"/>
          <w:color w:val="auto"/>
        </w:rPr>
        <w:t xml:space="preserve"> </w:t>
      </w:r>
      <w:r>
        <w:rPr>
          <w:rFonts w:ascii="Arial" w:cs="Arial" w:eastAsia="Arial" w:hAnsi="Arial"/>
          <w:sz w:val="12"/>
          <w:szCs w:val="12"/>
          <w:color w:val="auto"/>
        </w:rPr>
        <w:t>and junior in right of payment to the prior payment in full of all senior indebtedness. Unless we inform you otherwise in the prospectus supplement, we may not make any payment of principal of or any premium or interest on the subordinated debt securities if we fail to pay the principal, interest, premium or any other amounts on any senior indebtedness when due. The subordination does not affect our obligation to make payments in our capital stock pursuant to any conversion right or otherwise made on our capital stock.</w:t>
      </w:r>
    </w:p>
    <w:p>
      <w:pPr>
        <w:spacing w:after="0" w:line="48" w:lineRule="exact"/>
        <w:rPr>
          <w:sz w:val="20"/>
          <w:szCs w:val="20"/>
          <w:color w:val="auto"/>
        </w:rPr>
      </w:pPr>
    </w:p>
    <w:p>
      <w:pPr>
        <w:ind w:left="680" w:right="20" w:firstLine="399"/>
        <w:spacing w:after="0" w:line="294" w:lineRule="auto"/>
        <w:rPr>
          <w:sz w:val="20"/>
          <w:szCs w:val="20"/>
          <w:color w:val="auto"/>
        </w:rPr>
      </w:pPr>
      <w:r>
        <w:rPr>
          <w:rFonts w:ascii="Arial" w:cs="Arial" w:eastAsia="Arial" w:hAnsi="Arial"/>
          <w:sz w:val="13"/>
          <w:szCs w:val="13"/>
          <w:color w:val="auto"/>
        </w:rPr>
        <w:t>The subordinated indenture does not limit the amount of senior indebtedness that we may incur. As a result of the subordination of the subordinated debt securities, if we become insolvent, holders of subordinated debt securities may receive less on a proportionate basis than other creditors.</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6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DESCRIPTION OF GUARANTEES</w:t>
      </w:r>
    </w:p>
    <w:p>
      <w:pPr>
        <w:spacing w:after="0" w:line="104"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Waste Management Holdings may fully and unconditionally guarantee our payment obligations under any series of debt securities. If a series of debt securities is so guaranteed, Waste Management Holdings will execute a separate guarantee agreement or a supplemental indenture as further evidence of its guarantee. We will provide the specific terms of any guarantee in the prospectus supplement.</w:t>
      </w:r>
    </w:p>
    <w:p>
      <w:pPr>
        <w:spacing w:after="0" w:line="59"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The obligations of Waste Management Holdings under its guarantee will be limited to the maximum amount that will not result in the obligations of Waste Management Holdings under the guarantee constituting a fraudulent conveyance or fraudulent transfer under federal or state law. The specific provisions under which Waste Management Holdings may be released and discharged from its guarantee will be set forth in the prospectus supplement.</w:t>
      </w:r>
    </w:p>
    <w:p>
      <w:pPr>
        <w:spacing w:after="0" w:line="59" w:lineRule="exact"/>
        <w:rPr>
          <w:sz w:val="20"/>
          <w:szCs w:val="20"/>
          <w:color w:val="auto"/>
        </w:rPr>
      </w:pPr>
    </w:p>
    <w:p>
      <w:pPr>
        <w:ind w:left="680" w:right="560" w:firstLine="399"/>
        <w:spacing w:after="0" w:line="338" w:lineRule="auto"/>
        <w:rPr>
          <w:sz w:val="20"/>
          <w:szCs w:val="20"/>
          <w:color w:val="auto"/>
        </w:rPr>
      </w:pPr>
      <w:r>
        <w:rPr>
          <w:rFonts w:ascii="Arial" w:cs="Arial" w:eastAsia="Arial" w:hAnsi="Arial"/>
          <w:sz w:val="12"/>
          <w:szCs w:val="12"/>
          <w:color w:val="auto"/>
        </w:rPr>
        <w:t>If a series of debt securities is guaranteed by and is designated as subordinate to our senior indebtedness, then those guarantees by Waste Management Holdings will be subordinated to the senior indebtedness of Waste Management Holdings on substantially the same extent as the series is subordinated to our senior indebtedness.</w:t>
      </w:r>
    </w:p>
    <w:p>
      <w:pPr>
        <w:spacing w:after="0" w:line="184" w:lineRule="exact"/>
        <w:rPr>
          <w:sz w:val="20"/>
          <w:szCs w:val="20"/>
          <w:color w:val="auto"/>
        </w:rPr>
      </w:pPr>
    </w:p>
    <w:p>
      <w:pPr>
        <w:ind w:left="4540"/>
        <w:spacing w:after="0"/>
        <w:rPr>
          <w:sz w:val="20"/>
          <w:szCs w:val="20"/>
          <w:color w:val="auto"/>
        </w:rPr>
      </w:pPr>
      <w:r>
        <w:rPr>
          <w:rFonts w:ascii="Arial" w:cs="Arial" w:eastAsia="Arial" w:hAnsi="Arial"/>
          <w:sz w:val="13"/>
          <w:szCs w:val="13"/>
          <w:b w:val="1"/>
          <w:bCs w:val="1"/>
          <w:color w:val="auto"/>
        </w:rPr>
        <w:t>DESCRIPTION OF CAPITAL STOCK</w:t>
      </w:r>
    </w:p>
    <w:p>
      <w:pPr>
        <w:spacing w:after="0" w:line="18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General</w:t>
      </w:r>
    </w:p>
    <w:p>
      <w:pPr>
        <w:spacing w:after="0" w:line="104" w:lineRule="exact"/>
        <w:rPr>
          <w:sz w:val="20"/>
          <w:szCs w:val="20"/>
          <w:color w:val="auto"/>
        </w:rPr>
      </w:pPr>
    </w:p>
    <w:p>
      <w:pPr>
        <w:ind w:left="680" w:right="180" w:firstLine="399"/>
        <w:spacing w:after="0" w:line="338" w:lineRule="auto"/>
        <w:rPr>
          <w:sz w:val="20"/>
          <w:szCs w:val="20"/>
          <w:color w:val="auto"/>
        </w:rPr>
      </w:pPr>
      <w:r>
        <w:rPr>
          <w:rFonts w:ascii="Arial" w:cs="Arial" w:eastAsia="Arial" w:hAnsi="Arial"/>
          <w:sz w:val="12"/>
          <w:szCs w:val="12"/>
          <w:color w:val="auto"/>
        </w:rPr>
        <w:t>We may issue shares of our common stock to purchasers or in order to settle litigation or other claims or to satisfy judgment or arbitration awards. We may also issue shares of common stock to persons upon exercise of any convertible securities issued hereunder. The terms of any offering of common stock will be provided in a prospectus supplement.</w:t>
      </w:r>
    </w:p>
    <w:p>
      <w:pPr>
        <w:spacing w:after="0" w:line="24" w:lineRule="exact"/>
        <w:rPr>
          <w:sz w:val="20"/>
          <w:szCs w:val="20"/>
          <w:color w:val="auto"/>
        </w:rPr>
      </w:pPr>
    </w:p>
    <w:p>
      <w:pPr>
        <w:ind w:left="680" w:right="480" w:firstLine="399"/>
        <w:spacing w:after="0" w:line="294" w:lineRule="auto"/>
        <w:rPr>
          <w:sz w:val="20"/>
          <w:szCs w:val="20"/>
          <w:color w:val="auto"/>
        </w:rPr>
      </w:pPr>
      <w:r>
        <w:rPr>
          <w:rFonts w:ascii="Arial" w:cs="Arial" w:eastAsia="Arial" w:hAnsi="Arial"/>
          <w:sz w:val="13"/>
          <w:szCs w:val="13"/>
          <w:color w:val="auto"/>
        </w:rPr>
        <w:t>We are authorized to issue 1,500,000,000 shares of common stock, of which 490,957,915 shares were outstanding at September 18, 2009. We are also authorized to issue 10,000,000 shares of preferred stock, none of which were outstanding on that date.</w:t>
      </w:r>
    </w:p>
    <w:p>
      <w:pPr>
        <w:spacing w:after="0" w:line="12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Common stock</w:t>
      </w:r>
    </w:p>
    <w:p>
      <w:pPr>
        <w:spacing w:after="0" w:line="104" w:lineRule="exact"/>
        <w:rPr>
          <w:sz w:val="20"/>
          <w:szCs w:val="20"/>
          <w:color w:val="auto"/>
        </w:rPr>
      </w:pPr>
    </w:p>
    <w:p>
      <w:pPr>
        <w:ind w:left="680" w:right="520" w:firstLine="399"/>
        <w:spacing w:after="0" w:line="294" w:lineRule="auto"/>
        <w:rPr>
          <w:sz w:val="20"/>
          <w:szCs w:val="20"/>
          <w:color w:val="auto"/>
        </w:rPr>
      </w:pPr>
      <w:r>
        <w:rPr>
          <w:rFonts w:ascii="Arial" w:cs="Arial" w:eastAsia="Arial" w:hAnsi="Arial"/>
          <w:sz w:val="13"/>
          <w:szCs w:val="13"/>
          <w:i w:val="1"/>
          <w:iCs w:val="1"/>
          <w:color w:val="auto"/>
        </w:rPr>
        <w:t xml:space="preserve">Dividends. </w:t>
      </w:r>
      <w:r>
        <w:rPr>
          <w:rFonts w:ascii="Arial" w:cs="Arial" w:eastAsia="Arial" w:hAnsi="Arial"/>
          <w:sz w:val="13"/>
          <w:szCs w:val="13"/>
          <w:color w:val="auto"/>
        </w:rPr>
        <w:t>Holders of common stock are entitled to receive dividends when declared by our Board of Directors. In certain cases, common stockholders may not receive</w:t>
      </w:r>
      <w:r>
        <w:rPr>
          <w:rFonts w:ascii="Arial" w:cs="Arial" w:eastAsia="Arial" w:hAnsi="Arial"/>
          <w:sz w:val="13"/>
          <w:szCs w:val="13"/>
          <w:i w:val="1"/>
          <w:iCs w:val="1"/>
          <w:color w:val="auto"/>
        </w:rPr>
        <w:t xml:space="preserve"> </w:t>
      </w:r>
      <w:r>
        <w:rPr>
          <w:rFonts w:ascii="Arial" w:cs="Arial" w:eastAsia="Arial" w:hAnsi="Arial"/>
          <w:sz w:val="13"/>
          <w:szCs w:val="13"/>
          <w:color w:val="auto"/>
        </w:rPr>
        <w:t>dividends until we satisfy our obligations to any preferred stockholders.</w:t>
      </w:r>
    </w:p>
    <w:p>
      <w:pPr>
        <w:spacing w:after="0" w:line="47" w:lineRule="exact"/>
        <w:rPr>
          <w:sz w:val="20"/>
          <w:szCs w:val="20"/>
          <w:color w:val="auto"/>
        </w:rPr>
      </w:pPr>
    </w:p>
    <w:p>
      <w:pPr>
        <w:ind w:left="680" w:firstLine="399"/>
        <w:spacing w:after="0" w:line="338" w:lineRule="auto"/>
        <w:rPr>
          <w:sz w:val="20"/>
          <w:szCs w:val="20"/>
          <w:color w:val="auto"/>
        </w:rPr>
      </w:pPr>
      <w:r>
        <w:rPr>
          <w:rFonts w:ascii="Arial" w:cs="Arial" w:eastAsia="Arial" w:hAnsi="Arial"/>
          <w:sz w:val="12"/>
          <w:szCs w:val="12"/>
          <w:i w:val="1"/>
          <w:iCs w:val="1"/>
          <w:color w:val="auto"/>
        </w:rPr>
        <w:t xml:space="preserve">Voting Rights. </w:t>
      </w:r>
      <w:r>
        <w:rPr>
          <w:rFonts w:ascii="Arial" w:cs="Arial" w:eastAsia="Arial" w:hAnsi="Arial"/>
          <w:sz w:val="12"/>
          <w:szCs w:val="12"/>
          <w:color w:val="auto"/>
        </w:rPr>
        <w:t>Each share of common stock is entitled to one vote in the election of directors and in each other matter we may ask stockholders to vote on. Common stockholders</w:t>
      </w:r>
      <w:r>
        <w:rPr>
          <w:rFonts w:ascii="Arial" w:cs="Arial" w:eastAsia="Arial" w:hAnsi="Arial"/>
          <w:sz w:val="12"/>
          <w:szCs w:val="12"/>
          <w:i w:val="1"/>
          <w:iCs w:val="1"/>
          <w:color w:val="auto"/>
        </w:rPr>
        <w:t xml:space="preserve"> </w:t>
      </w:r>
      <w:r>
        <w:rPr>
          <w:rFonts w:ascii="Arial" w:cs="Arial" w:eastAsia="Arial" w:hAnsi="Arial"/>
          <w:sz w:val="12"/>
          <w:szCs w:val="12"/>
          <w:color w:val="auto"/>
        </w:rPr>
        <w:t>do not have cumulative voting rights. Accordingly, the holders of a majority of shares voting for the election of directors can elect all of the directors standing for election.</w:t>
      </w:r>
    </w:p>
    <w:p>
      <w:pPr>
        <w:spacing w:after="0" w:line="24" w:lineRule="exact"/>
        <w:rPr>
          <w:sz w:val="20"/>
          <w:szCs w:val="20"/>
          <w:color w:val="auto"/>
        </w:rPr>
      </w:pPr>
    </w:p>
    <w:p>
      <w:pPr>
        <w:ind w:left="680" w:right="100" w:firstLine="399"/>
        <w:spacing w:after="0" w:line="294" w:lineRule="auto"/>
        <w:rPr>
          <w:sz w:val="20"/>
          <w:szCs w:val="20"/>
          <w:color w:val="auto"/>
        </w:rPr>
      </w:pPr>
      <w:r>
        <w:rPr>
          <w:rFonts w:ascii="Arial" w:cs="Arial" w:eastAsia="Arial" w:hAnsi="Arial"/>
          <w:sz w:val="13"/>
          <w:szCs w:val="13"/>
          <w:i w:val="1"/>
          <w:iCs w:val="1"/>
          <w:color w:val="auto"/>
        </w:rPr>
        <w:t xml:space="preserve">Fully Paid Status. </w:t>
      </w:r>
      <w:r>
        <w:rPr>
          <w:rFonts w:ascii="Arial" w:cs="Arial" w:eastAsia="Arial" w:hAnsi="Arial"/>
          <w:sz w:val="13"/>
          <w:szCs w:val="13"/>
          <w:color w:val="auto"/>
        </w:rPr>
        <w:t>All outstanding shares of our common stock are validly issued, fully paid and non-assessable. The shares offered hereby will also be, upon issuance and sale,</w:t>
      </w:r>
      <w:r>
        <w:rPr>
          <w:rFonts w:ascii="Arial" w:cs="Arial" w:eastAsia="Arial" w:hAnsi="Arial"/>
          <w:sz w:val="13"/>
          <w:szCs w:val="13"/>
          <w:i w:val="1"/>
          <w:iCs w:val="1"/>
          <w:color w:val="auto"/>
        </w:rPr>
        <w:t xml:space="preserve"> </w:t>
      </w:r>
      <w:r>
        <w:rPr>
          <w:rFonts w:ascii="Arial" w:cs="Arial" w:eastAsia="Arial" w:hAnsi="Arial"/>
          <w:sz w:val="13"/>
          <w:szCs w:val="13"/>
          <w:color w:val="auto"/>
        </w:rPr>
        <w:t>validly issued, fully paid and non-assessable.</w:t>
      </w:r>
    </w:p>
    <w:p>
      <w:pPr>
        <w:spacing w:after="0" w:line="47" w:lineRule="exact"/>
        <w:rPr>
          <w:sz w:val="20"/>
          <w:szCs w:val="20"/>
          <w:color w:val="auto"/>
        </w:rPr>
      </w:pPr>
    </w:p>
    <w:p>
      <w:pPr>
        <w:ind w:left="680" w:right="20" w:firstLine="399"/>
        <w:spacing w:after="0" w:line="294" w:lineRule="auto"/>
        <w:rPr>
          <w:sz w:val="20"/>
          <w:szCs w:val="20"/>
          <w:color w:val="auto"/>
        </w:rPr>
      </w:pPr>
      <w:r>
        <w:rPr>
          <w:rFonts w:ascii="Arial" w:cs="Arial" w:eastAsia="Arial" w:hAnsi="Arial"/>
          <w:sz w:val="13"/>
          <w:szCs w:val="13"/>
          <w:i w:val="1"/>
          <w:iCs w:val="1"/>
          <w:color w:val="auto"/>
        </w:rPr>
        <w:t xml:space="preserve">Liquidation or Dissolution. </w:t>
      </w:r>
      <w:r>
        <w:rPr>
          <w:rFonts w:ascii="Arial" w:cs="Arial" w:eastAsia="Arial" w:hAnsi="Arial"/>
          <w:sz w:val="13"/>
          <w:szCs w:val="13"/>
          <w:color w:val="auto"/>
        </w:rPr>
        <w:t>If we liquidate, dissolve or wind up our business, whether or not voluntarily, common stockholders will share ratably in the assets remaining after we</w:t>
      </w:r>
      <w:r>
        <w:rPr>
          <w:rFonts w:ascii="Arial" w:cs="Arial" w:eastAsia="Arial" w:hAnsi="Arial"/>
          <w:sz w:val="13"/>
          <w:szCs w:val="13"/>
          <w:i w:val="1"/>
          <w:iCs w:val="1"/>
          <w:color w:val="auto"/>
        </w:rPr>
        <w:t xml:space="preserve"> </w:t>
      </w:r>
      <w:r>
        <w:rPr>
          <w:rFonts w:ascii="Arial" w:cs="Arial" w:eastAsia="Arial" w:hAnsi="Arial"/>
          <w:sz w:val="13"/>
          <w:szCs w:val="13"/>
          <w:color w:val="auto"/>
        </w:rPr>
        <w:t>pay our creditors and any preferred stockholders.</w:t>
      </w:r>
    </w:p>
    <w:p>
      <w:pPr>
        <w:spacing w:after="0" w:line="47"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Listing. </w:t>
      </w:r>
      <w:r>
        <w:rPr>
          <w:rFonts w:ascii="Arial" w:cs="Arial" w:eastAsia="Arial" w:hAnsi="Arial"/>
          <w:sz w:val="13"/>
          <w:szCs w:val="13"/>
          <w:color w:val="auto"/>
        </w:rPr>
        <w:t>Our common stock is listed on the New York Stock Exchange under the trading symbol “WM.”</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Transfer Agent and Registrar. </w:t>
      </w:r>
      <w:r>
        <w:rPr>
          <w:rFonts w:ascii="Arial" w:cs="Arial" w:eastAsia="Arial" w:hAnsi="Arial"/>
          <w:sz w:val="13"/>
          <w:szCs w:val="13"/>
          <w:color w:val="auto"/>
        </w:rPr>
        <w:t>The transfer agent and registrar for our common stock is BNY Mellon Shareowner Services in Jersey City, New Jersey.</w:t>
      </w:r>
    </w:p>
    <w:p>
      <w:pPr>
        <w:spacing w:after="0" w:line="31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Preferred stock</w:t>
      </w:r>
    </w:p>
    <w:p>
      <w:pPr>
        <w:spacing w:after="0" w:line="104" w:lineRule="exact"/>
        <w:rPr>
          <w:sz w:val="20"/>
          <w:szCs w:val="20"/>
          <w:color w:val="auto"/>
        </w:rPr>
      </w:pPr>
    </w:p>
    <w:p>
      <w:pPr>
        <w:ind w:left="680" w:firstLine="399"/>
        <w:spacing w:after="0" w:line="267" w:lineRule="auto"/>
        <w:rPr>
          <w:sz w:val="20"/>
          <w:szCs w:val="20"/>
          <w:color w:val="auto"/>
        </w:rPr>
      </w:pPr>
      <w:r>
        <w:rPr>
          <w:rFonts w:ascii="Arial" w:cs="Arial" w:eastAsia="Arial" w:hAnsi="Arial"/>
          <w:sz w:val="13"/>
          <w:szCs w:val="13"/>
          <w:color w:val="auto"/>
        </w:rPr>
        <w:t>The Board of Directors is authorized, without obtaining stockholder approval, to issue one or more series of preferred stock. The Board’s authority includes determining the number of shares of each series and the rights, preferences and limitations of each series, including voting rights, dividend rights, conversion rights, redemption rights and any liquidation preferences. In this regard, the Board may issue preferred stock with voting and conversion rights that could adversely affect the voting power of the holders of common stock, and dividend or liquidation preferences that would restrict common stock dividends or adversely affect the assets available for distribution to holders of shares of common stock in the event of our dissolution.</w:t>
      </w:r>
    </w:p>
    <w:p>
      <w:pPr>
        <w:spacing w:after="0" w:line="10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Authorized but unissued shares</w:t>
      </w:r>
    </w:p>
    <w:p>
      <w:pPr>
        <w:spacing w:after="0" w:line="104"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Authorized but unissued shares of common stock or preferred stock can be reserved for issuance by the Board of Directors from time to time, without stockholder action, for stock dividends or stock splits, to raise equity capital and to structure future corporate transactions, including acquisitions, as well as for other proper corporate purposes. Stockholders have no preemptive rights.</w:t>
      </w:r>
    </w:p>
    <w:p>
      <w:pPr>
        <w:spacing w:after="0" w:line="9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Delaware law and certain provisions of our Certificate of Incorporation</w:t>
      </w:r>
    </w:p>
    <w:p>
      <w:pPr>
        <w:spacing w:after="0" w:line="104" w:lineRule="exact"/>
        <w:rPr>
          <w:sz w:val="20"/>
          <w:szCs w:val="20"/>
          <w:color w:val="auto"/>
        </w:rPr>
      </w:pPr>
    </w:p>
    <w:p>
      <w:pPr>
        <w:ind w:left="680" w:right="280" w:firstLine="399"/>
        <w:spacing w:after="0" w:line="294" w:lineRule="auto"/>
        <w:rPr>
          <w:sz w:val="20"/>
          <w:szCs w:val="20"/>
          <w:color w:val="auto"/>
        </w:rPr>
      </w:pPr>
      <w:r>
        <w:rPr>
          <w:rFonts w:ascii="Arial" w:cs="Arial" w:eastAsia="Arial" w:hAnsi="Arial"/>
          <w:sz w:val="13"/>
          <w:szCs w:val="13"/>
          <w:color w:val="auto"/>
        </w:rPr>
        <w:t>We are a Delaware corporation and are governed by the Delaware General Corporation Law, in addition to our Certificate of Incorporation and Bylaws, certain provisions of which are summarized below. You should read the actual provisions of these documents.</w:t>
      </w:r>
    </w:p>
    <w:p>
      <w:pPr>
        <w:spacing w:after="0" w:line="47" w:lineRule="exact"/>
        <w:rPr>
          <w:sz w:val="20"/>
          <w:szCs w:val="20"/>
          <w:color w:val="auto"/>
        </w:rPr>
      </w:pPr>
    </w:p>
    <w:p>
      <w:pPr>
        <w:ind w:left="680" w:right="160" w:firstLine="399"/>
        <w:spacing w:after="0" w:line="338" w:lineRule="auto"/>
        <w:rPr>
          <w:sz w:val="20"/>
          <w:szCs w:val="20"/>
          <w:color w:val="auto"/>
        </w:rPr>
      </w:pPr>
      <w:r>
        <w:rPr>
          <w:rFonts w:ascii="Arial" w:cs="Arial" w:eastAsia="Arial" w:hAnsi="Arial"/>
          <w:sz w:val="12"/>
          <w:szCs w:val="12"/>
          <w:color w:val="auto"/>
        </w:rPr>
        <w:t>Section 203 of the Delaware law provides that an “Interested Stockholder,” which is generally defined to mean any beneficial owner of 15% to 85% of the corporation’s voting stock, may not engage in any “business combination” with the corporation for a period of three years after the date on which the person became an Interested Stockholder, unless:</w:t>
      </w:r>
    </w:p>
    <w:p>
      <w:pPr>
        <w:spacing w:after="0" w:line="24" w:lineRule="exact"/>
        <w:rPr>
          <w:sz w:val="20"/>
          <w:szCs w:val="20"/>
          <w:color w:val="auto"/>
        </w:rPr>
      </w:pPr>
    </w:p>
    <w:p>
      <w:pPr>
        <w:ind w:left="1300" w:right="720" w:hanging="208"/>
        <w:spacing w:after="0" w:line="294" w:lineRule="auto"/>
        <w:tabs>
          <w:tab w:leader="none" w:pos="13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prior to such date, the corporation’s board of directors approved either the business combination or the transaction in which the stockholder became an Interested Stockholder; or</w:t>
      </w:r>
    </w:p>
    <w:p>
      <w:pPr>
        <w:spacing w:after="0" w:line="36" w:lineRule="exact"/>
        <w:rPr>
          <w:rFonts w:ascii="Arial" w:cs="Arial" w:eastAsia="Arial" w:hAnsi="Arial"/>
          <w:sz w:val="13"/>
          <w:szCs w:val="13"/>
          <w:color w:val="auto"/>
        </w:rPr>
      </w:pPr>
    </w:p>
    <w:p>
      <w:pPr>
        <w:ind w:left="1300" w:right="280" w:hanging="208"/>
        <w:spacing w:after="0" w:line="294" w:lineRule="auto"/>
        <w:tabs>
          <w:tab w:leader="none" w:pos="13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subsequent to such date, the business combination is approved by the corporation’s board of directors and authorized at a stockholders’ meeting by a vote of at least two-thirds of the corporation’s outstanding voting stock not owned by the Interested Stockholder.</w:t>
      </w:r>
    </w:p>
    <w:p>
      <w:pPr>
        <w:spacing w:after="0" w:line="4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Section 203 defines the term “business combination” to include mergers, asset sales and other transactions resulting in a financial benefit to the Interested Stockholder.</w:t>
      </w:r>
    </w:p>
    <w:p>
      <w:pPr>
        <w:spacing w:after="0" w:line="114" w:lineRule="exact"/>
        <w:rPr>
          <w:sz w:val="20"/>
          <w:szCs w:val="20"/>
          <w:color w:val="auto"/>
        </w:rPr>
      </w:pPr>
    </w:p>
    <w:p>
      <w:pPr>
        <w:ind w:left="680" w:right="180" w:firstLine="399"/>
        <w:spacing w:after="0" w:line="270" w:lineRule="auto"/>
        <w:rPr>
          <w:sz w:val="20"/>
          <w:szCs w:val="20"/>
          <w:color w:val="auto"/>
        </w:rPr>
      </w:pPr>
      <w:r>
        <w:rPr>
          <w:rFonts w:ascii="Arial" w:cs="Arial" w:eastAsia="Arial" w:hAnsi="Arial"/>
          <w:sz w:val="13"/>
          <w:szCs w:val="13"/>
          <w:color w:val="auto"/>
        </w:rPr>
        <w:t>The provisions of Section 203, combined with the Board of Directors’ authority to issue preferred stock without further stockholder action, could delay or frustrate a change in control or discourage, impede or prevent a merger, tender offer or proxy contest involving us, even if such an event would be favorable to the interests of our stockholders. Our stockholders, by adopting an amendment to the Certificate of Incorporation, may elect not to be governed by Section 203. Such an election would be effective 12 months after its adoption.</w:t>
      </w:r>
    </w:p>
    <w:p>
      <w:pPr>
        <w:spacing w:after="0" w:line="10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Limitation of liability and indemnification of officers and directors</w:t>
      </w:r>
    </w:p>
    <w:p>
      <w:pPr>
        <w:spacing w:after="0" w:line="104"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Our Certificate of Incorporation provides that our directors are not liable for monetary damages for breaches of their fiduciary duty as directors, unless they violated their duty of loyalty to us or our stockholders, acted in bad faith, knowingly or intentionally violated the law, authorized illegal dividends or redemptions or derived an improper personal benefit from their action as directors.</w:t>
      </w:r>
    </w:p>
    <w:p>
      <w:pPr>
        <w:spacing w:after="0" w:line="59" w:lineRule="exact"/>
        <w:rPr>
          <w:sz w:val="20"/>
          <w:szCs w:val="20"/>
          <w:color w:val="auto"/>
        </w:rPr>
      </w:pPr>
    </w:p>
    <w:p>
      <w:pPr>
        <w:ind w:left="680" w:firstLine="399"/>
        <w:spacing w:after="0" w:line="267" w:lineRule="auto"/>
        <w:rPr>
          <w:sz w:val="20"/>
          <w:szCs w:val="20"/>
          <w:color w:val="auto"/>
        </w:rPr>
      </w:pPr>
      <w:r>
        <w:rPr>
          <w:rFonts w:ascii="Arial" w:cs="Arial" w:eastAsia="Arial" w:hAnsi="Arial"/>
          <w:sz w:val="13"/>
          <w:szCs w:val="13"/>
          <w:color w:val="auto"/>
        </w:rPr>
        <w:t>Our Bylaws provide for indemnification of each officer and director to the fullest extent permitted by Delaware law. Section 145 of the Delaware General Corporation Law grants us the power to indemnify each officer and director against liabilities and expenses incurred by reason of the fact that he is or was an officer or director if the individual (1) acted in good faith and in a manner he reasonably believed to be in or not opposed to the best interests of the company, and (2) with respect to any criminal action or proceeding, he had no reasonable cause to believe his conduct was unlawful. In addition, we have entered into indemnification agreements with each of our directors as well as certain of our executive officers. These agreements generally provide that the individuals will be indemnified to the fullest extent of Delaware law.</w:t>
      </w:r>
    </w:p>
    <w:p>
      <w:pPr>
        <w:spacing w:after="0" w:line="277"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180" w:firstLine="399"/>
        <w:spacing w:after="0" w:line="294" w:lineRule="auto"/>
        <w:rPr>
          <w:sz w:val="20"/>
          <w:szCs w:val="20"/>
          <w:color w:val="auto"/>
        </w:rPr>
      </w:pPr>
      <w:r>
        <w:rPr>
          <w:rFonts w:ascii="Arial" w:cs="Arial" w:eastAsia="Arial" w:hAnsi="Arial"/>
          <w:sz w:val="13"/>
          <w:szCs w:val="13"/>
          <w:color w:val="auto"/>
        </w:rPr>
        <w:t>We have also purchased directors’ and officers’ liability insurance. Section 145 of the Delaware General Corporation Law allows us to purchase such insurance whether or not we would have the power to indemnify an officer or director under the provisions of Section 145.</w:t>
      </w:r>
    </w:p>
    <w:p>
      <w:pPr>
        <w:spacing w:after="0" w:line="47" w:lineRule="exact"/>
        <w:rPr>
          <w:sz w:val="20"/>
          <w:szCs w:val="20"/>
          <w:color w:val="auto"/>
        </w:rPr>
      </w:pPr>
    </w:p>
    <w:p>
      <w:pPr>
        <w:ind w:left="680" w:right="20" w:firstLine="399"/>
        <w:spacing w:after="0" w:line="338" w:lineRule="auto"/>
        <w:rPr>
          <w:sz w:val="20"/>
          <w:szCs w:val="20"/>
          <w:color w:val="auto"/>
        </w:rPr>
      </w:pPr>
      <w:r>
        <w:rPr>
          <w:rFonts w:ascii="Arial" w:cs="Arial" w:eastAsia="Arial" w:hAnsi="Arial"/>
          <w:sz w:val="12"/>
          <w:szCs w:val="12"/>
          <w:color w:val="auto"/>
        </w:rPr>
        <w:t>Insofar as indemnification for liabilities arising under the Securities Act of 1933 may be permitted to our directors, officers or controlling persons pursuant to the foregoing provisions, we have been informed that in the opinion of the Commission such indemnification is against public policy as expressed in the Securities Act and is therefore unenforceable.</w:t>
      </w:r>
    </w:p>
    <w:p>
      <w:pPr>
        <w:spacing w:after="0" w:line="103" w:lineRule="exact"/>
        <w:rPr>
          <w:sz w:val="20"/>
          <w:szCs w:val="20"/>
          <w:color w:val="auto"/>
        </w:rPr>
      </w:pPr>
    </w:p>
    <w:p>
      <w:pPr>
        <w:ind w:left="4420"/>
        <w:spacing w:after="0"/>
        <w:rPr>
          <w:sz w:val="20"/>
          <w:szCs w:val="20"/>
          <w:color w:val="auto"/>
        </w:rPr>
      </w:pPr>
      <w:r>
        <w:rPr>
          <w:rFonts w:ascii="Arial" w:cs="Arial" w:eastAsia="Arial" w:hAnsi="Arial"/>
          <w:sz w:val="13"/>
          <w:szCs w:val="13"/>
          <w:b w:val="1"/>
          <w:bCs w:val="1"/>
          <w:color w:val="auto"/>
        </w:rPr>
        <w:t>DESCRIPTION OF OTHER SECURITIES</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will set forth in the applicable prospectus supplement a description of any warrants or units that may be offered pursuant to this prospectus.</w:t>
      </w:r>
    </w:p>
    <w:p>
      <w:pPr>
        <w:spacing w:after="0" w:line="181" w:lineRule="exact"/>
        <w:rPr>
          <w:sz w:val="20"/>
          <w:szCs w:val="20"/>
          <w:color w:val="auto"/>
        </w:rPr>
      </w:pPr>
    </w:p>
    <w:p>
      <w:pPr>
        <w:ind w:left="4880"/>
        <w:spacing w:after="0"/>
        <w:rPr>
          <w:sz w:val="20"/>
          <w:szCs w:val="20"/>
          <w:color w:val="auto"/>
        </w:rPr>
      </w:pPr>
      <w:r>
        <w:rPr>
          <w:rFonts w:ascii="Arial" w:cs="Arial" w:eastAsia="Arial" w:hAnsi="Arial"/>
          <w:sz w:val="13"/>
          <w:szCs w:val="13"/>
          <w:b w:val="1"/>
          <w:bCs w:val="1"/>
          <w:color w:val="auto"/>
        </w:rPr>
        <w:t>PLAN OF DISTRIBUTION</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securities being offered by this prospectus may be sold by us or by a selling securityholder:</w:t>
      </w:r>
    </w:p>
    <w:p>
      <w:pPr>
        <w:spacing w:after="0" w:line="102" w:lineRule="exact"/>
        <w:rPr>
          <w:sz w:val="20"/>
          <w:szCs w:val="20"/>
          <w:color w:val="auto"/>
        </w:rPr>
      </w:pPr>
    </w:p>
    <w:p>
      <w:pPr>
        <w:ind w:left="1300" w:hanging="208"/>
        <w:spacing w:after="0"/>
        <w:tabs>
          <w:tab w:leader="none" w:pos="13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through agents,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to or through underwriters,</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through broker-dealers (acting as agent or principal),</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directly by us or a selling securityholder to purchasers, through a specific bidding or auction process or otherwise,</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through a combination of any such methods of sale,</w:t>
      </w:r>
    </w:p>
    <w:p>
      <w:pPr>
        <w:spacing w:after="0" w:line="92" w:lineRule="exact"/>
        <w:rPr>
          <w:rFonts w:ascii="Arial" w:cs="Arial" w:eastAsia="Arial" w:hAnsi="Arial"/>
          <w:sz w:val="13"/>
          <w:szCs w:val="13"/>
          <w:color w:val="auto"/>
        </w:rPr>
      </w:pPr>
    </w:p>
    <w:p>
      <w:pPr>
        <w:ind w:left="1300" w:hanging="208"/>
        <w:spacing w:after="0"/>
        <w:tabs>
          <w:tab w:leader="none" w:pos="13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through any other methods described in a prospectus supplement</w:t>
      </w:r>
    </w:p>
    <w:p>
      <w:pPr>
        <w:spacing w:after="0" w:line="102" w:lineRule="exact"/>
        <w:rPr>
          <w:sz w:val="20"/>
          <w:szCs w:val="20"/>
          <w:color w:val="auto"/>
        </w:rPr>
      </w:pPr>
    </w:p>
    <w:p>
      <w:pPr>
        <w:ind w:left="680" w:firstLine="399"/>
        <w:spacing w:after="0" w:line="292" w:lineRule="auto"/>
        <w:rPr>
          <w:sz w:val="20"/>
          <w:szCs w:val="20"/>
          <w:color w:val="auto"/>
        </w:rPr>
      </w:pPr>
      <w:r>
        <w:rPr>
          <w:rFonts w:ascii="Arial" w:cs="Arial" w:eastAsia="Arial" w:hAnsi="Arial"/>
          <w:sz w:val="12"/>
          <w:szCs w:val="12"/>
          <w:color w:val="auto"/>
        </w:rPr>
        <w:t>The distribution of securities may be effected from time to time in one or more transactions, including block transactions and transactions on the New York Stock Exchange or any other organized market where the securities may be traded. The securities may be sold at a fixed price or prices, which may be changed, or at market prices prevailing at the time of sale, at prices relating to the prevailing market prices or at negotiated prices. The consideration may be cash or another form negotiated by the parties. Agents, underwriters or broker-dealers may be paid compensation for offering and selling the securities. That compensation may be in the form of discounts, concessions or commissions to be received from us or from the purchasers of the securities. 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w:t>
      </w:r>
    </w:p>
    <w:p>
      <w:pPr>
        <w:spacing w:after="0" w:line="51" w:lineRule="exact"/>
        <w:rPr>
          <w:sz w:val="20"/>
          <w:szCs w:val="20"/>
          <w:color w:val="auto"/>
        </w:rPr>
      </w:pPr>
    </w:p>
    <w:p>
      <w:pPr>
        <w:jc w:val="both"/>
        <w:ind w:left="680" w:firstLine="399"/>
        <w:spacing w:after="0" w:line="309" w:lineRule="auto"/>
        <w:rPr>
          <w:sz w:val="20"/>
          <w:szCs w:val="20"/>
          <w:color w:val="auto"/>
        </w:rPr>
      </w:pPr>
      <w:r>
        <w:rPr>
          <w:rFonts w:ascii="Arial" w:cs="Arial" w:eastAsia="Arial" w:hAnsi="Arial"/>
          <w:sz w:val="12"/>
          <w:szCs w:val="12"/>
          <w:color w:val="auto"/>
        </w:rPr>
        <w:t>Agents may from time to time solicit offers to purchase the securities. If required, we will name in the applicable prospectus supplement any agent involved in the offer or sale of the securities and set forth any compensation payable to the agent. Unless otherwise indicated in the prospectus supplement, any agent will be acting on a best efforts basis for the period of its appointment. Any agent selling the securities covered by this prospectus may be deemed to be an underwriter, as that term is defined in the Securities Act, of the securities.</w:t>
      </w:r>
    </w:p>
    <w:p>
      <w:pPr>
        <w:spacing w:after="0" w:line="41" w:lineRule="exact"/>
        <w:rPr>
          <w:sz w:val="20"/>
          <w:szCs w:val="20"/>
          <w:color w:val="auto"/>
        </w:rPr>
      </w:pPr>
    </w:p>
    <w:p>
      <w:pPr>
        <w:ind w:left="680" w:firstLine="399"/>
        <w:spacing w:after="0" w:line="290" w:lineRule="auto"/>
        <w:rPr>
          <w:sz w:val="20"/>
          <w:szCs w:val="20"/>
          <w:color w:val="auto"/>
        </w:rPr>
      </w:pPr>
      <w:r>
        <w:rPr>
          <w:rFonts w:ascii="Arial" w:cs="Arial" w:eastAsia="Arial" w:hAnsi="Arial"/>
          <w:sz w:val="12"/>
          <w:szCs w:val="12"/>
          <w:color w:val="auto"/>
        </w:rPr>
        <w:t>If underwriters are used in a sale, securities will be acquired by the underwriters for their own account and may be resold from time to time in one or more transactions, including negotiated transactions, at a fixed public offering price or at varying prices determined at the time of sale, or under delayed delivery contracts or other contractual commitments. Securities may be offered to the public either through underwriting syndicates represented by one or more managing underwriters or directly by one or more firms acting as underwriters. If an underwriter or underwriters are used in the sale of securities, an underwriting agreement will be executed with the underwriter or underwriters at the time an agreement for the sale is reached. The applicable prospectus supplement will set forth the managing underwriter or underwriters, as well as any other underwriter or underwriters, with respect to a particular underwritten offering of securities, and will set forth the terms of the transactions, including compensation of the underwriters and dealers and the public offering price, if applicable. The prospectus and the applicable prospectus supplement will be used by the underwriters to resell the securities.</w:t>
      </w:r>
    </w:p>
    <w:p>
      <w:pPr>
        <w:spacing w:after="0" w:line="26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40"/>
          </w:cols>
          <w:pgMar w:left="220" w:top="349" w:right="103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If a dealer is used in the sale of the securities, we, a selling securityholder,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transactions.</w:t>
      </w:r>
    </w:p>
    <w:p>
      <w:pPr>
        <w:spacing w:after="0" w:line="59"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We or a selling securityholder may directly solicit offers to purchase the securities and we or a selling securityholder may make sales of securities directly to institutional investors or others. These persons may be deemed to be underwriters within the meaning of the Securities Act with respect to any resale of the securities. To the extent required, the prospectus supplement will describe the terms of any such sales, including the terms of any bidding or auction process, if used.</w:t>
      </w:r>
    </w:p>
    <w:p>
      <w:pPr>
        <w:spacing w:after="0" w:line="59" w:lineRule="exact"/>
        <w:rPr>
          <w:sz w:val="20"/>
          <w:szCs w:val="20"/>
          <w:color w:val="auto"/>
        </w:rPr>
      </w:pPr>
    </w:p>
    <w:p>
      <w:pPr>
        <w:ind w:left="680" w:right="180" w:firstLine="399"/>
        <w:spacing w:after="0" w:line="270" w:lineRule="auto"/>
        <w:rPr>
          <w:sz w:val="20"/>
          <w:szCs w:val="20"/>
          <w:color w:val="auto"/>
        </w:rPr>
      </w:pPr>
      <w:r>
        <w:rPr>
          <w:rFonts w:ascii="Arial" w:cs="Arial" w:eastAsia="Arial" w:hAnsi="Arial"/>
          <w:sz w:val="13"/>
          <w:szCs w:val="13"/>
          <w:color w:val="auto"/>
        </w:rPr>
        <w:t>Agents, underwriters and dealers may be entitled under agreements that may be entered into with us to indemnification by us against specified liabilities, including liabilities incurred under the Securities Act, or to contribution by us to payments they may be required to make in respect of such liabilities. If required, the prospectus supplement will describe the terms and conditions of such indemnification or contribution. Some of the agents, underwriters or dealers, or their affiliates may be customers of, engage in transactions with or perform services for us or our subsidiaries in the ordinary course of business.</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Under the securities laws of some states, the securities offered by this prospectus may be sold in those states only through registered or licensed brokers or dealers.</w:t>
      </w:r>
    </w:p>
    <w:p>
      <w:pPr>
        <w:spacing w:after="0" w:line="102" w:lineRule="exact"/>
        <w:rPr>
          <w:sz w:val="20"/>
          <w:szCs w:val="20"/>
          <w:color w:val="auto"/>
        </w:rPr>
      </w:pPr>
    </w:p>
    <w:p>
      <w:pPr>
        <w:ind w:left="680" w:right="60" w:firstLine="399"/>
        <w:spacing w:after="0" w:line="267" w:lineRule="auto"/>
        <w:rPr>
          <w:sz w:val="20"/>
          <w:szCs w:val="20"/>
          <w:color w:val="auto"/>
        </w:rPr>
      </w:pPr>
      <w:r>
        <w:rPr>
          <w:rFonts w:ascii="Arial" w:cs="Arial" w:eastAsia="Arial" w:hAnsi="Arial"/>
          <w:sz w:val="13"/>
          <w:szCs w:val="13"/>
          <w:color w:val="auto"/>
        </w:rPr>
        <w:t>Any person participating in the distribution of common stock registered under the registration statement that includes this prospectus will be subject to applicable provisions of the Exchange Act, and the applicable SEC rules and regulations, including, among others, Regulation M, which may limit the timing of purchases and sales of any of our common stock by any such person. Furthermore, Regulation M may restrict the ability of any person engaged in the distribution of our common stock to engage in market-making activities with respect to our common stock. These restrictions may affect the marketability of our common stock and the ability of any person or entity to engage in market-making activities with respect to our common stock.</w:t>
      </w:r>
    </w:p>
    <w:p>
      <w:pPr>
        <w:spacing w:after="0" w:line="65" w:lineRule="exact"/>
        <w:rPr>
          <w:sz w:val="20"/>
          <w:szCs w:val="20"/>
          <w:color w:val="auto"/>
        </w:rPr>
      </w:pPr>
    </w:p>
    <w:p>
      <w:pPr>
        <w:jc w:val="both"/>
        <w:ind w:left="680" w:right="60" w:firstLine="399"/>
        <w:spacing w:after="0" w:line="276" w:lineRule="auto"/>
        <w:rPr>
          <w:sz w:val="20"/>
          <w:szCs w:val="20"/>
          <w:color w:val="auto"/>
        </w:rPr>
      </w:pPr>
      <w:r>
        <w:rPr>
          <w:rFonts w:ascii="Arial" w:cs="Arial" w:eastAsia="Arial" w:hAnsi="Arial"/>
          <w:sz w:val="13"/>
          <w:szCs w:val="13"/>
          <w:color w:val="auto"/>
        </w:rPr>
        <w:t>Certain persons participating in an offering may engage in over-allotment, stabilizing transactions, short-covering transactions and penalty bids in accordance with Regulation M under the Exchange Act that stabilize, maintain or otherwise affect the price of the offered securities. If any such activities will occur, they will be described in the applicable prospectus supplement.</w:t>
      </w:r>
    </w:p>
    <w:p>
      <w:pPr>
        <w:spacing w:after="0" w:line="137"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SELLING SECURITYHOLDERS</w:t>
      </w:r>
    </w:p>
    <w:p>
      <w:pPr>
        <w:spacing w:after="0" w:line="104" w:lineRule="exact"/>
        <w:rPr>
          <w:sz w:val="20"/>
          <w:szCs w:val="20"/>
          <w:color w:val="auto"/>
        </w:rPr>
      </w:pPr>
    </w:p>
    <w:p>
      <w:pPr>
        <w:ind w:left="680" w:right="320" w:firstLine="399"/>
        <w:spacing w:after="0" w:line="294" w:lineRule="auto"/>
        <w:rPr>
          <w:sz w:val="20"/>
          <w:szCs w:val="20"/>
          <w:color w:val="auto"/>
        </w:rPr>
      </w:pPr>
      <w:r>
        <w:rPr>
          <w:rFonts w:ascii="Arial" w:cs="Arial" w:eastAsia="Arial" w:hAnsi="Arial"/>
          <w:sz w:val="13"/>
          <w:szCs w:val="13"/>
          <w:color w:val="auto"/>
        </w:rPr>
        <w:t>Information about selling securityholders, where applicable, will be set forth in a prospectus supplement, in a post-effective amendment, or in filings we make with the SEC under the Exchange Act that are incorporated by reference.</w:t>
      </w:r>
    </w:p>
    <w:p>
      <w:pPr>
        <w:spacing w:after="0" w:line="12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LEGAL MATTERS</w:t>
      </w:r>
    </w:p>
    <w:p>
      <w:pPr>
        <w:spacing w:after="0" w:line="104" w:lineRule="exact"/>
        <w:rPr>
          <w:sz w:val="20"/>
          <w:szCs w:val="20"/>
          <w:color w:val="auto"/>
        </w:rPr>
      </w:pPr>
    </w:p>
    <w:p>
      <w:pPr>
        <w:ind w:left="680" w:firstLine="399"/>
        <w:spacing w:after="0" w:line="294" w:lineRule="auto"/>
        <w:rPr>
          <w:sz w:val="20"/>
          <w:szCs w:val="20"/>
          <w:color w:val="auto"/>
        </w:rPr>
      </w:pPr>
      <w:r>
        <w:rPr>
          <w:rFonts w:ascii="Arial" w:cs="Arial" w:eastAsia="Arial" w:hAnsi="Arial"/>
          <w:sz w:val="13"/>
          <w:szCs w:val="13"/>
          <w:color w:val="auto"/>
        </w:rPr>
        <w:t>In connection with particular offerings of the securities in the future, and if stated in the applicable prospectus supplements, the validity of those securities will be passed upon for us by counsel named in the applicable prospectus supplement.</w:t>
      </w:r>
    </w:p>
    <w:p>
      <w:pPr>
        <w:spacing w:after="0" w:line="12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EXPERTS</w:t>
      </w:r>
    </w:p>
    <w:p>
      <w:pPr>
        <w:spacing w:after="0" w:line="104" w:lineRule="exact"/>
        <w:rPr>
          <w:sz w:val="20"/>
          <w:szCs w:val="20"/>
          <w:color w:val="auto"/>
        </w:rPr>
      </w:pPr>
    </w:p>
    <w:p>
      <w:pPr>
        <w:ind w:left="680" w:right="20" w:firstLine="399"/>
        <w:spacing w:after="0" w:line="265" w:lineRule="auto"/>
        <w:rPr>
          <w:sz w:val="20"/>
          <w:szCs w:val="20"/>
          <w:color w:val="auto"/>
        </w:rPr>
      </w:pPr>
      <w:r>
        <w:rPr>
          <w:rFonts w:ascii="Arial" w:cs="Arial" w:eastAsia="Arial" w:hAnsi="Arial"/>
          <w:sz w:val="13"/>
          <w:szCs w:val="13"/>
          <w:color w:val="auto"/>
        </w:rPr>
        <w:t>The consolidated financial statements of Waste Management, Inc. appearing in Waste Management, Inc.’s Annual Report (Form 10-K) for the year ended December 31, 2008 including the schedule appearing therein, and the effectiveness of Waste Management, Inc.’s internal control over financial reporting as of December 31, 2008, have been audited by Ernst &amp; Young LLP,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Securities and Exchange Commission) given on the authority of such firm as experts in accounting and auditing.</w:t>
      </w:r>
    </w:p>
    <w:p>
      <w:pPr>
        <w:spacing w:after="0" w:line="279"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PART II</w:t>
      </w:r>
    </w:p>
    <w:p>
      <w:pPr>
        <w:spacing w:after="0" w:line="102"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INFORMATION NOT REQUIRED IN PROSPECTUS</w:t>
      </w:r>
    </w:p>
    <w:p>
      <w:pPr>
        <w:spacing w:after="0" w:line="183"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14.</w:t>
      </w:r>
      <w:r>
        <w:rPr>
          <w:sz w:val="20"/>
          <w:szCs w:val="20"/>
          <w:color w:val="auto"/>
        </w:rPr>
        <w:tab/>
      </w:r>
      <w:r>
        <w:rPr>
          <w:rFonts w:ascii="Arial" w:cs="Arial" w:eastAsia="Arial" w:hAnsi="Arial"/>
          <w:sz w:val="11"/>
          <w:szCs w:val="11"/>
          <w:b w:val="1"/>
          <w:bCs w:val="1"/>
          <w:i w:val="1"/>
          <w:iCs w:val="1"/>
          <w:color w:val="auto"/>
        </w:rPr>
        <w:t>Other Expenses of Issuance and Distribution.</w:t>
      </w:r>
    </w:p>
    <w:p>
      <w:pPr>
        <w:spacing w:after="0" w:line="10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The following table sets forth the estimated fees and expenses payable by the Company in connection with the registration of the securities registered hereby:</w:t>
      </w:r>
    </w:p>
    <w:p>
      <w:pPr>
        <w:spacing w:after="0" w:line="123" w:lineRule="exact"/>
        <w:rPr>
          <w:sz w:val="20"/>
          <w:szCs w:val="20"/>
          <w:color w:val="auto"/>
        </w:rPr>
      </w:pPr>
    </w:p>
    <w:tbl>
      <w:tblPr>
        <w:tblLayout w:type="fixed"/>
        <w:tblInd w:w="680" w:type="dxa"/>
        <w:tblCellMar>
          <w:top w:w="0" w:type="dxa"/>
          <w:left w:w="0" w:type="dxa"/>
          <w:bottom w:w="0" w:type="dxa"/>
          <w:right w:w="0" w:type="dxa"/>
        </w:tblCellMar>
      </w:tblPr>
      <w:tr>
        <w:trPr>
          <w:trHeight w:val="161"/>
        </w:trPr>
        <w:tc>
          <w:tcPr>
            <w:tcW w:w="8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SEC Registration fee</w:t>
            </w:r>
          </w:p>
        </w:tc>
        <w:tc>
          <w:tcPr>
            <w:tcW w:w="540" w:type="dxa"/>
            <w:vAlign w:val="bottom"/>
            <w:shd w:val="clear" w:color="auto" w:fill="CCEEFF"/>
          </w:tcPr>
          <w:p>
            <w:pPr>
              <w:jc w:val="right"/>
              <w:ind w:right="430"/>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r>
      <w:tr>
        <w:trPr>
          <w:trHeight w:val="161"/>
        </w:trPr>
        <w:tc>
          <w:tcPr>
            <w:tcW w:w="8800" w:type="dxa"/>
            <w:vAlign w:val="bottom"/>
            <w:gridSpan w:val="2"/>
          </w:tcPr>
          <w:p>
            <w:pPr>
              <w:spacing w:after="0"/>
              <w:rPr>
                <w:sz w:val="20"/>
                <w:szCs w:val="20"/>
                <w:color w:val="auto"/>
              </w:rPr>
            </w:pPr>
            <w:r>
              <w:rPr>
                <w:rFonts w:ascii="Arial" w:cs="Arial" w:eastAsia="Arial" w:hAnsi="Arial"/>
                <w:sz w:val="13"/>
                <w:szCs w:val="13"/>
                <w:color w:val="auto"/>
              </w:rPr>
              <w:t>Legal fees and expenses</w:t>
            </w:r>
          </w:p>
        </w:tc>
        <w:tc>
          <w:tcPr>
            <w:tcW w:w="540" w:type="dxa"/>
            <w:vAlign w:val="bottom"/>
          </w:tcPr>
          <w:p>
            <w:pPr>
              <w:jc w:val="right"/>
              <w:ind w:right="430"/>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r>
      <w:tr>
        <w:trPr>
          <w:trHeight w:val="161"/>
        </w:trPr>
        <w:tc>
          <w:tcPr>
            <w:tcW w:w="8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Accounting fees and expenses</w:t>
            </w:r>
          </w:p>
        </w:tc>
        <w:tc>
          <w:tcPr>
            <w:tcW w:w="540" w:type="dxa"/>
            <w:vAlign w:val="bottom"/>
            <w:shd w:val="clear" w:color="auto" w:fill="CCEEFF"/>
          </w:tcPr>
          <w:p>
            <w:pPr>
              <w:jc w:val="right"/>
              <w:ind w:right="430"/>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r>
      <w:tr>
        <w:trPr>
          <w:trHeight w:val="161"/>
        </w:trPr>
        <w:tc>
          <w:tcPr>
            <w:tcW w:w="8800" w:type="dxa"/>
            <w:vAlign w:val="bottom"/>
            <w:gridSpan w:val="2"/>
          </w:tcPr>
          <w:p>
            <w:pPr>
              <w:spacing w:after="0"/>
              <w:rPr>
                <w:sz w:val="20"/>
                <w:szCs w:val="20"/>
                <w:color w:val="auto"/>
              </w:rPr>
            </w:pPr>
            <w:r>
              <w:rPr>
                <w:rFonts w:ascii="Arial" w:cs="Arial" w:eastAsia="Arial" w:hAnsi="Arial"/>
                <w:sz w:val="13"/>
                <w:szCs w:val="13"/>
                <w:color w:val="auto"/>
              </w:rPr>
              <w:t>Printing fees</w:t>
            </w:r>
          </w:p>
        </w:tc>
        <w:tc>
          <w:tcPr>
            <w:tcW w:w="540" w:type="dxa"/>
            <w:vAlign w:val="bottom"/>
          </w:tcPr>
          <w:p>
            <w:pPr>
              <w:jc w:val="right"/>
              <w:ind w:right="430"/>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r>
      <w:tr>
        <w:trPr>
          <w:trHeight w:val="161"/>
        </w:trPr>
        <w:tc>
          <w:tcPr>
            <w:tcW w:w="8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Rating agency</w:t>
            </w:r>
          </w:p>
        </w:tc>
        <w:tc>
          <w:tcPr>
            <w:tcW w:w="540" w:type="dxa"/>
            <w:vAlign w:val="bottom"/>
            <w:shd w:val="clear" w:color="auto" w:fill="CCEEFF"/>
          </w:tcPr>
          <w:p>
            <w:pPr>
              <w:jc w:val="right"/>
              <w:ind w:right="430"/>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r>
      <w:tr>
        <w:trPr>
          <w:trHeight w:val="161"/>
        </w:trPr>
        <w:tc>
          <w:tcPr>
            <w:tcW w:w="8800" w:type="dxa"/>
            <w:vAlign w:val="bottom"/>
            <w:gridSpan w:val="2"/>
          </w:tcPr>
          <w:p>
            <w:pPr>
              <w:spacing w:after="0"/>
              <w:rPr>
                <w:sz w:val="20"/>
                <w:szCs w:val="20"/>
                <w:color w:val="auto"/>
              </w:rPr>
            </w:pPr>
            <w:r>
              <w:rPr>
                <w:rFonts w:ascii="Arial" w:cs="Arial" w:eastAsia="Arial" w:hAnsi="Arial"/>
                <w:sz w:val="13"/>
                <w:szCs w:val="13"/>
                <w:color w:val="auto"/>
              </w:rPr>
              <w:t>Trustee’s fees and expenses</w:t>
            </w:r>
          </w:p>
        </w:tc>
        <w:tc>
          <w:tcPr>
            <w:tcW w:w="540" w:type="dxa"/>
            <w:vAlign w:val="bottom"/>
          </w:tcPr>
          <w:p>
            <w:pPr>
              <w:jc w:val="right"/>
              <w:ind w:right="430"/>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r>
      <w:tr>
        <w:trPr>
          <w:trHeight w:val="161"/>
        </w:trPr>
        <w:tc>
          <w:tcPr>
            <w:tcW w:w="8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Miscellaneous</w:t>
            </w:r>
          </w:p>
        </w:tc>
        <w:tc>
          <w:tcPr>
            <w:tcW w:w="540" w:type="dxa"/>
            <w:vAlign w:val="bottom"/>
            <w:shd w:val="clear" w:color="auto" w:fill="CCEEFF"/>
          </w:tcPr>
          <w:p>
            <w:pPr>
              <w:jc w:val="right"/>
              <w:ind w:right="430"/>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r>
      <w:tr>
        <w:trPr>
          <w:trHeight w:val="161"/>
        </w:trPr>
        <w:tc>
          <w:tcPr>
            <w:tcW w:w="8800" w:type="dxa"/>
            <w:vAlign w:val="bottom"/>
            <w:gridSpan w:val="2"/>
          </w:tcPr>
          <w:p>
            <w:pPr>
              <w:ind w:left="140"/>
              <w:spacing w:after="0"/>
              <w:rPr>
                <w:sz w:val="20"/>
                <w:szCs w:val="20"/>
                <w:color w:val="auto"/>
              </w:rPr>
            </w:pPr>
            <w:r>
              <w:rPr>
                <w:rFonts w:ascii="Arial" w:cs="Arial" w:eastAsia="Arial" w:hAnsi="Arial"/>
                <w:sz w:val="13"/>
                <w:szCs w:val="13"/>
                <w:color w:val="auto"/>
              </w:rPr>
              <w:t>Total</w:t>
            </w:r>
          </w:p>
        </w:tc>
        <w:tc>
          <w:tcPr>
            <w:tcW w:w="5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0"/>
        </w:trPr>
        <w:tc>
          <w:tcPr>
            <w:tcW w:w="130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81"/>
        </w:trPr>
        <w:tc>
          <w:tcPr>
            <w:tcW w:w="1300" w:type="dxa"/>
            <w:vAlign w:val="bottom"/>
            <w:tcBorders>
              <w:bottom w:val="single" w:sz="8" w:color="auto"/>
            </w:tcBorders>
          </w:tcPr>
          <w:p>
            <w:pPr>
              <w:spacing w:after="0"/>
              <w:rPr>
                <w:sz w:val="7"/>
                <w:szCs w:val="7"/>
                <w:color w:val="auto"/>
              </w:rPr>
            </w:pPr>
          </w:p>
        </w:tc>
        <w:tc>
          <w:tcPr>
            <w:tcW w:w="7500" w:type="dxa"/>
            <w:vAlign w:val="bottom"/>
          </w:tcPr>
          <w:p>
            <w:pPr>
              <w:spacing w:after="0"/>
              <w:rPr>
                <w:sz w:val="7"/>
                <w:szCs w:val="7"/>
                <w:color w:val="auto"/>
              </w:rPr>
            </w:pPr>
          </w:p>
        </w:tc>
        <w:tc>
          <w:tcPr>
            <w:tcW w:w="5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r>
    </w:tbl>
    <w:p>
      <w:pPr>
        <w:spacing w:after="0" w:line="40" w:lineRule="exact"/>
        <w:rPr>
          <w:sz w:val="20"/>
          <w:szCs w:val="20"/>
          <w:color w:val="auto"/>
        </w:rPr>
      </w:pPr>
    </w:p>
    <w:p>
      <w:pPr>
        <w:ind w:left="680" w:right="2460" w:firstLine="8"/>
        <w:spacing w:after="0" w:line="359" w:lineRule="auto"/>
        <w:tabs>
          <w:tab w:leader="none" w:pos="882" w:val="left"/>
        </w:tabs>
        <w:numPr>
          <w:ilvl w:val="0"/>
          <w:numId w:val="28"/>
        </w:numPr>
        <w:rPr>
          <w:rFonts w:ascii="Arial" w:cs="Arial" w:eastAsia="Arial" w:hAnsi="Arial"/>
          <w:sz w:val="13"/>
          <w:szCs w:val="13"/>
          <w:color w:val="auto"/>
        </w:rPr>
      </w:pPr>
      <w:r>
        <w:rPr>
          <w:rFonts w:ascii="Arial" w:cs="Arial" w:eastAsia="Arial" w:hAnsi="Arial"/>
          <w:sz w:val="13"/>
          <w:szCs w:val="13"/>
          <w:color w:val="auto"/>
        </w:rPr>
        <w:t>In accordance with Rule 456(b) and 457(r), we are deferring payment of the registration fee for the securities offered by this prospectus. + Estimated expenses are not presently known.</w:t>
      </w:r>
    </w:p>
    <w:p>
      <w:pPr>
        <w:spacing w:after="0" w:line="85"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15.</w:t>
      </w:r>
      <w:r>
        <w:rPr>
          <w:sz w:val="20"/>
          <w:szCs w:val="20"/>
          <w:color w:val="auto"/>
        </w:rPr>
        <w:tab/>
      </w:r>
      <w:r>
        <w:rPr>
          <w:rFonts w:ascii="Arial" w:cs="Arial" w:eastAsia="Arial" w:hAnsi="Arial"/>
          <w:sz w:val="11"/>
          <w:szCs w:val="11"/>
          <w:b w:val="1"/>
          <w:bCs w:val="1"/>
          <w:i w:val="1"/>
          <w:iCs w:val="1"/>
          <w:color w:val="auto"/>
        </w:rPr>
        <w:t>Indemnification of Directors and Officers.</w:t>
      </w:r>
    </w:p>
    <w:p>
      <w:pPr>
        <w:spacing w:after="0" w:line="104" w:lineRule="exact"/>
        <w:rPr>
          <w:sz w:val="20"/>
          <w:szCs w:val="20"/>
          <w:color w:val="auto"/>
        </w:rPr>
      </w:pPr>
    </w:p>
    <w:p>
      <w:pPr>
        <w:ind w:left="680" w:right="20" w:firstLine="399"/>
        <w:spacing w:after="0" w:line="284" w:lineRule="auto"/>
        <w:rPr>
          <w:sz w:val="20"/>
          <w:szCs w:val="20"/>
          <w:color w:val="auto"/>
        </w:rPr>
      </w:pPr>
      <w:r>
        <w:rPr>
          <w:rFonts w:ascii="Arial" w:cs="Arial" w:eastAsia="Arial" w:hAnsi="Arial"/>
          <w:sz w:val="12"/>
          <w:szCs w:val="12"/>
          <w:color w:val="auto"/>
        </w:rPr>
        <w:t>Section 145 of the Delaware General Corporation Law (the “DGCL”) makes provision for the indemnification of officers and directors of corporations in terms sufficiently broad to indemnify the officers and directors of the Company under certain circumstances from liabilities (including reimbursement of expenses incurred) arising under the Securities Act. Section 102(b)(7) of the DGCL permits a corporation to provide in its certificate of incorporation that a director of the corporation shall not be personally liable to the corporation or its stockholders for monetary damages for breach of fiduciary duty as a director, except for liability (i) for any breach of the director’s duty of loyalty to the corporation or its stockholders,</w:t>
      </w:r>
    </w:p>
    <w:p>
      <w:pPr>
        <w:spacing w:after="0" w:line="2" w:lineRule="exact"/>
        <w:rPr>
          <w:sz w:val="20"/>
          <w:szCs w:val="20"/>
          <w:color w:val="auto"/>
        </w:rPr>
      </w:pPr>
    </w:p>
    <w:p>
      <w:pPr>
        <w:ind w:left="680" w:right="520" w:firstLine="8"/>
        <w:spacing w:after="0" w:line="277" w:lineRule="auto"/>
        <w:tabs>
          <w:tab w:leader="none" w:pos="878" w:val="left"/>
        </w:tabs>
        <w:numPr>
          <w:ilvl w:val="0"/>
          <w:numId w:val="29"/>
        </w:numPr>
        <w:rPr>
          <w:rFonts w:ascii="Arial" w:cs="Arial" w:eastAsia="Arial" w:hAnsi="Arial"/>
          <w:sz w:val="13"/>
          <w:szCs w:val="13"/>
          <w:color w:val="auto"/>
        </w:rPr>
      </w:pPr>
      <w:r>
        <w:rPr>
          <w:rFonts w:ascii="Arial" w:cs="Arial" w:eastAsia="Arial" w:hAnsi="Arial"/>
          <w:sz w:val="13"/>
          <w:szCs w:val="13"/>
          <w:color w:val="auto"/>
        </w:rPr>
        <w:t>for acts or omissions not in good faith or which involve intentional misconduct or a knowing violation of law, (iii) in respect of certain unlawful dividend payments or stock redemptions or repurchases, or (iv) for any transaction from which the director derived an improper personal benefit.</w:t>
      </w:r>
    </w:p>
    <w:p>
      <w:pPr>
        <w:spacing w:after="0" w:line="58" w:lineRule="exact"/>
        <w:rPr>
          <w:sz w:val="20"/>
          <w:szCs w:val="20"/>
          <w:color w:val="auto"/>
        </w:rPr>
      </w:pPr>
    </w:p>
    <w:p>
      <w:pPr>
        <w:ind w:left="680" w:right="80" w:firstLine="399"/>
        <w:spacing w:after="0" w:line="267" w:lineRule="auto"/>
        <w:rPr>
          <w:sz w:val="20"/>
          <w:szCs w:val="20"/>
          <w:color w:val="auto"/>
        </w:rPr>
      </w:pPr>
      <w:r>
        <w:rPr>
          <w:rFonts w:ascii="Arial" w:cs="Arial" w:eastAsia="Arial" w:hAnsi="Arial"/>
          <w:sz w:val="13"/>
          <w:szCs w:val="13"/>
          <w:color w:val="auto"/>
        </w:rPr>
        <w:t>As permitted by the DGCL, the Company’s certificate of incorporation provides that, to the fullest extent permitted by the DGCL or decisional law, no director shall be personally liable to the Company or to its stockholders for monetary damages for breach of his fiduciary duty as a director. The effect of this provision in the certificate of incorporation is to eliminate the rights of the Company and its stockholders (through stockholders’ derivative suits on behalf of the Company) to recover monetary damages against a director for breach of fiduciary duty as a director thereof (including breaches resulting from negligent or grossly negligent behavior) except in the situations described in clauses (i)-(iv), inclusive, above. These provisions will not alter the liability of directors under federal securities laws.</w:t>
      </w:r>
    </w:p>
    <w:p>
      <w:pPr>
        <w:spacing w:after="0" w:line="65" w:lineRule="exact"/>
        <w:rPr>
          <w:sz w:val="20"/>
          <w:szCs w:val="20"/>
          <w:color w:val="auto"/>
        </w:rPr>
      </w:pPr>
    </w:p>
    <w:p>
      <w:pPr>
        <w:ind w:left="680" w:right="40" w:firstLine="399"/>
        <w:spacing w:after="0" w:line="267" w:lineRule="auto"/>
        <w:rPr>
          <w:sz w:val="20"/>
          <w:szCs w:val="20"/>
          <w:color w:val="auto"/>
        </w:rPr>
      </w:pPr>
      <w:r>
        <w:rPr>
          <w:rFonts w:ascii="Arial" w:cs="Arial" w:eastAsia="Arial" w:hAnsi="Arial"/>
          <w:sz w:val="13"/>
          <w:szCs w:val="13"/>
          <w:color w:val="auto"/>
        </w:rPr>
        <w:t>The Company’s bylaws (the “bylaws”) provide that the Company shall indemnify any person who was or is a party or is threatened to be made a party to any threatened, pending or completed action, suit or other proceeding, whether civil, criminal, administrative or investigative by reason of the fact that he, is or was a director or officer, against all expenses, liability and loss (including attorneys’ fees, judgments, fines, and amounts paid or to be paid in settlement) reasonably incurred, to the fullest extent authorized by the DGCL, provided that the Company shall indemnify such person in connection with any such action, suit or proceeding initiated by such person only if authorized by the Board of Directors of the Company or brought to enforce certain indemnification rights.</w:t>
      </w:r>
    </w:p>
    <w:p>
      <w:pPr>
        <w:spacing w:after="0" w:line="65" w:lineRule="exact"/>
        <w:rPr>
          <w:sz w:val="20"/>
          <w:szCs w:val="20"/>
          <w:color w:val="auto"/>
        </w:rPr>
      </w:pPr>
    </w:p>
    <w:p>
      <w:pPr>
        <w:ind w:left="680" w:right="60" w:firstLine="399"/>
        <w:spacing w:after="0" w:line="294" w:lineRule="auto"/>
        <w:rPr>
          <w:sz w:val="20"/>
          <w:szCs w:val="20"/>
          <w:color w:val="auto"/>
        </w:rPr>
      </w:pPr>
      <w:r>
        <w:rPr>
          <w:rFonts w:ascii="Arial" w:cs="Arial" w:eastAsia="Arial" w:hAnsi="Arial"/>
          <w:sz w:val="13"/>
          <w:szCs w:val="13"/>
          <w:color w:val="auto"/>
        </w:rPr>
        <w:t>The bylaws also provide that expenses incurred by an officer or director of the Company (acting in his capacity as such) in defending any such action, suit or proceeding shall be paid by the Company, provided that</w:t>
      </w:r>
    </w:p>
    <w:p>
      <w:pPr>
        <w:spacing w:after="0" w:line="24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260"/>
        <w:spacing w:after="0" w:line="294" w:lineRule="auto"/>
        <w:rPr>
          <w:sz w:val="20"/>
          <w:szCs w:val="20"/>
          <w:color w:val="auto"/>
        </w:rPr>
      </w:pPr>
      <w:r>
        <w:rPr>
          <w:rFonts w:ascii="Arial" w:cs="Arial" w:eastAsia="Arial" w:hAnsi="Arial"/>
          <w:sz w:val="13"/>
          <w:szCs w:val="13"/>
          <w:color w:val="auto"/>
        </w:rPr>
        <w:t>if required by the DGCL such expenses shall be advanced only upon delivery to the Company of an undertaking by or on behalf of such director or officer to repay such amount if it shall ultimately be determined that he is not entitled to be indemnified by the Company.</w:t>
      </w:r>
    </w:p>
    <w:p>
      <w:pPr>
        <w:spacing w:after="0" w:line="47" w:lineRule="exact"/>
        <w:rPr>
          <w:sz w:val="20"/>
          <w:szCs w:val="20"/>
          <w:color w:val="auto"/>
        </w:rPr>
      </w:pPr>
    </w:p>
    <w:p>
      <w:pPr>
        <w:ind w:left="680" w:right="40" w:firstLine="399"/>
        <w:spacing w:after="0" w:line="270" w:lineRule="auto"/>
        <w:rPr>
          <w:sz w:val="20"/>
          <w:szCs w:val="20"/>
          <w:color w:val="auto"/>
        </w:rPr>
      </w:pPr>
      <w:r>
        <w:rPr>
          <w:rFonts w:ascii="Arial" w:cs="Arial" w:eastAsia="Arial" w:hAnsi="Arial"/>
          <w:sz w:val="13"/>
          <w:szCs w:val="13"/>
          <w:color w:val="auto"/>
        </w:rPr>
        <w:t>The bylaws also provide that indemnification provided for in the bylaws shall not be deemed exclusive of any other rights to which the indemnified party may be entitled; that any right of indemnification or protection provided under the bylaws shall not be adversely affected by any amendment, repeal, or modification of the bylaws; and that the Company may purchase and maintain insurance to protect itself and any such person against any such expenses, liability and loss, whether or not the Company would have the power to indemnify such person against such expenses, liability or loss under the DGCL or the bylaws.</w:t>
      </w:r>
    </w:p>
    <w:p>
      <w:pPr>
        <w:spacing w:after="0" w:line="63" w:lineRule="exact"/>
        <w:rPr>
          <w:sz w:val="20"/>
          <w:szCs w:val="20"/>
          <w:color w:val="auto"/>
        </w:rPr>
      </w:pPr>
    </w:p>
    <w:p>
      <w:pPr>
        <w:ind w:left="680" w:firstLine="399"/>
        <w:spacing w:after="0" w:line="270" w:lineRule="auto"/>
        <w:rPr>
          <w:sz w:val="20"/>
          <w:szCs w:val="20"/>
          <w:color w:val="auto"/>
        </w:rPr>
      </w:pPr>
      <w:r>
        <w:rPr>
          <w:rFonts w:ascii="Arial" w:cs="Arial" w:eastAsia="Arial" w:hAnsi="Arial"/>
          <w:sz w:val="13"/>
          <w:szCs w:val="13"/>
          <w:color w:val="auto"/>
        </w:rPr>
        <w:t>In addition to the above, the Company has entered into indemnification agreements with each of its directors and certain of its officers. The indemnification agreements provide directors and officers with the same indemnification by the Company as described above and assure directors and officers that indemnification will continue to be provided despite future changes in the bylaws of the Company. The Company also provides indemnity insurance pursuant to which officers and directors are indemnified or insured against liability or loss under certain circumstances, which may include liability or related loss under the Securities Act and the Exchange Act.</w:t>
      </w:r>
    </w:p>
    <w:p>
      <w:pPr>
        <w:spacing w:after="0" w:line="14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16.</w:t>
      </w:r>
      <w:r>
        <w:rPr>
          <w:sz w:val="20"/>
          <w:szCs w:val="20"/>
          <w:color w:val="auto"/>
        </w:rPr>
        <w:tab/>
      </w:r>
      <w:r>
        <w:rPr>
          <w:rFonts w:ascii="Arial" w:cs="Arial" w:eastAsia="Arial" w:hAnsi="Arial"/>
          <w:sz w:val="11"/>
          <w:szCs w:val="11"/>
          <w:b w:val="1"/>
          <w:bCs w:val="1"/>
          <w:i w:val="1"/>
          <w:iCs w:val="1"/>
          <w:color w:val="auto"/>
        </w:rPr>
        <w:t>Exhibits.</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See Exhibit Index attached hereto and incorporated by reference.</w:t>
      </w:r>
    </w:p>
    <w:p>
      <w:pPr>
        <w:spacing w:after="0" w:line="18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17.</w:t>
      </w:r>
      <w:r>
        <w:rPr>
          <w:sz w:val="20"/>
          <w:szCs w:val="20"/>
          <w:color w:val="auto"/>
        </w:rPr>
        <w:tab/>
      </w:r>
      <w:r>
        <w:rPr>
          <w:rFonts w:ascii="Arial" w:cs="Arial" w:eastAsia="Arial" w:hAnsi="Arial"/>
          <w:sz w:val="11"/>
          <w:szCs w:val="11"/>
          <w:b w:val="1"/>
          <w:bCs w:val="1"/>
          <w:i w:val="1"/>
          <w:iCs w:val="1"/>
          <w:color w:val="auto"/>
        </w:rPr>
        <w:t>Undertakings.</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undersigned Registrant hereby undertakes:</w:t>
      </w:r>
    </w:p>
    <w:p>
      <w:pPr>
        <w:spacing w:after="0" w:line="102" w:lineRule="exact"/>
        <w:rPr>
          <w:sz w:val="20"/>
          <w:szCs w:val="20"/>
          <w:color w:val="auto"/>
        </w:rPr>
      </w:pPr>
    </w:p>
    <w:p>
      <w:pPr>
        <w:ind w:left="1660" w:hanging="190"/>
        <w:spacing w:after="0"/>
        <w:tabs>
          <w:tab w:leader="none" w:pos="1660" w:val="left"/>
        </w:tabs>
        <w:numPr>
          <w:ilvl w:val="0"/>
          <w:numId w:val="30"/>
        </w:numPr>
        <w:rPr>
          <w:rFonts w:ascii="Arial" w:cs="Arial" w:eastAsia="Arial" w:hAnsi="Arial"/>
          <w:sz w:val="13"/>
          <w:szCs w:val="13"/>
          <w:color w:val="auto"/>
        </w:rPr>
      </w:pPr>
      <w:r>
        <w:rPr>
          <w:rFonts w:ascii="Arial" w:cs="Arial" w:eastAsia="Arial" w:hAnsi="Arial"/>
          <w:sz w:val="13"/>
          <w:szCs w:val="13"/>
          <w:color w:val="auto"/>
        </w:rPr>
        <w:t>To file, during any period in which offers or sales are being made, a post-effective amendment to this registration statement:</w:t>
      </w:r>
    </w:p>
    <w:p>
      <w:pPr>
        <w:spacing w:after="0" w:line="102" w:lineRule="exact"/>
        <w:rPr>
          <w:rFonts w:ascii="Arial" w:cs="Arial" w:eastAsia="Arial" w:hAnsi="Arial"/>
          <w:sz w:val="13"/>
          <w:szCs w:val="13"/>
          <w:color w:val="auto"/>
        </w:rPr>
      </w:pPr>
    </w:p>
    <w:p>
      <w:pPr>
        <w:ind w:left="2020" w:hanging="166"/>
        <w:spacing w:after="0"/>
        <w:tabs>
          <w:tab w:leader="none" w:pos="2020" w:val="left"/>
        </w:tabs>
        <w:numPr>
          <w:ilvl w:val="1"/>
          <w:numId w:val="30"/>
        </w:numPr>
        <w:rPr>
          <w:rFonts w:ascii="Arial" w:cs="Arial" w:eastAsia="Arial" w:hAnsi="Arial"/>
          <w:sz w:val="13"/>
          <w:szCs w:val="13"/>
          <w:color w:val="auto"/>
        </w:rPr>
      </w:pPr>
      <w:r>
        <w:rPr>
          <w:rFonts w:ascii="Arial" w:cs="Arial" w:eastAsia="Arial" w:hAnsi="Arial"/>
          <w:sz w:val="13"/>
          <w:szCs w:val="13"/>
          <w:color w:val="auto"/>
        </w:rPr>
        <w:t>To include any prospectus required by Section 10(a)(3) of the Securities Act of 1933;</w:t>
      </w:r>
    </w:p>
    <w:p>
      <w:pPr>
        <w:spacing w:after="0" w:line="102" w:lineRule="exact"/>
        <w:rPr>
          <w:rFonts w:ascii="Arial" w:cs="Arial" w:eastAsia="Arial" w:hAnsi="Arial"/>
          <w:sz w:val="13"/>
          <w:szCs w:val="13"/>
          <w:color w:val="auto"/>
        </w:rPr>
      </w:pPr>
    </w:p>
    <w:p>
      <w:pPr>
        <w:ind w:left="1480" w:right="20" w:firstLine="374"/>
        <w:spacing w:after="0" w:line="265" w:lineRule="auto"/>
        <w:tabs>
          <w:tab w:leader="none" w:pos="2042" w:val="left"/>
        </w:tabs>
        <w:numPr>
          <w:ilvl w:val="1"/>
          <w:numId w:val="30"/>
        </w:numPr>
        <w:rPr>
          <w:rFonts w:ascii="Arial" w:cs="Arial" w:eastAsia="Arial" w:hAnsi="Arial"/>
          <w:sz w:val="13"/>
          <w:szCs w:val="13"/>
          <w:color w:val="auto"/>
        </w:rPr>
      </w:pPr>
      <w:r>
        <w:rPr>
          <w:rFonts w:ascii="Arial" w:cs="Arial" w:eastAsia="Arial" w:hAnsi="Arial"/>
          <w:sz w:val="13"/>
          <w:szCs w:val="13"/>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w:t>
      </w:r>
    </w:p>
    <w:p>
      <w:pPr>
        <w:spacing w:after="0" w:line="67" w:lineRule="exact"/>
        <w:rPr>
          <w:rFonts w:ascii="Arial" w:cs="Arial" w:eastAsia="Arial" w:hAnsi="Arial"/>
          <w:sz w:val="13"/>
          <w:szCs w:val="13"/>
          <w:color w:val="auto"/>
        </w:rPr>
      </w:pPr>
    </w:p>
    <w:p>
      <w:pPr>
        <w:ind w:left="1480" w:firstLine="374"/>
        <w:spacing w:after="0" w:line="294" w:lineRule="auto"/>
        <w:tabs>
          <w:tab w:leader="none" w:pos="2079" w:val="left"/>
        </w:tabs>
        <w:numPr>
          <w:ilvl w:val="1"/>
          <w:numId w:val="30"/>
        </w:numPr>
        <w:rPr>
          <w:rFonts w:ascii="Arial" w:cs="Arial" w:eastAsia="Arial" w:hAnsi="Arial"/>
          <w:sz w:val="13"/>
          <w:szCs w:val="13"/>
          <w:color w:val="auto"/>
        </w:rPr>
      </w:pPr>
      <w:r>
        <w:rPr>
          <w:rFonts w:ascii="Arial" w:cs="Arial" w:eastAsia="Arial" w:hAnsi="Arial"/>
          <w:sz w:val="13"/>
          <w:szCs w:val="13"/>
          <w:color w:val="auto"/>
        </w:rPr>
        <w:t>To include any material information with respect to the plan of distribution not previously disclosed in the registration statement or any material change to such information in the registration statement;</w:t>
      </w:r>
    </w:p>
    <w:p>
      <w:pPr>
        <w:spacing w:after="0" w:line="47" w:lineRule="exact"/>
        <w:rPr>
          <w:sz w:val="20"/>
          <w:szCs w:val="20"/>
          <w:color w:val="auto"/>
        </w:rPr>
      </w:pPr>
    </w:p>
    <w:p>
      <w:pPr>
        <w:ind w:left="1480" w:right="20"/>
        <w:spacing w:after="0" w:line="309" w:lineRule="auto"/>
        <w:rPr>
          <w:sz w:val="20"/>
          <w:szCs w:val="20"/>
          <w:color w:val="auto"/>
        </w:rPr>
      </w:pPr>
      <w:r>
        <w:rPr>
          <w:rFonts w:ascii="Arial" w:cs="Arial" w:eastAsia="Arial" w:hAnsi="Arial"/>
          <w:sz w:val="12"/>
          <w:szCs w:val="12"/>
          <w:i w:val="1"/>
          <w:iCs w:val="1"/>
          <w:color w:val="auto"/>
        </w:rPr>
        <w:t>provided, however</w:t>
      </w:r>
      <w:r>
        <w:rPr>
          <w:rFonts w:ascii="Arial" w:cs="Arial" w:eastAsia="Arial" w:hAnsi="Arial"/>
          <w:sz w:val="12"/>
          <w:szCs w:val="12"/>
          <w:color w:val="auto"/>
        </w:rPr>
        <w:t>, that paragraphs (i), (ii) and (iii) do not apply if the information required to be included in a post-effective amendment by those paragraphs is contained</w:t>
      </w:r>
      <w:r>
        <w:rPr>
          <w:rFonts w:ascii="Arial" w:cs="Arial" w:eastAsia="Arial" w:hAnsi="Arial"/>
          <w:sz w:val="12"/>
          <w:szCs w:val="12"/>
          <w:i w:val="1"/>
          <w:iCs w:val="1"/>
          <w:color w:val="auto"/>
        </w:rPr>
        <w:t xml:space="preserve"> </w:t>
      </w:r>
      <w:r>
        <w:rPr>
          <w:rFonts w:ascii="Arial" w:cs="Arial" w:eastAsia="Arial" w:hAnsi="Arial"/>
          <w:sz w:val="12"/>
          <w:szCs w:val="12"/>
          <w:color w:val="auto"/>
        </w:rPr>
        <w:t>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41" w:lineRule="exact"/>
        <w:rPr>
          <w:sz w:val="20"/>
          <w:szCs w:val="20"/>
          <w:color w:val="auto"/>
        </w:rPr>
      </w:pPr>
    </w:p>
    <w:p>
      <w:pPr>
        <w:ind w:left="1080" w:right="380" w:firstLine="390"/>
        <w:spacing w:after="0" w:line="338" w:lineRule="auto"/>
        <w:tabs>
          <w:tab w:leader="none" w:pos="1651" w:val="left"/>
        </w:tabs>
        <w:numPr>
          <w:ilvl w:val="0"/>
          <w:numId w:val="31"/>
        </w:numPr>
        <w:rPr>
          <w:rFonts w:ascii="Arial" w:cs="Arial" w:eastAsia="Arial" w:hAnsi="Arial"/>
          <w:sz w:val="12"/>
          <w:szCs w:val="12"/>
          <w:color w:val="auto"/>
        </w:rPr>
      </w:pPr>
      <w:r>
        <w:rPr>
          <w:rFonts w:ascii="Arial" w:cs="Arial" w:eastAsia="Arial" w:hAnsi="Arial"/>
          <w:sz w:val="12"/>
          <w:szCs w:val="12"/>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2"/>
          <w:szCs w:val="12"/>
          <w:i w:val="1"/>
          <w:iCs w:val="1"/>
          <w:color w:val="auto"/>
        </w:rPr>
        <w:t>bona fide</w:t>
      </w:r>
      <w:r>
        <w:rPr>
          <w:rFonts w:ascii="Arial" w:cs="Arial" w:eastAsia="Arial" w:hAnsi="Arial"/>
          <w:sz w:val="12"/>
          <w:szCs w:val="12"/>
          <w:color w:val="auto"/>
        </w:rPr>
        <w:t xml:space="preserve"> offering thereof.</w:t>
      </w:r>
    </w:p>
    <w:p>
      <w:pPr>
        <w:spacing w:after="0" w:line="23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1660" w:hanging="190"/>
        <w:spacing w:after="0"/>
        <w:tabs>
          <w:tab w:leader="none" w:pos="1660" w:val="left"/>
        </w:tabs>
        <w:numPr>
          <w:ilvl w:val="0"/>
          <w:numId w:val="32"/>
        </w:numPr>
        <w:rPr>
          <w:rFonts w:ascii="Arial" w:cs="Arial" w:eastAsia="Arial" w:hAnsi="Arial"/>
          <w:sz w:val="12"/>
          <w:szCs w:val="12"/>
          <w:color w:val="auto"/>
        </w:rPr>
      </w:pPr>
      <w:r>
        <w:rPr>
          <w:rFonts w:ascii="Arial" w:cs="Arial" w:eastAsia="Arial" w:hAnsi="Arial"/>
          <w:sz w:val="12"/>
          <w:szCs w:val="12"/>
          <w:color w:val="auto"/>
        </w:rPr>
        <w:t>To remove from registration by means of a post-effective amendment any of the securities being registered which remain unsold at the termination of the offering.</w:t>
      </w:r>
    </w:p>
    <w:p>
      <w:pPr>
        <w:spacing w:after="0" w:line="113" w:lineRule="exact"/>
        <w:rPr>
          <w:rFonts w:ascii="Arial" w:cs="Arial" w:eastAsia="Arial" w:hAnsi="Arial"/>
          <w:sz w:val="12"/>
          <w:szCs w:val="12"/>
          <w:color w:val="auto"/>
        </w:rPr>
      </w:pPr>
    </w:p>
    <w:p>
      <w:pPr>
        <w:ind w:left="1660" w:hanging="190"/>
        <w:spacing w:after="0"/>
        <w:tabs>
          <w:tab w:leader="none" w:pos="1660" w:val="left"/>
        </w:tabs>
        <w:numPr>
          <w:ilvl w:val="0"/>
          <w:numId w:val="32"/>
        </w:numPr>
        <w:rPr>
          <w:rFonts w:ascii="Arial" w:cs="Arial" w:eastAsia="Arial" w:hAnsi="Arial"/>
          <w:sz w:val="13"/>
          <w:szCs w:val="13"/>
          <w:color w:val="auto"/>
        </w:rPr>
      </w:pPr>
      <w:r>
        <w:rPr>
          <w:rFonts w:ascii="Arial" w:cs="Arial" w:eastAsia="Arial" w:hAnsi="Arial"/>
          <w:sz w:val="13"/>
          <w:szCs w:val="13"/>
          <w:color w:val="auto"/>
        </w:rPr>
        <w:t>That, for purposes of determining liability under the Securities Act of 1933 to any purchaser:</w:t>
      </w:r>
    </w:p>
    <w:p>
      <w:pPr>
        <w:spacing w:after="0" w:line="102" w:lineRule="exact"/>
        <w:rPr>
          <w:rFonts w:ascii="Arial" w:cs="Arial" w:eastAsia="Arial" w:hAnsi="Arial"/>
          <w:sz w:val="13"/>
          <w:szCs w:val="13"/>
          <w:color w:val="auto"/>
        </w:rPr>
      </w:pPr>
    </w:p>
    <w:p>
      <w:pPr>
        <w:ind w:left="1480" w:right="200" w:firstLine="374"/>
        <w:spacing w:after="0" w:line="294" w:lineRule="auto"/>
        <w:tabs>
          <w:tab w:leader="none" w:pos="2067" w:val="left"/>
        </w:tabs>
        <w:numPr>
          <w:ilvl w:val="1"/>
          <w:numId w:val="32"/>
        </w:numPr>
        <w:rPr>
          <w:rFonts w:ascii="Arial" w:cs="Arial" w:eastAsia="Arial" w:hAnsi="Arial"/>
          <w:sz w:val="13"/>
          <w:szCs w:val="13"/>
          <w:color w:val="auto"/>
        </w:rPr>
      </w:pPr>
      <w:r>
        <w:rPr>
          <w:rFonts w:ascii="Arial" w:cs="Arial" w:eastAsia="Arial" w:hAnsi="Arial"/>
          <w:sz w:val="13"/>
          <w:szCs w:val="13"/>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46" w:lineRule="exact"/>
        <w:rPr>
          <w:rFonts w:ascii="Arial" w:cs="Arial" w:eastAsia="Arial" w:hAnsi="Arial"/>
          <w:sz w:val="13"/>
          <w:szCs w:val="13"/>
          <w:color w:val="auto"/>
        </w:rPr>
      </w:pPr>
    </w:p>
    <w:p>
      <w:pPr>
        <w:ind w:left="1480" w:right="40" w:firstLine="374"/>
        <w:spacing w:after="0" w:line="262" w:lineRule="auto"/>
        <w:tabs>
          <w:tab w:leader="none" w:pos="2060" w:val="left"/>
        </w:tabs>
        <w:numPr>
          <w:ilvl w:val="1"/>
          <w:numId w:val="32"/>
        </w:numPr>
        <w:rPr>
          <w:rFonts w:ascii="Arial" w:cs="Arial" w:eastAsia="Arial" w:hAnsi="Arial"/>
          <w:sz w:val="13"/>
          <w:szCs w:val="13"/>
          <w:color w:val="auto"/>
        </w:rPr>
      </w:pPr>
      <w:r>
        <w:rPr>
          <w:rFonts w:ascii="Arial" w:cs="Arial" w:eastAsia="Arial" w:hAnsi="Arial"/>
          <w:sz w:val="13"/>
          <w:szCs w:val="13"/>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related, and the offering of such securities at that time shall be deemed to be the initial </w:t>
      </w:r>
      <w:r>
        <w:rPr>
          <w:rFonts w:ascii="Arial" w:cs="Arial" w:eastAsia="Arial" w:hAnsi="Arial"/>
          <w:sz w:val="13"/>
          <w:szCs w:val="13"/>
          <w:i w:val="1"/>
          <w:iCs w:val="1"/>
          <w:color w:val="auto"/>
        </w:rPr>
        <w:t>bona fide</w:t>
      </w:r>
      <w:r>
        <w:rPr>
          <w:rFonts w:ascii="Arial" w:cs="Arial" w:eastAsia="Arial" w:hAnsi="Arial"/>
          <w:sz w:val="13"/>
          <w:szCs w:val="13"/>
          <w:color w:val="auto"/>
        </w:rPr>
        <w:t xml:space="preserve"> offering thereof. </w:t>
      </w:r>
      <w:r>
        <w:rPr>
          <w:rFonts w:ascii="Arial" w:cs="Arial" w:eastAsia="Arial" w:hAnsi="Arial"/>
          <w:sz w:val="13"/>
          <w:szCs w:val="13"/>
          <w:i w:val="1"/>
          <w:iCs w:val="1"/>
          <w:color w:val="auto"/>
        </w:rPr>
        <w:t>Provided, however</w:t>
      </w:r>
      <w:r>
        <w:rPr>
          <w:rFonts w:ascii="Arial" w:cs="Arial" w:eastAsia="Arial" w:hAnsi="Arial"/>
          <w:sz w:val="13"/>
          <w:szCs w:val="13"/>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70" w:lineRule="exact"/>
        <w:rPr>
          <w:rFonts w:ascii="Arial" w:cs="Arial" w:eastAsia="Arial" w:hAnsi="Arial"/>
          <w:sz w:val="13"/>
          <w:szCs w:val="13"/>
          <w:color w:val="auto"/>
        </w:rPr>
      </w:pPr>
    </w:p>
    <w:p>
      <w:pPr>
        <w:ind w:left="1080" w:right="280" w:firstLine="390"/>
        <w:spacing w:after="0" w:line="270" w:lineRule="auto"/>
        <w:tabs>
          <w:tab w:leader="none" w:pos="1651" w:val="left"/>
        </w:tabs>
        <w:numPr>
          <w:ilvl w:val="0"/>
          <w:numId w:val="32"/>
        </w:numPr>
        <w:rPr>
          <w:rFonts w:ascii="Arial" w:cs="Arial" w:eastAsia="Arial" w:hAnsi="Arial"/>
          <w:sz w:val="13"/>
          <w:szCs w:val="13"/>
          <w:color w:val="auto"/>
        </w:rPr>
      </w:pPr>
      <w:r>
        <w:rPr>
          <w:rFonts w:ascii="Arial" w:cs="Arial" w:eastAsia="Arial" w:hAnsi="Arial"/>
          <w:sz w:val="13"/>
          <w:szCs w:val="13"/>
          <w:color w:val="auto"/>
        </w:rPr>
        <w:t>That, for purposes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63" w:lineRule="exact"/>
        <w:rPr>
          <w:sz w:val="20"/>
          <w:szCs w:val="20"/>
          <w:color w:val="auto"/>
        </w:rPr>
      </w:pPr>
    </w:p>
    <w:p>
      <w:pPr>
        <w:ind w:left="2000" w:hanging="146"/>
        <w:spacing w:after="0"/>
        <w:tabs>
          <w:tab w:leader="none" w:pos="2000" w:val="left"/>
        </w:tabs>
        <w:numPr>
          <w:ilvl w:val="1"/>
          <w:numId w:val="33"/>
        </w:numPr>
        <w:rPr>
          <w:rFonts w:ascii="Arial" w:cs="Arial" w:eastAsia="Arial" w:hAnsi="Arial"/>
          <w:sz w:val="13"/>
          <w:szCs w:val="13"/>
          <w:color w:val="auto"/>
        </w:rPr>
      </w:pPr>
      <w:r>
        <w:rPr>
          <w:rFonts w:ascii="Arial" w:cs="Arial" w:eastAsia="Arial" w:hAnsi="Arial"/>
          <w:sz w:val="13"/>
          <w:szCs w:val="13"/>
          <w:color w:val="auto"/>
        </w:rPr>
        <w:t>Any preliminary prospectus or prospectus of the undersigned Registrant relating to the offering required to be filed pursuant to Rule 424;</w:t>
      </w:r>
    </w:p>
    <w:p>
      <w:pPr>
        <w:spacing w:after="0" w:line="102" w:lineRule="exact"/>
        <w:rPr>
          <w:rFonts w:ascii="Arial" w:cs="Arial" w:eastAsia="Arial" w:hAnsi="Arial"/>
          <w:sz w:val="13"/>
          <w:szCs w:val="13"/>
          <w:color w:val="auto"/>
        </w:rPr>
      </w:pPr>
    </w:p>
    <w:p>
      <w:pPr>
        <w:ind w:left="2040" w:hanging="186"/>
        <w:spacing w:after="0"/>
        <w:tabs>
          <w:tab w:leader="none" w:pos="2040" w:val="left"/>
        </w:tabs>
        <w:numPr>
          <w:ilvl w:val="1"/>
          <w:numId w:val="33"/>
        </w:numPr>
        <w:rPr>
          <w:rFonts w:ascii="Arial" w:cs="Arial" w:eastAsia="Arial" w:hAnsi="Arial"/>
          <w:sz w:val="12"/>
          <w:szCs w:val="12"/>
          <w:color w:val="auto"/>
        </w:rPr>
      </w:pPr>
      <w:r>
        <w:rPr>
          <w:rFonts w:ascii="Arial" w:cs="Arial" w:eastAsia="Arial" w:hAnsi="Arial"/>
          <w:sz w:val="12"/>
          <w:szCs w:val="12"/>
          <w:color w:val="auto"/>
        </w:rPr>
        <w:t>Any free writing prospectus relating to the offering prepared by or on behalf of the undersigned Registrant or used or referred to by the undersigned Registrant;</w:t>
      </w:r>
    </w:p>
    <w:p>
      <w:pPr>
        <w:spacing w:after="0" w:line="113" w:lineRule="exact"/>
        <w:rPr>
          <w:rFonts w:ascii="Arial" w:cs="Arial" w:eastAsia="Arial" w:hAnsi="Arial"/>
          <w:sz w:val="12"/>
          <w:szCs w:val="12"/>
          <w:color w:val="auto"/>
        </w:rPr>
      </w:pPr>
    </w:p>
    <w:p>
      <w:pPr>
        <w:ind w:left="1480" w:right="360" w:firstLine="374"/>
        <w:spacing w:after="0" w:line="294" w:lineRule="auto"/>
        <w:tabs>
          <w:tab w:leader="none" w:pos="2079" w:val="left"/>
        </w:tabs>
        <w:numPr>
          <w:ilvl w:val="1"/>
          <w:numId w:val="33"/>
        </w:numPr>
        <w:rPr>
          <w:rFonts w:ascii="Arial" w:cs="Arial" w:eastAsia="Arial" w:hAnsi="Arial"/>
          <w:sz w:val="13"/>
          <w:szCs w:val="13"/>
          <w:color w:val="auto"/>
        </w:rPr>
      </w:pPr>
      <w:r>
        <w:rPr>
          <w:rFonts w:ascii="Arial" w:cs="Arial" w:eastAsia="Arial" w:hAnsi="Arial"/>
          <w:sz w:val="13"/>
          <w:szCs w:val="13"/>
          <w:color w:val="auto"/>
        </w:rPr>
        <w:t>The portion of any other free writing prospectus relating to the offering containing material information about the undersigned Registrant or its securities provided by or on behalf of the undersigned Registrant; and</w:t>
      </w:r>
    </w:p>
    <w:p>
      <w:pPr>
        <w:spacing w:after="0" w:line="46" w:lineRule="exact"/>
        <w:rPr>
          <w:rFonts w:ascii="Arial" w:cs="Arial" w:eastAsia="Arial" w:hAnsi="Arial"/>
          <w:sz w:val="13"/>
          <w:szCs w:val="13"/>
          <w:color w:val="auto"/>
        </w:rPr>
      </w:pPr>
    </w:p>
    <w:p>
      <w:pPr>
        <w:ind w:left="2080" w:hanging="226"/>
        <w:spacing w:after="0"/>
        <w:tabs>
          <w:tab w:leader="none" w:pos="2080" w:val="left"/>
        </w:tabs>
        <w:numPr>
          <w:ilvl w:val="1"/>
          <w:numId w:val="33"/>
        </w:numPr>
        <w:rPr>
          <w:rFonts w:ascii="Arial" w:cs="Arial" w:eastAsia="Arial" w:hAnsi="Arial"/>
          <w:sz w:val="13"/>
          <w:szCs w:val="13"/>
          <w:color w:val="auto"/>
        </w:rPr>
      </w:pPr>
      <w:r>
        <w:rPr>
          <w:rFonts w:ascii="Arial" w:cs="Arial" w:eastAsia="Arial" w:hAnsi="Arial"/>
          <w:sz w:val="13"/>
          <w:szCs w:val="13"/>
          <w:color w:val="auto"/>
        </w:rPr>
        <w:t>Any other communication that is an offer in the offering made by the undersigned Registrant to the purchaser.</w:t>
      </w:r>
    </w:p>
    <w:p>
      <w:pPr>
        <w:spacing w:after="0" w:line="102" w:lineRule="exact"/>
        <w:rPr>
          <w:rFonts w:ascii="Arial" w:cs="Arial" w:eastAsia="Arial" w:hAnsi="Arial"/>
          <w:sz w:val="13"/>
          <w:szCs w:val="13"/>
          <w:color w:val="auto"/>
        </w:rPr>
      </w:pPr>
    </w:p>
    <w:p>
      <w:pPr>
        <w:ind w:left="1080" w:firstLine="390"/>
        <w:spacing w:after="0" w:line="270" w:lineRule="auto"/>
        <w:tabs>
          <w:tab w:leader="none" w:pos="1651" w:val="left"/>
        </w:tabs>
        <w:numPr>
          <w:ilvl w:val="0"/>
          <w:numId w:val="34"/>
        </w:numPr>
        <w:rPr>
          <w:rFonts w:ascii="Arial" w:cs="Arial" w:eastAsia="Arial" w:hAnsi="Arial"/>
          <w:sz w:val="13"/>
          <w:szCs w:val="13"/>
          <w:color w:val="auto"/>
        </w:rPr>
      </w:pPr>
      <w:r>
        <w:rPr>
          <w:rFonts w:ascii="Arial" w:cs="Arial" w:eastAsia="Arial" w:hAnsi="Arial"/>
          <w:sz w:val="13"/>
          <w:szCs w:val="13"/>
          <w:color w:val="auto"/>
        </w:rPr>
        <w:t xml:space="preserve">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3"/>
          <w:szCs w:val="13"/>
          <w:i w:val="1"/>
          <w:iCs w:val="1"/>
          <w:color w:val="auto"/>
        </w:rPr>
        <w:t>bona fide</w:t>
      </w:r>
      <w:r>
        <w:rPr>
          <w:rFonts w:ascii="Arial" w:cs="Arial" w:eastAsia="Arial" w:hAnsi="Arial"/>
          <w:sz w:val="13"/>
          <w:szCs w:val="13"/>
          <w:color w:val="auto"/>
        </w:rPr>
        <w:t xml:space="preserve"> offering thereof.</w:t>
      </w:r>
    </w:p>
    <w:p>
      <w:pPr>
        <w:spacing w:after="0" w:line="62" w:lineRule="exact"/>
        <w:rPr>
          <w:rFonts w:ascii="Arial" w:cs="Arial" w:eastAsia="Arial" w:hAnsi="Arial"/>
          <w:sz w:val="13"/>
          <w:szCs w:val="13"/>
          <w:color w:val="auto"/>
        </w:rPr>
      </w:pPr>
    </w:p>
    <w:p>
      <w:pPr>
        <w:ind w:left="1080" w:right="220" w:firstLine="390"/>
        <w:spacing w:after="0" w:line="294" w:lineRule="auto"/>
        <w:tabs>
          <w:tab w:leader="none" w:pos="1651" w:val="left"/>
        </w:tabs>
        <w:numPr>
          <w:ilvl w:val="0"/>
          <w:numId w:val="34"/>
        </w:numPr>
        <w:rPr>
          <w:rFonts w:ascii="Arial" w:cs="Arial" w:eastAsia="Arial" w:hAnsi="Arial"/>
          <w:sz w:val="13"/>
          <w:szCs w:val="13"/>
          <w:color w:val="auto"/>
        </w:rPr>
      </w:pPr>
      <w:r>
        <w:rPr>
          <w:rFonts w:ascii="Arial" w:cs="Arial" w:eastAsia="Arial" w:hAnsi="Arial"/>
          <w:sz w:val="13"/>
          <w:szCs w:val="13"/>
          <w:color w:val="auto"/>
        </w:rPr>
        <w:t>To file an application for the purpose of determining the eligibility of the trustee to act under subsection (a) of Section 310 of the Trust indenture Act in accordance with the rules and regulations prescribed by the Commission under Section 305(b)(2) of the Trust indenture Act.</w:t>
      </w:r>
    </w:p>
    <w:p>
      <w:pPr>
        <w:spacing w:after="0" w:line="25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1080" w:firstLine="390"/>
        <w:spacing w:after="0" w:line="264" w:lineRule="auto"/>
        <w:tabs>
          <w:tab w:leader="none" w:pos="1653" w:val="left"/>
        </w:tabs>
        <w:numPr>
          <w:ilvl w:val="0"/>
          <w:numId w:val="35"/>
        </w:numPr>
        <w:rPr>
          <w:rFonts w:ascii="Arial" w:cs="Arial" w:eastAsia="Arial" w:hAnsi="Arial"/>
          <w:sz w:val="13"/>
          <w:szCs w:val="13"/>
          <w:color w:val="auto"/>
        </w:rPr>
      </w:pPr>
      <w:r>
        <w:rPr>
          <w:rFonts w:ascii="Arial" w:cs="Arial" w:eastAsia="Arial" w:hAnsi="Arial"/>
          <w:sz w:val="13"/>
          <w:szCs w:val="13"/>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that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280"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0660"/>
          </w:cols>
          <w:pgMar w:left="220" w:top="349" w:right="101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SIGNATURES</w:t>
      </w:r>
    </w:p>
    <w:p>
      <w:pPr>
        <w:spacing w:after="0" w:line="104" w:lineRule="exact"/>
        <w:rPr>
          <w:sz w:val="20"/>
          <w:szCs w:val="20"/>
          <w:color w:val="auto"/>
        </w:rPr>
      </w:pPr>
    </w:p>
    <w:p>
      <w:pPr>
        <w:jc w:val="both"/>
        <w:ind w:left="680" w:right="800" w:firstLine="399"/>
        <w:spacing w:after="0" w:line="276" w:lineRule="auto"/>
        <w:rPr>
          <w:sz w:val="20"/>
          <w:szCs w:val="20"/>
          <w:color w:val="auto"/>
        </w:rPr>
      </w:pPr>
      <w:r>
        <w:rPr>
          <w:rFonts w:ascii="Arial" w:cs="Arial" w:eastAsia="Arial" w:hAnsi="Arial"/>
          <w:sz w:val="13"/>
          <w:szCs w:val="13"/>
          <w:color w:val="auto"/>
        </w:rPr>
        <w:t>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Houston, State of Texas, on this 22</w:t>
      </w:r>
      <w:r>
        <w:rPr>
          <w:rFonts w:ascii="Arial" w:cs="Arial" w:eastAsia="Arial" w:hAnsi="Arial"/>
          <w:sz w:val="11"/>
          <w:szCs w:val="11"/>
          <w:color w:val="auto"/>
        </w:rPr>
        <w:t>nd</w:t>
      </w:r>
      <w:r>
        <w:rPr>
          <w:rFonts w:ascii="Arial" w:cs="Arial" w:eastAsia="Arial" w:hAnsi="Arial"/>
          <w:sz w:val="13"/>
          <w:szCs w:val="13"/>
          <w:color w:val="auto"/>
        </w:rPr>
        <w:t xml:space="preserve"> day of September, 2009.</w:t>
      </w:r>
    </w:p>
    <w:p>
      <w:pPr>
        <w:spacing w:after="0" w:line="300"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WASTE MANAGEMENT, INC.</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/s/ David P. Steiner</w:t>
      </w:r>
    </w:p>
    <w:p>
      <w:pPr>
        <w:spacing w:after="0" w:line="3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David P. Steiner,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3538855</wp:posOffset>
            </wp:positionH>
            <wp:positionV relativeFrom="paragraph">
              <wp:posOffset>-93980</wp:posOffset>
            </wp:positionV>
            <wp:extent cx="3231515" cy="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31515" cy="6350"/>
                    </a:xfrm>
                    <a:prstGeom prst="rect">
                      <a:avLst/>
                    </a:prstGeom>
                    <a:noFill/>
                  </pic:spPr>
                </pic:pic>
              </a:graphicData>
            </a:graphic>
          </wp:anchor>
        </w:drawing>
      </w:r>
    </w:p>
    <w:p>
      <w:pPr>
        <w:spacing w:after="0" w:line="242"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POWERS OF ATTORNEY</w:t>
      </w:r>
    </w:p>
    <w:p>
      <w:pPr>
        <w:spacing w:after="0" w:line="104" w:lineRule="exact"/>
        <w:rPr>
          <w:sz w:val="20"/>
          <w:szCs w:val="20"/>
          <w:color w:val="auto"/>
        </w:rPr>
      </w:pPr>
    </w:p>
    <w:p>
      <w:pPr>
        <w:ind w:left="680" w:right="860" w:firstLine="399"/>
        <w:spacing w:after="0" w:line="264" w:lineRule="auto"/>
        <w:rPr>
          <w:sz w:val="20"/>
          <w:szCs w:val="20"/>
          <w:color w:val="auto"/>
        </w:rPr>
      </w:pPr>
      <w:r>
        <w:rPr>
          <w:rFonts w:ascii="Arial" w:cs="Arial" w:eastAsia="Arial" w:hAnsi="Arial"/>
          <w:sz w:val="13"/>
          <w:szCs w:val="13"/>
          <w:color w:val="auto"/>
        </w:rPr>
        <w:t>KNOWN ALL PERSONS BY THESE PRESENTS, that the individuals whose signature appears below hereby constitute and appoint David P. Steiner, Robert G. Simpson and Rick L Wittenbraker, and each of them severally, as his or her true and lawful attorneys-in-fact and agents with full power of substitution and resubstitution for him or her and in his or her name, place, and stead in any and all capacities to sign any and all amendments (including post-effective amendments and amendments filed pursuant to 462(b) under the Securities Act of 1933) to this registration statement,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connection therewith, as fully to all intents and purposes as he or she might or could do in person, hereby ratifying and confirming all that said attorneys-in-facts and agents or any of them, or of his substitute or substitutes, may lawfully do to cause to be done by virtue hereof.</w:t>
      </w:r>
    </w:p>
    <w:p>
      <w:pPr>
        <w:spacing w:after="0" w:line="68" w:lineRule="exact"/>
        <w:rPr>
          <w:sz w:val="20"/>
          <w:szCs w:val="20"/>
          <w:color w:val="auto"/>
        </w:rPr>
      </w:pPr>
    </w:p>
    <w:p>
      <w:pPr>
        <w:ind w:left="680" w:right="1600" w:firstLine="399"/>
        <w:spacing w:after="0" w:line="294" w:lineRule="auto"/>
        <w:rPr>
          <w:sz w:val="20"/>
          <w:szCs w:val="20"/>
          <w:color w:val="auto"/>
        </w:rPr>
      </w:pPr>
      <w:r>
        <w:rPr>
          <w:rFonts w:ascii="Arial" w:cs="Arial" w:eastAsia="Arial" w:hAnsi="Arial"/>
          <w:sz w:val="13"/>
          <w:szCs w:val="13"/>
          <w:color w:val="auto"/>
        </w:rPr>
        <w:t>Pursuant to the requirements of the Securities Act of 1933, this registration statement has been signed below by the following persons in the capacities indicated on September 22, 2009.</w:t>
      </w:r>
    </w:p>
    <w:p>
      <w:pPr>
        <w:spacing w:after="0" w:line="51" w:lineRule="exact"/>
        <w:rPr>
          <w:sz w:val="20"/>
          <w:szCs w:val="20"/>
          <w:color w:val="auto"/>
        </w:rPr>
      </w:pPr>
    </w:p>
    <w:p>
      <w:pPr>
        <w:ind w:left="2720"/>
        <w:spacing w:after="0"/>
        <w:tabs>
          <w:tab w:leader="none" w:pos="7820" w:val="left"/>
        </w:tabs>
        <w:rPr>
          <w:sz w:val="20"/>
          <w:szCs w:val="20"/>
          <w:color w:val="auto"/>
        </w:rPr>
      </w:pPr>
      <w:r>
        <w:rPr>
          <w:rFonts w:ascii="Arial" w:cs="Arial" w:eastAsia="Arial" w:hAnsi="Arial"/>
          <w:sz w:val="11"/>
          <w:szCs w:val="11"/>
          <w:b w:val="1"/>
          <w:bCs w:val="1"/>
          <w:u w:val="single" w:color="auto"/>
          <w:color w:val="auto"/>
        </w:rPr>
        <w:t>S</w:t>
      </w:r>
      <w:r>
        <w:rPr>
          <w:rFonts w:ascii="Arial" w:cs="Arial" w:eastAsia="Arial" w:hAnsi="Arial"/>
          <w:sz w:val="11"/>
          <w:szCs w:val="11"/>
          <w:b w:val="1"/>
          <w:bCs w:val="1"/>
          <w:color w:val="auto"/>
        </w:rPr>
        <w:t>ignature</w:t>
      </w:r>
      <w:r>
        <w:rPr>
          <w:sz w:val="20"/>
          <w:szCs w:val="20"/>
          <w:color w:val="auto"/>
        </w:rPr>
        <w:tab/>
      </w: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80" w:type="dxa"/>
            <w:vAlign w:val="bottom"/>
          </w:tcPr>
          <w:p>
            <w:pPr>
              <w:spacing w:after="0"/>
              <w:rPr>
                <w:sz w:val="14"/>
                <w:szCs w:val="1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7"/>
              </w:rPr>
              <w:t>/s/ David P. Steiner</w:t>
            </w:r>
          </w:p>
        </w:tc>
        <w:tc>
          <w:tcPr>
            <w:tcW w:w="6680" w:type="dxa"/>
            <w:vAlign w:val="bottom"/>
          </w:tcPr>
          <w:p>
            <w:pPr>
              <w:jc w:val="center"/>
              <w:ind w:right="413"/>
              <w:spacing w:after="0"/>
              <w:rPr>
                <w:sz w:val="20"/>
                <w:szCs w:val="20"/>
                <w:color w:val="auto"/>
              </w:rPr>
            </w:pPr>
            <w:r>
              <w:rPr>
                <w:rFonts w:ascii="Arial" w:cs="Arial" w:eastAsia="Arial" w:hAnsi="Arial"/>
                <w:sz w:val="13"/>
                <w:szCs w:val="13"/>
                <w:color w:val="auto"/>
                <w:w w:val="96"/>
              </w:rPr>
              <w:t>Chief Executive Officer and Director</w:t>
            </w:r>
          </w:p>
        </w:tc>
      </w:tr>
      <w:tr>
        <w:trPr>
          <w:trHeight w:val="162"/>
        </w:trPr>
        <w:tc>
          <w:tcPr>
            <w:tcW w:w="680" w:type="dxa"/>
            <w:vAlign w:val="bottom"/>
          </w:tcPr>
          <w:p>
            <w:pPr>
              <w:spacing w:after="0"/>
              <w:rPr>
                <w:sz w:val="14"/>
                <w:szCs w:val="14"/>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3"/>
              </w:rPr>
              <w:t>David P. Steiner</w:t>
            </w:r>
          </w:p>
        </w:tc>
        <w:tc>
          <w:tcPr>
            <w:tcW w:w="6680" w:type="dxa"/>
            <w:vAlign w:val="bottom"/>
          </w:tcPr>
          <w:p>
            <w:pPr>
              <w:jc w:val="center"/>
              <w:ind w:right="413"/>
              <w:spacing w:after="0"/>
              <w:rPr>
                <w:sz w:val="20"/>
                <w:szCs w:val="20"/>
                <w:color w:val="auto"/>
              </w:rPr>
            </w:pPr>
            <w:r>
              <w:rPr>
                <w:rFonts w:ascii="Arial" w:cs="Arial" w:eastAsia="Arial" w:hAnsi="Arial"/>
                <w:sz w:val="13"/>
                <w:szCs w:val="13"/>
                <w:color w:val="auto"/>
                <w:w w:val="97"/>
              </w:rPr>
              <w:t>(Principal Executive Officer)</w:t>
            </w:r>
          </w:p>
        </w:tc>
      </w:tr>
      <w:tr>
        <w:trPr>
          <w:trHeight w:val="312"/>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/s/ Robert G. Simpson</w:t>
            </w:r>
          </w:p>
        </w:tc>
        <w:tc>
          <w:tcPr>
            <w:tcW w:w="6680" w:type="dxa"/>
            <w:vAlign w:val="bottom"/>
          </w:tcPr>
          <w:p>
            <w:pPr>
              <w:jc w:val="center"/>
              <w:ind w:right="413"/>
              <w:spacing w:after="0"/>
              <w:rPr>
                <w:sz w:val="20"/>
                <w:szCs w:val="20"/>
                <w:color w:val="auto"/>
              </w:rPr>
            </w:pPr>
            <w:r>
              <w:rPr>
                <w:rFonts w:ascii="Arial" w:cs="Arial" w:eastAsia="Arial" w:hAnsi="Arial"/>
                <w:sz w:val="13"/>
                <w:szCs w:val="13"/>
                <w:color w:val="auto"/>
                <w:w w:val="95"/>
              </w:rPr>
              <w:t>Senior Vice President and Chief Financial Officer</w:t>
            </w:r>
          </w:p>
        </w:tc>
      </w:tr>
      <w:tr>
        <w:trPr>
          <w:trHeight w:val="162"/>
        </w:trPr>
        <w:tc>
          <w:tcPr>
            <w:tcW w:w="680" w:type="dxa"/>
            <w:vAlign w:val="bottom"/>
          </w:tcPr>
          <w:p>
            <w:pPr>
              <w:spacing w:after="0"/>
              <w:rPr>
                <w:sz w:val="14"/>
                <w:szCs w:val="14"/>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4"/>
              </w:rPr>
              <w:t>Robert G. Simpson</w:t>
            </w:r>
          </w:p>
        </w:tc>
        <w:tc>
          <w:tcPr>
            <w:tcW w:w="6680" w:type="dxa"/>
            <w:vAlign w:val="bottom"/>
          </w:tcPr>
          <w:p>
            <w:pPr>
              <w:jc w:val="center"/>
              <w:ind w:right="433"/>
              <w:spacing w:after="0"/>
              <w:rPr>
                <w:sz w:val="20"/>
                <w:szCs w:val="20"/>
                <w:color w:val="auto"/>
              </w:rPr>
            </w:pPr>
            <w:r>
              <w:rPr>
                <w:rFonts w:ascii="Arial" w:cs="Arial" w:eastAsia="Arial" w:hAnsi="Arial"/>
                <w:sz w:val="13"/>
                <w:szCs w:val="13"/>
                <w:color w:val="auto"/>
                <w:w w:val="98"/>
              </w:rPr>
              <w:t>(Principal Financial Officer)</w:t>
            </w:r>
          </w:p>
        </w:tc>
      </w:tr>
      <w:tr>
        <w:trPr>
          <w:trHeight w:val="312"/>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5"/>
              </w:rPr>
              <w:t>/s/ Greg A. Robertson</w:t>
            </w:r>
          </w:p>
        </w:tc>
        <w:tc>
          <w:tcPr>
            <w:tcW w:w="6680" w:type="dxa"/>
            <w:vAlign w:val="bottom"/>
          </w:tcPr>
          <w:p>
            <w:pPr>
              <w:jc w:val="center"/>
              <w:ind w:right="433"/>
              <w:spacing w:after="0"/>
              <w:rPr>
                <w:sz w:val="20"/>
                <w:szCs w:val="20"/>
                <w:color w:val="auto"/>
              </w:rPr>
            </w:pPr>
            <w:r>
              <w:rPr>
                <w:rFonts w:ascii="Arial" w:cs="Arial" w:eastAsia="Arial" w:hAnsi="Arial"/>
                <w:sz w:val="13"/>
                <w:szCs w:val="13"/>
                <w:color w:val="auto"/>
                <w:w w:val="95"/>
              </w:rPr>
              <w:t>Vice President and Chief Accounting Officer</w:t>
            </w:r>
          </w:p>
        </w:tc>
      </w:tr>
      <w:tr>
        <w:trPr>
          <w:trHeight w:val="162"/>
        </w:trPr>
        <w:tc>
          <w:tcPr>
            <w:tcW w:w="680" w:type="dxa"/>
            <w:vAlign w:val="bottom"/>
          </w:tcPr>
          <w:p>
            <w:pPr>
              <w:spacing w:after="0"/>
              <w:rPr>
                <w:sz w:val="14"/>
                <w:szCs w:val="14"/>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2"/>
              </w:rPr>
              <w:t>Greg A. Robertson</w:t>
            </w:r>
          </w:p>
        </w:tc>
        <w:tc>
          <w:tcPr>
            <w:tcW w:w="6680" w:type="dxa"/>
            <w:vAlign w:val="bottom"/>
          </w:tcPr>
          <w:p>
            <w:pPr>
              <w:jc w:val="center"/>
              <w:ind w:right="433"/>
              <w:spacing w:after="0"/>
              <w:rPr>
                <w:sz w:val="20"/>
                <w:szCs w:val="20"/>
                <w:color w:val="auto"/>
              </w:rPr>
            </w:pPr>
            <w:r>
              <w:rPr>
                <w:rFonts w:ascii="Arial" w:cs="Arial" w:eastAsia="Arial" w:hAnsi="Arial"/>
                <w:sz w:val="13"/>
                <w:szCs w:val="13"/>
                <w:color w:val="auto"/>
                <w:w w:val="98"/>
              </w:rPr>
              <w:t>(Principal Accounting Officer)</w:t>
            </w:r>
          </w:p>
        </w:tc>
      </w:tr>
      <w:tr>
        <w:trPr>
          <w:trHeight w:val="312"/>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4"/>
              </w:rPr>
              <w:t>/s/ Pastora San Juan Cafferty</w:t>
            </w:r>
          </w:p>
        </w:tc>
        <w:tc>
          <w:tcPr>
            <w:tcW w:w="6680" w:type="dxa"/>
            <w:vAlign w:val="bottom"/>
          </w:tcPr>
          <w:p>
            <w:pPr>
              <w:jc w:val="center"/>
              <w:ind w:right="433"/>
              <w:spacing w:after="0"/>
              <w:rPr>
                <w:sz w:val="20"/>
                <w:szCs w:val="20"/>
                <w:color w:val="auto"/>
              </w:rPr>
            </w:pPr>
            <w:r>
              <w:rPr>
                <w:rFonts w:ascii="Arial" w:cs="Arial" w:eastAsia="Arial" w:hAnsi="Arial"/>
                <w:sz w:val="13"/>
                <w:szCs w:val="13"/>
                <w:color w:val="auto"/>
              </w:rPr>
              <w:t>Director</w:t>
            </w:r>
          </w:p>
        </w:tc>
      </w:tr>
      <w:tr>
        <w:trPr>
          <w:trHeight w:val="162"/>
        </w:trPr>
        <w:tc>
          <w:tcPr>
            <w:tcW w:w="680" w:type="dxa"/>
            <w:vAlign w:val="bottom"/>
          </w:tcPr>
          <w:p>
            <w:pPr>
              <w:spacing w:after="0"/>
              <w:rPr>
                <w:sz w:val="14"/>
                <w:szCs w:val="14"/>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1"/>
              </w:rPr>
              <w:t>Pastora San Juan Cafferty</w:t>
            </w:r>
          </w:p>
        </w:tc>
        <w:tc>
          <w:tcPr>
            <w:tcW w:w="6680" w:type="dxa"/>
            <w:vAlign w:val="bottom"/>
          </w:tcPr>
          <w:p>
            <w:pPr>
              <w:spacing w:after="0"/>
              <w:rPr>
                <w:sz w:val="14"/>
                <w:szCs w:val="14"/>
                <w:color w:val="auto"/>
              </w:rPr>
            </w:pPr>
          </w:p>
        </w:tc>
      </w:tr>
      <w:tr>
        <w:trPr>
          <w:trHeight w:val="312"/>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/s/ Frank M. Clark, Jr.</w:t>
            </w:r>
          </w:p>
        </w:tc>
        <w:tc>
          <w:tcPr>
            <w:tcW w:w="6680" w:type="dxa"/>
            <w:vAlign w:val="bottom"/>
          </w:tcPr>
          <w:p>
            <w:pPr>
              <w:jc w:val="center"/>
              <w:ind w:right="433"/>
              <w:spacing w:after="0"/>
              <w:rPr>
                <w:sz w:val="20"/>
                <w:szCs w:val="20"/>
                <w:color w:val="auto"/>
              </w:rPr>
            </w:pPr>
            <w:r>
              <w:rPr>
                <w:rFonts w:ascii="Arial" w:cs="Arial" w:eastAsia="Arial" w:hAnsi="Arial"/>
                <w:sz w:val="13"/>
                <w:szCs w:val="13"/>
                <w:color w:val="auto"/>
              </w:rPr>
              <w:t>Director</w:t>
            </w:r>
          </w:p>
        </w:tc>
      </w:tr>
      <w:tr>
        <w:trPr>
          <w:trHeight w:val="162"/>
        </w:trPr>
        <w:tc>
          <w:tcPr>
            <w:tcW w:w="680" w:type="dxa"/>
            <w:vAlign w:val="bottom"/>
          </w:tcPr>
          <w:p>
            <w:pPr>
              <w:spacing w:after="0"/>
              <w:rPr>
                <w:sz w:val="14"/>
                <w:szCs w:val="14"/>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7"/>
              </w:rPr>
              <w:t>Frank M. Clark, Jr.</w:t>
            </w:r>
          </w:p>
        </w:tc>
        <w:tc>
          <w:tcPr>
            <w:tcW w:w="6680" w:type="dxa"/>
            <w:vAlign w:val="bottom"/>
          </w:tcPr>
          <w:p>
            <w:pPr>
              <w:spacing w:after="0"/>
              <w:rPr>
                <w:sz w:val="14"/>
                <w:szCs w:val="14"/>
                <w:color w:val="auto"/>
              </w:rPr>
            </w:pPr>
          </w:p>
        </w:tc>
      </w:tr>
      <w:tr>
        <w:trPr>
          <w:trHeight w:val="312"/>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7"/>
              </w:rPr>
              <w:t>/s/ Patrick W. Gross</w:t>
            </w:r>
          </w:p>
        </w:tc>
        <w:tc>
          <w:tcPr>
            <w:tcW w:w="6680" w:type="dxa"/>
            <w:vAlign w:val="bottom"/>
          </w:tcPr>
          <w:p>
            <w:pPr>
              <w:jc w:val="center"/>
              <w:ind w:right="433"/>
              <w:spacing w:after="0"/>
              <w:rPr>
                <w:sz w:val="20"/>
                <w:szCs w:val="20"/>
                <w:color w:val="auto"/>
              </w:rPr>
            </w:pPr>
            <w:r>
              <w:rPr>
                <w:rFonts w:ascii="Arial" w:cs="Arial" w:eastAsia="Arial" w:hAnsi="Arial"/>
                <w:sz w:val="13"/>
                <w:szCs w:val="13"/>
                <w:color w:val="auto"/>
              </w:rPr>
              <w:t>Director</w:t>
            </w:r>
          </w:p>
        </w:tc>
      </w:tr>
      <w:tr>
        <w:trPr>
          <w:trHeight w:val="162"/>
        </w:trPr>
        <w:tc>
          <w:tcPr>
            <w:tcW w:w="680" w:type="dxa"/>
            <w:vAlign w:val="bottom"/>
          </w:tcPr>
          <w:p>
            <w:pPr>
              <w:spacing w:after="0"/>
              <w:rPr>
                <w:sz w:val="14"/>
                <w:szCs w:val="14"/>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4"/>
              </w:rPr>
              <w:t>Patrick W. Gross</w:t>
            </w:r>
          </w:p>
        </w:tc>
        <w:tc>
          <w:tcPr>
            <w:tcW w:w="6680" w:type="dxa"/>
            <w:vAlign w:val="bottom"/>
          </w:tcPr>
          <w:p>
            <w:pPr>
              <w:spacing w:after="0"/>
              <w:rPr>
                <w:sz w:val="14"/>
                <w:szCs w:val="14"/>
                <w:color w:val="auto"/>
              </w:rPr>
            </w:pPr>
          </w:p>
        </w:tc>
      </w:tr>
      <w:tr>
        <w:trPr>
          <w:trHeight w:val="443"/>
        </w:trPr>
        <w:tc>
          <w:tcPr>
            <w:tcW w:w="6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6680" w:type="dxa"/>
            <w:vAlign w:val="bottom"/>
          </w:tcPr>
          <w:p>
            <w:pPr>
              <w:ind w:left="800"/>
              <w:spacing w:after="0"/>
              <w:rPr>
                <w:sz w:val="20"/>
                <w:szCs w:val="20"/>
                <w:color w:val="auto"/>
              </w:rPr>
            </w:pPr>
            <w:r>
              <w:rPr>
                <w:rFonts w:ascii="Arial" w:cs="Arial" w:eastAsia="Arial" w:hAnsi="Arial"/>
                <w:sz w:val="13"/>
                <w:szCs w:val="13"/>
                <w:color w:val="auto"/>
              </w:rPr>
              <w:t>II-5</w:t>
            </w:r>
          </w:p>
        </w:tc>
      </w:tr>
      <w:tr>
        <w:trPr>
          <w:trHeight w:val="167"/>
        </w:trPr>
        <w:tc>
          <w:tcPr>
            <w:tcW w:w="680" w:type="dxa"/>
            <w:vAlign w:val="bottom"/>
            <w:tcBorders>
              <w:bottom w:val="single" w:sz="8" w:color="808080"/>
            </w:tcBorders>
          </w:tcPr>
          <w:p>
            <w:pPr>
              <w:spacing w:after="0"/>
              <w:rPr>
                <w:sz w:val="14"/>
                <w:szCs w:val="14"/>
                <w:color w:val="auto"/>
              </w:rPr>
            </w:pPr>
          </w:p>
        </w:tc>
        <w:tc>
          <w:tcPr>
            <w:tcW w:w="4100" w:type="dxa"/>
            <w:vAlign w:val="bottom"/>
            <w:tcBorders>
              <w:bottom w:val="single" w:sz="8" w:color="808080"/>
            </w:tcBorders>
          </w:tcPr>
          <w:p>
            <w:pPr>
              <w:spacing w:after="0"/>
              <w:rPr>
                <w:sz w:val="14"/>
                <w:szCs w:val="14"/>
                <w:color w:val="auto"/>
              </w:rPr>
            </w:pPr>
          </w:p>
        </w:tc>
        <w:tc>
          <w:tcPr>
            <w:tcW w:w="668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9" w:right="21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9" w:lineRule="exact"/>
        <w:rPr>
          <w:sz w:val="20"/>
          <w:szCs w:val="20"/>
          <w:color w:val="auto"/>
        </w:rPr>
      </w:pPr>
    </w:p>
    <w:p>
      <w:pPr>
        <w:ind w:left="2720"/>
        <w:spacing w:after="0"/>
        <w:tabs>
          <w:tab w:leader="none" w:pos="7820" w:val="left"/>
        </w:tabs>
        <w:rPr>
          <w:sz w:val="20"/>
          <w:szCs w:val="20"/>
          <w:color w:val="auto"/>
        </w:rPr>
      </w:pPr>
      <w:r>
        <w:rPr>
          <w:rFonts w:ascii="Arial" w:cs="Arial" w:eastAsia="Arial" w:hAnsi="Arial"/>
          <w:sz w:val="11"/>
          <w:szCs w:val="11"/>
          <w:b w:val="1"/>
          <w:bCs w:val="1"/>
          <w:u w:val="single" w:color="auto"/>
          <w:color w:val="auto"/>
        </w:rPr>
        <w:t>S</w:t>
      </w:r>
      <w:r>
        <w:rPr>
          <w:rFonts w:ascii="Arial" w:cs="Arial" w:eastAsia="Arial" w:hAnsi="Arial"/>
          <w:sz w:val="11"/>
          <w:szCs w:val="11"/>
          <w:b w:val="1"/>
          <w:bCs w:val="1"/>
          <w:color w:val="auto"/>
        </w:rPr>
        <w:t>ignature</w:t>
      </w:r>
      <w:r>
        <w:rPr>
          <w:sz w:val="20"/>
          <w:szCs w:val="20"/>
          <w:color w:val="auto"/>
        </w:rPr>
        <w:tab/>
      </w: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80" w:type="dxa"/>
            <w:vAlign w:val="bottom"/>
          </w:tcPr>
          <w:p>
            <w:pPr>
              <w:spacing w:after="0"/>
              <w:rPr>
                <w:sz w:val="15"/>
                <w:szCs w:val="15"/>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5"/>
              </w:rPr>
              <w:t>/s/ John C. Pope</w:t>
            </w:r>
          </w:p>
        </w:tc>
        <w:tc>
          <w:tcPr>
            <w:tcW w:w="6680" w:type="dxa"/>
            <w:vAlign w:val="bottom"/>
          </w:tcPr>
          <w:p>
            <w:pPr>
              <w:ind w:left="2860"/>
              <w:spacing w:after="0"/>
              <w:rPr>
                <w:sz w:val="20"/>
                <w:szCs w:val="20"/>
                <w:color w:val="auto"/>
              </w:rPr>
            </w:pPr>
            <w:r>
              <w:rPr>
                <w:rFonts w:ascii="Arial" w:cs="Arial" w:eastAsia="Arial" w:hAnsi="Arial"/>
                <w:sz w:val="13"/>
                <w:szCs w:val="13"/>
                <w:color w:val="auto"/>
              </w:rPr>
              <w:t>Director</w:t>
            </w:r>
          </w:p>
        </w:tc>
      </w:tr>
      <w:tr>
        <w:trPr>
          <w:trHeight w:val="167"/>
        </w:trPr>
        <w:tc>
          <w:tcPr>
            <w:tcW w:w="680" w:type="dxa"/>
            <w:vAlign w:val="bottom"/>
          </w:tcPr>
          <w:p>
            <w:pPr>
              <w:spacing w:after="0"/>
              <w:rPr>
                <w:sz w:val="14"/>
                <w:szCs w:val="14"/>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1"/>
              </w:rPr>
              <w:t>John C. Pope</w:t>
            </w:r>
          </w:p>
        </w:tc>
        <w:tc>
          <w:tcPr>
            <w:tcW w:w="6680" w:type="dxa"/>
            <w:vAlign w:val="bottom"/>
          </w:tcPr>
          <w:p>
            <w:pPr>
              <w:spacing w:after="0"/>
              <w:rPr>
                <w:sz w:val="14"/>
                <w:szCs w:val="14"/>
                <w:color w:val="auto"/>
              </w:rPr>
            </w:pPr>
          </w:p>
        </w:tc>
      </w:tr>
      <w:tr>
        <w:trPr>
          <w:trHeight w:val="307"/>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4"/>
              </w:rPr>
              <w:t>/s/ W. Robert Reum</w:t>
            </w:r>
          </w:p>
        </w:tc>
        <w:tc>
          <w:tcPr>
            <w:tcW w:w="6680" w:type="dxa"/>
            <w:vAlign w:val="bottom"/>
          </w:tcPr>
          <w:p>
            <w:pPr>
              <w:ind w:left="2860"/>
              <w:spacing w:after="0"/>
              <w:rPr>
                <w:sz w:val="20"/>
                <w:szCs w:val="20"/>
                <w:color w:val="auto"/>
              </w:rPr>
            </w:pPr>
            <w:r>
              <w:rPr>
                <w:rFonts w:ascii="Arial" w:cs="Arial" w:eastAsia="Arial" w:hAnsi="Arial"/>
                <w:sz w:val="13"/>
                <w:szCs w:val="13"/>
                <w:color w:val="auto"/>
              </w:rPr>
              <w:t>Director</w:t>
            </w:r>
          </w:p>
        </w:tc>
      </w:tr>
      <w:tr>
        <w:trPr>
          <w:trHeight w:val="167"/>
        </w:trPr>
        <w:tc>
          <w:tcPr>
            <w:tcW w:w="680" w:type="dxa"/>
            <w:vAlign w:val="bottom"/>
          </w:tcPr>
          <w:p>
            <w:pPr>
              <w:spacing w:after="0"/>
              <w:rPr>
                <w:sz w:val="14"/>
                <w:szCs w:val="14"/>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2"/>
              </w:rPr>
              <w:t>W. Robert Reum</w:t>
            </w:r>
          </w:p>
        </w:tc>
        <w:tc>
          <w:tcPr>
            <w:tcW w:w="6680" w:type="dxa"/>
            <w:vAlign w:val="bottom"/>
          </w:tcPr>
          <w:p>
            <w:pPr>
              <w:spacing w:after="0"/>
              <w:rPr>
                <w:sz w:val="14"/>
                <w:szCs w:val="14"/>
                <w:color w:val="auto"/>
              </w:rPr>
            </w:pPr>
          </w:p>
        </w:tc>
      </w:tr>
      <w:tr>
        <w:trPr>
          <w:trHeight w:val="307"/>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5"/>
              </w:rPr>
              <w:t>/s/ Steven G. Rothmeier</w:t>
            </w:r>
          </w:p>
        </w:tc>
        <w:tc>
          <w:tcPr>
            <w:tcW w:w="6680" w:type="dxa"/>
            <w:vAlign w:val="bottom"/>
          </w:tcPr>
          <w:p>
            <w:pPr>
              <w:ind w:left="2860"/>
              <w:spacing w:after="0"/>
              <w:rPr>
                <w:sz w:val="20"/>
                <w:szCs w:val="20"/>
                <w:color w:val="auto"/>
              </w:rPr>
            </w:pPr>
            <w:r>
              <w:rPr>
                <w:rFonts w:ascii="Arial" w:cs="Arial" w:eastAsia="Arial" w:hAnsi="Arial"/>
                <w:sz w:val="13"/>
                <w:szCs w:val="13"/>
                <w:color w:val="auto"/>
              </w:rPr>
              <w:t>Director</w:t>
            </w:r>
          </w:p>
        </w:tc>
      </w:tr>
      <w:tr>
        <w:trPr>
          <w:trHeight w:val="167"/>
        </w:trPr>
        <w:tc>
          <w:tcPr>
            <w:tcW w:w="680" w:type="dxa"/>
            <w:vAlign w:val="bottom"/>
          </w:tcPr>
          <w:p>
            <w:pPr>
              <w:spacing w:after="0"/>
              <w:rPr>
                <w:sz w:val="14"/>
                <w:szCs w:val="14"/>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2"/>
              </w:rPr>
              <w:t>Steven G. Rothmeier</w:t>
            </w:r>
          </w:p>
        </w:tc>
        <w:tc>
          <w:tcPr>
            <w:tcW w:w="6680" w:type="dxa"/>
            <w:vAlign w:val="bottom"/>
          </w:tcPr>
          <w:p>
            <w:pPr>
              <w:spacing w:after="0"/>
              <w:rPr>
                <w:sz w:val="14"/>
                <w:szCs w:val="14"/>
                <w:color w:val="auto"/>
              </w:rPr>
            </w:pPr>
          </w:p>
        </w:tc>
      </w:tr>
      <w:tr>
        <w:trPr>
          <w:trHeight w:val="307"/>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3"/>
              </w:rPr>
              <w:t>/s/ Thomas H. Weidemeyer</w:t>
            </w:r>
          </w:p>
        </w:tc>
        <w:tc>
          <w:tcPr>
            <w:tcW w:w="6680" w:type="dxa"/>
            <w:vAlign w:val="bottom"/>
          </w:tcPr>
          <w:p>
            <w:pPr>
              <w:ind w:left="2860"/>
              <w:spacing w:after="0"/>
              <w:rPr>
                <w:sz w:val="20"/>
                <w:szCs w:val="20"/>
                <w:color w:val="auto"/>
              </w:rPr>
            </w:pPr>
            <w:r>
              <w:rPr>
                <w:rFonts w:ascii="Arial" w:cs="Arial" w:eastAsia="Arial" w:hAnsi="Arial"/>
                <w:sz w:val="13"/>
                <w:szCs w:val="13"/>
                <w:color w:val="auto"/>
              </w:rPr>
              <w:t>Director</w:t>
            </w:r>
          </w:p>
        </w:tc>
      </w:tr>
      <w:tr>
        <w:trPr>
          <w:trHeight w:val="167"/>
        </w:trPr>
        <w:tc>
          <w:tcPr>
            <w:tcW w:w="680" w:type="dxa"/>
            <w:vAlign w:val="bottom"/>
          </w:tcPr>
          <w:p>
            <w:pPr>
              <w:spacing w:after="0"/>
              <w:rPr>
                <w:sz w:val="14"/>
                <w:szCs w:val="14"/>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4"/>
              </w:rPr>
              <w:t>Thomas H. Weidemeyer</w:t>
            </w:r>
          </w:p>
        </w:tc>
        <w:tc>
          <w:tcPr>
            <w:tcW w:w="6680" w:type="dxa"/>
            <w:vAlign w:val="bottom"/>
          </w:tcPr>
          <w:p>
            <w:pPr>
              <w:spacing w:after="0"/>
              <w:rPr>
                <w:sz w:val="14"/>
                <w:szCs w:val="14"/>
                <w:color w:val="auto"/>
              </w:rPr>
            </w:pPr>
          </w:p>
        </w:tc>
      </w:tr>
      <w:tr>
        <w:trPr>
          <w:trHeight w:val="443"/>
        </w:trPr>
        <w:tc>
          <w:tcPr>
            <w:tcW w:w="6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6680" w:type="dxa"/>
            <w:vAlign w:val="bottom"/>
          </w:tcPr>
          <w:p>
            <w:pPr>
              <w:ind w:left="800"/>
              <w:spacing w:after="0"/>
              <w:rPr>
                <w:sz w:val="20"/>
                <w:szCs w:val="20"/>
                <w:color w:val="auto"/>
              </w:rPr>
            </w:pPr>
            <w:r>
              <w:rPr>
                <w:rFonts w:ascii="Arial" w:cs="Arial" w:eastAsia="Arial" w:hAnsi="Arial"/>
                <w:sz w:val="13"/>
                <w:szCs w:val="13"/>
                <w:color w:val="auto"/>
              </w:rPr>
              <w:t>II-6</w:t>
            </w:r>
          </w:p>
        </w:tc>
      </w:tr>
      <w:tr>
        <w:trPr>
          <w:trHeight w:val="167"/>
        </w:trPr>
        <w:tc>
          <w:tcPr>
            <w:tcW w:w="680" w:type="dxa"/>
            <w:vAlign w:val="bottom"/>
            <w:tcBorders>
              <w:bottom w:val="single" w:sz="8" w:color="808080"/>
            </w:tcBorders>
          </w:tcPr>
          <w:p>
            <w:pPr>
              <w:spacing w:after="0"/>
              <w:rPr>
                <w:sz w:val="14"/>
                <w:szCs w:val="14"/>
                <w:color w:val="auto"/>
              </w:rPr>
            </w:pPr>
          </w:p>
        </w:tc>
        <w:tc>
          <w:tcPr>
            <w:tcW w:w="4100" w:type="dxa"/>
            <w:vAlign w:val="bottom"/>
            <w:tcBorders>
              <w:bottom w:val="single" w:sz="8" w:color="808080"/>
            </w:tcBorders>
          </w:tcPr>
          <w:p>
            <w:pPr>
              <w:spacing w:after="0"/>
              <w:rPr>
                <w:sz w:val="14"/>
                <w:szCs w:val="14"/>
                <w:color w:val="auto"/>
              </w:rPr>
            </w:pPr>
          </w:p>
        </w:tc>
        <w:tc>
          <w:tcPr>
            <w:tcW w:w="668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9" w:right="21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SIGNATURES</w:t>
      </w:r>
    </w:p>
    <w:p>
      <w:pPr>
        <w:spacing w:after="0" w:line="104" w:lineRule="exact"/>
        <w:rPr>
          <w:sz w:val="20"/>
          <w:szCs w:val="20"/>
          <w:color w:val="auto"/>
        </w:rPr>
      </w:pPr>
    </w:p>
    <w:p>
      <w:pPr>
        <w:ind w:left="680" w:right="860" w:firstLine="399"/>
        <w:spacing w:after="0" w:line="276" w:lineRule="auto"/>
        <w:rPr>
          <w:sz w:val="20"/>
          <w:szCs w:val="20"/>
          <w:color w:val="auto"/>
        </w:rPr>
      </w:pPr>
      <w:r>
        <w:rPr>
          <w:rFonts w:ascii="Arial" w:cs="Arial" w:eastAsia="Arial" w:hAnsi="Arial"/>
          <w:sz w:val="13"/>
          <w:szCs w:val="13"/>
          <w:color w:val="auto"/>
        </w:rPr>
        <w:t>Pursuant to the requirements of the Securities Act, the Waste Management Holdings, Inc. certifies that it has reasonable grounds to believe that it meets all of the requirements for filing on Form S-3 and has duly caused this registration statement to be signed on its behalf by the undersigned, thereunto duly authorized, in the City of Houston, State of Texas, on this 22</w:t>
      </w:r>
      <w:r>
        <w:rPr>
          <w:rFonts w:ascii="Arial" w:cs="Arial" w:eastAsia="Arial" w:hAnsi="Arial"/>
          <w:sz w:val="11"/>
          <w:szCs w:val="11"/>
          <w:color w:val="auto"/>
        </w:rPr>
        <w:t>nd</w:t>
      </w:r>
      <w:r>
        <w:rPr>
          <w:rFonts w:ascii="Arial" w:cs="Arial" w:eastAsia="Arial" w:hAnsi="Arial"/>
          <w:sz w:val="13"/>
          <w:szCs w:val="13"/>
          <w:color w:val="auto"/>
        </w:rPr>
        <w:t xml:space="preserve"> day of September, 2009.</w:t>
      </w:r>
    </w:p>
    <w:p>
      <w:pPr>
        <w:spacing w:after="0" w:line="300"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WASTE MANAGEMENT HOLDINGS, INC.</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/s/ Don P. Carpenter</w:t>
      </w:r>
    </w:p>
    <w:p>
      <w:pPr>
        <w:spacing w:after="0" w:line="3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Don P. Carpenter,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3538855</wp:posOffset>
            </wp:positionH>
            <wp:positionV relativeFrom="paragraph">
              <wp:posOffset>-93980</wp:posOffset>
            </wp:positionV>
            <wp:extent cx="3789045" cy="63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789045" cy="6350"/>
                    </a:xfrm>
                    <a:prstGeom prst="rect">
                      <a:avLst/>
                    </a:prstGeom>
                    <a:noFill/>
                  </pic:spPr>
                </pic:pic>
              </a:graphicData>
            </a:graphic>
          </wp:anchor>
        </w:drawing>
      </w:r>
    </w:p>
    <w:p>
      <w:pPr>
        <w:spacing w:after="0" w:line="242"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POWERS OF ATTORNEY</w:t>
      </w:r>
    </w:p>
    <w:p>
      <w:pPr>
        <w:spacing w:after="0" w:line="104" w:lineRule="exact"/>
        <w:rPr>
          <w:sz w:val="20"/>
          <w:szCs w:val="20"/>
          <w:color w:val="auto"/>
        </w:rPr>
      </w:pPr>
    </w:p>
    <w:p>
      <w:pPr>
        <w:ind w:left="680" w:right="880" w:firstLine="399"/>
        <w:spacing w:after="0" w:line="264" w:lineRule="auto"/>
        <w:rPr>
          <w:sz w:val="20"/>
          <w:szCs w:val="20"/>
          <w:color w:val="auto"/>
        </w:rPr>
      </w:pPr>
      <w:r>
        <w:rPr>
          <w:rFonts w:ascii="Arial" w:cs="Arial" w:eastAsia="Arial" w:hAnsi="Arial"/>
          <w:sz w:val="13"/>
          <w:szCs w:val="13"/>
          <w:color w:val="auto"/>
        </w:rPr>
        <w:t>KNOWN ALL PERSONS BY THESE PRESENTS, that the individuals whose signature appears below hereby constitute and appoint Amanda K. Maki and John S. Tsai, and each of them severally, as his or her true and lawful attorneys-in-fact and agents with full power of substitution and resubstitution for him or her and in his or her name, place, and stead in any and all capacities to sign any and all amendments (including post-effective amendments and amendments filed pursuant to 462(b) under the Securities Act of 1933) to this registration statement,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connection therewith, as fully to all intents and purposes as he or she might or could do in person, hereby ratifying and confirming all that said attorneys-in-facts and agents or any of them, or of his substitute or substitutes, may lawfully do to cause to be done by virtue hereof.</w:t>
      </w:r>
    </w:p>
    <w:p>
      <w:pPr>
        <w:spacing w:after="0" w:line="68" w:lineRule="exact"/>
        <w:rPr>
          <w:sz w:val="20"/>
          <w:szCs w:val="20"/>
          <w:color w:val="auto"/>
        </w:rPr>
      </w:pPr>
    </w:p>
    <w:p>
      <w:pPr>
        <w:ind w:left="680" w:right="1600" w:firstLine="399"/>
        <w:spacing w:after="0" w:line="294" w:lineRule="auto"/>
        <w:rPr>
          <w:sz w:val="20"/>
          <w:szCs w:val="20"/>
          <w:color w:val="auto"/>
        </w:rPr>
      </w:pPr>
      <w:r>
        <w:rPr>
          <w:rFonts w:ascii="Arial" w:cs="Arial" w:eastAsia="Arial" w:hAnsi="Arial"/>
          <w:sz w:val="13"/>
          <w:szCs w:val="13"/>
          <w:color w:val="auto"/>
        </w:rPr>
        <w:t>Pursuant to the requirements of the Securities Act of 1933, this registration statement has been signed below by the following persons in the capacities indicated on September 22, 2009.</w:t>
      </w:r>
    </w:p>
    <w:p>
      <w:pPr>
        <w:spacing w:after="0" w:line="51" w:lineRule="exact"/>
        <w:rPr>
          <w:sz w:val="20"/>
          <w:szCs w:val="20"/>
          <w:color w:val="auto"/>
        </w:rPr>
      </w:pPr>
    </w:p>
    <w:p>
      <w:pPr>
        <w:ind w:left="2720"/>
        <w:spacing w:after="0"/>
        <w:tabs>
          <w:tab w:leader="none" w:pos="7820" w:val="left"/>
        </w:tabs>
        <w:rPr>
          <w:sz w:val="20"/>
          <w:szCs w:val="20"/>
          <w:color w:val="auto"/>
        </w:rPr>
      </w:pPr>
      <w:r>
        <w:rPr>
          <w:rFonts w:ascii="Arial" w:cs="Arial" w:eastAsia="Arial" w:hAnsi="Arial"/>
          <w:sz w:val="11"/>
          <w:szCs w:val="11"/>
          <w:b w:val="1"/>
          <w:bCs w:val="1"/>
          <w:u w:val="single" w:color="auto"/>
          <w:color w:val="auto"/>
        </w:rPr>
        <w:t>S</w:t>
      </w:r>
      <w:r>
        <w:rPr>
          <w:rFonts w:ascii="Arial" w:cs="Arial" w:eastAsia="Arial" w:hAnsi="Arial"/>
          <w:sz w:val="11"/>
          <w:szCs w:val="11"/>
          <w:b w:val="1"/>
          <w:bCs w:val="1"/>
          <w:color w:val="auto"/>
        </w:rPr>
        <w:t>ignature</w:t>
      </w:r>
      <w:r>
        <w:rPr>
          <w:sz w:val="20"/>
          <w:szCs w:val="20"/>
          <w:color w:val="auto"/>
        </w:rPr>
        <w:tab/>
      </w: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80" w:type="dxa"/>
            <w:vAlign w:val="bottom"/>
          </w:tcPr>
          <w:p>
            <w:pPr>
              <w:spacing w:after="0"/>
              <w:rPr>
                <w:sz w:val="14"/>
                <w:szCs w:val="1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4"/>
              </w:rPr>
              <w:t>/s/ Don P. Carpenter</w:t>
            </w:r>
          </w:p>
        </w:tc>
        <w:tc>
          <w:tcPr>
            <w:tcW w:w="6680" w:type="dxa"/>
            <w:vAlign w:val="bottom"/>
          </w:tcPr>
          <w:p>
            <w:pPr>
              <w:jc w:val="center"/>
              <w:ind w:right="433"/>
              <w:spacing w:after="0"/>
              <w:rPr>
                <w:sz w:val="20"/>
                <w:szCs w:val="20"/>
                <w:color w:val="auto"/>
              </w:rPr>
            </w:pPr>
            <w:r>
              <w:rPr>
                <w:rFonts w:ascii="Arial" w:cs="Arial" w:eastAsia="Arial" w:hAnsi="Arial"/>
                <w:sz w:val="13"/>
                <w:szCs w:val="13"/>
                <w:color w:val="auto"/>
                <w:w w:val="90"/>
              </w:rPr>
              <w:t>President</w:t>
            </w:r>
          </w:p>
        </w:tc>
      </w:tr>
      <w:tr>
        <w:trPr>
          <w:trHeight w:val="162"/>
        </w:trPr>
        <w:tc>
          <w:tcPr>
            <w:tcW w:w="680" w:type="dxa"/>
            <w:vAlign w:val="bottom"/>
          </w:tcPr>
          <w:p>
            <w:pPr>
              <w:spacing w:after="0"/>
              <w:rPr>
                <w:sz w:val="14"/>
                <w:szCs w:val="14"/>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0"/>
              </w:rPr>
              <w:t>Don P. Carpenter</w:t>
            </w:r>
          </w:p>
        </w:tc>
        <w:tc>
          <w:tcPr>
            <w:tcW w:w="6680" w:type="dxa"/>
            <w:vAlign w:val="bottom"/>
          </w:tcPr>
          <w:p>
            <w:pPr>
              <w:jc w:val="center"/>
              <w:ind w:right="413"/>
              <w:spacing w:after="0"/>
              <w:rPr>
                <w:sz w:val="20"/>
                <w:szCs w:val="20"/>
                <w:color w:val="auto"/>
              </w:rPr>
            </w:pPr>
            <w:r>
              <w:rPr>
                <w:rFonts w:ascii="Arial" w:cs="Arial" w:eastAsia="Arial" w:hAnsi="Arial"/>
                <w:sz w:val="13"/>
                <w:szCs w:val="13"/>
                <w:color w:val="auto"/>
                <w:w w:val="97"/>
              </w:rPr>
              <w:t>(Principal Executive Officer)</w:t>
            </w:r>
          </w:p>
        </w:tc>
      </w:tr>
      <w:tr>
        <w:trPr>
          <w:trHeight w:val="312"/>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5"/>
              </w:rPr>
              <w:t>/s/ Greg A. Robertson</w:t>
            </w:r>
          </w:p>
        </w:tc>
        <w:tc>
          <w:tcPr>
            <w:tcW w:w="6680" w:type="dxa"/>
            <w:vAlign w:val="bottom"/>
          </w:tcPr>
          <w:p>
            <w:pPr>
              <w:jc w:val="center"/>
              <w:ind w:right="433"/>
              <w:spacing w:after="0"/>
              <w:rPr>
                <w:sz w:val="20"/>
                <w:szCs w:val="20"/>
                <w:color w:val="auto"/>
              </w:rPr>
            </w:pPr>
            <w:r>
              <w:rPr>
                <w:rFonts w:ascii="Arial" w:cs="Arial" w:eastAsia="Arial" w:hAnsi="Arial"/>
                <w:sz w:val="13"/>
                <w:szCs w:val="13"/>
                <w:color w:val="auto"/>
                <w:w w:val="95"/>
              </w:rPr>
              <w:t>Vice President, Chief Financial Officer and Controller</w:t>
            </w:r>
          </w:p>
        </w:tc>
      </w:tr>
      <w:tr>
        <w:trPr>
          <w:trHeight w:val="162"/>
        </w:trPr>
        <w:tc>
          <w:tcPr>
            <w:tcW w:w="680" w:type="dxa"/>
            <w:vAlign w:val="bottom"/>
          </w:tcPr>
          <w:p>
            <w:pPr>
              <w:spacing w:after="0"/>
              <w:rPr>
                <w:sz w:val="14"/>
                <w:szCs w:val="14"/>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2"/>
              </w:rPr>
              <w:t>Greg A. Robertson</w:t>
            </w:r>
          </w:p>
        </w:tc>
        <w:tc>
          <w:tcPr>
            <w:tcW w:w="6680" w:type="dxa"/>
            <w:vAlign w:val="bottom"/>
          </w:tcPr>
          <w:p>
            <w:pPr>
              <w:jc w:val="center"/>
              <w:ind w:right="433"/>
              <w:spacing w:after="0"/>
              <w:rPr>
                <w:sz w:val="20"/>
                <w:szCs w:val="20"/>
                <w:color w:val="auto"/>
              </w:rPr>
            </w:pPr>
            <w:r>
              <w:rPr>
                <w:rFonts w:ascii="Arial" w:cs="Arial" w:eastAsia="Arial" w:hAnsi="Arial"/>
                <w:sz w:val="13"/>
                <w:szCs w:val="13"/>
                <w:color w:val="auto"/>
                <w:w w:val="97"/>
              </w:rPr>
              <w:t>(Principal Financial and Accounting Officer)</w:t>
            </w:r>
          </w:p>
        </w:tc>
      </w:tr>
      <w:tr>
        <w:trPr>
          <w:trHeight w:val="312"/>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8"/>
              </w:rPr>
              <w:t>/s/ Linda J. Smith</w:t>
            </w:r>
          </w:p>
        </w:tc>
        <w:tc>
          <w:tcPr>
            <w:tcW w:w="6680" w:type="dxa"/>
            <w:vAlign w:val="bottom"/>
          </w:tcPr>
          <w:p>
            <w:pPr>
              <w:jc w:val="center"/>
              <w:ind w:right="433"/>
              <w:spacing w:after="0"/>
              <w:rPr>
                <w:sz w:val="20"/>
                <w:szCs w:val="20"/>
                <w:color w:val="auto"/>
              </w:rPr>
            </w:pPr>
            <w:r>
              <w:rPr>
                <w:rFonts w:ascii="Arial" w:cs="Arial" w:eastAsia="Arial" w:hAnsi="Arial"/>
                <w:sz w:val="13"/>
                <w:szCs w:val="13"/>
                <w:color w:val="auto"/>
              </w:rPr>
              <w:t>Director</w:t>
            </w:r>
          </w:p>
        </w:tc>
      </w:tr>
      <w:tr>
        <w:trPr>
          <w:trHeight w:val="162"/>
        </w:trPr>
        <w:tc>
          <w:tcPr>
            <w:tcW w:w="680" w:type="dxa"/>
            <w:vAlign w:val="bottom"/>
          </w:tcPr>
          <w:p>
            <w:pPr>
              <w:spacing w:after="0"/>
              <w:rPr>
                <w:sz w:val="14"/>
                <w:szCs w:val="14"/>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7"/>
              </w:rPr>
              <w:t>Linda J. Smith</w:t>
            </w:r>
          </w:p>
        </w:tc>
        <w:tc>
          <w:tcPr>
            <w:tcW w:w="6680" w:type="dxa"/>
            <w:vAlign w:val="bottom"/>
          </w:tcPr>
          <w:p>
            <w:pPr>
              <w:spacing w:after="0"/>
              <w:rPr>
                <w:sz w:val="14"/>
                <w:szCs w:val="14"/>
                <w:color w:val="auto"/>
              </w:rPr>
            </w:pPr>
          </w:p>
        </w:tc>
      </w:tr>
      <w:tr>
        <w:trPr>
          <w:trHeight w:val="443"/>
        </w:trPr>
        <w:tc>
          <w:tcPr>
            <w:tcW w:w="6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6680" w:type="dxa"/>
            <w:vAlign w:val="bottom"/>
          </w:tcPr>
          <w:p>
            <w:pPr>
              <w:ind w:left="800"/>
              <w:spacing w:after="0"/>
              <w:rPr>
                <w:sz w:val="20"/>
                <w:szCs w:val="20"/>
                <w:color w:val="auto"/>
              </w:rPr>
            </w:pPr>
            <w:r>
              <w:rPr>
                <w:rFonts w:ascii="Arial" w:cs="Arial" w:eastAsia="Arial" w:hAnsi="Arial"/>
                <w:sz w:val="13"/>
                <w:szCs w:val="13"/>
                <w:color w:val="auto"/>
              </w:rPr>
              <w:t>II-7</w:t>
            </w:r>
          </w:p>
        </w:tc>
      </w:tr>
      <w:tr>
        <w:trPr>
          <w:trHeight w:val="167"/>
        </w:trPr>
        <w:tc>
          <w:tcPr>
            <w:tcW w:w="680" w:type="dxa"/>
            <w:vAlign w:val="bottom"/>
            <w:tcBorders>
              <w:bottom w:val="single" w:sz="8" w:color="808080"/>
            </w:tcBorders>
          </w:tcPr>
          <w:p>
            <w:pPr>
              <w:spacing w:after="0"/>
              <w:rPr>
                <w:sz w:val="14"/>
                <w:szCs w:val="14"/>
                <w:color w:val="auto"/>
              </w:rPr>
            </w:pPr>
          </w:p>
        </w:tc>
        <w:tc>
          <w:tcPr>
            <w:tcW w:w="4100" w:type="dxa"/>
            <w:vAlign w:val="bottom"/>
            <w:tcBorders>
              <w:bottom w:val="single" w:sz="8" w:color="808080"/>
            </w:tcBorders>
          </w:tcPr>
          <w:p>
            <w:pPr>
              <w:spacing w:after="0"/>
              <w:rPr>
                <w:sz w:val="14"/>
                <w:szCs w:val="14"/>
                <w:color w:val="auto"/>
              </w:rPr>
            </w:pPr>
          </w:p>
        </w:tc>
        <w:tc>
          <w:tcPr>
            <w:tcW w:w="668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9" w:right="21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tbl>
      <w:tblPr>
        <w:tblLayout w:type="fixed"/>
        <w:tblInd w:w="880" w:type="dxa"/>
        <w:tblCellMar>
          <w:top w:w="0" w:type="dxa"/>
          <w:left w:w="0" w:type="dxa"/>
          <w:bottom w:w="0" w:type="dxa"/>
          <w:right w:w="0" w:type="dxa"/>
        </w:tblCellMar>
      </w:tblPr>
      <w:tr>
        <w:trPr>
          <w:trHeight w:val="174"/>
        </w:trPr>
        <w:tc>
          <w:tcPr>
            <w:tcW w:w="2420" w:type="dxa"/>
            <w:vAlign w:val="bottom"/>
          </w:tcPr>
          <w:p>
            <w:pPr>
              <w:spacing w:after="0"/>
              <w:rPr>
                <w:sz w:val="15"/>
                <w:szCs w:val="15"/>
                <w:color w:val="auto"/>
              </w:rPr>
            </w:pPr>
          </w:p>
        </w:tc>
        <w:tc>
          <w:tcPr>
            <w:tcW w:w="3260" w:type="dxa"/>
            <w:vAlign w:val="bottom"/>
            <w:gridSpan w:val="3"/>
          </w:tcPr>
          <w:p>
            <w:pPr>
              <w:ind w:left="1860"/>
              <w:spacing w:after="0"/>
              <w:rPr>
                <w:sz w:val="20"/>
                <w:szCs w:val="20"/>
                <w:color w:val="auto"/>
              </w:rPr>
            </w:pPr>
            <w:r>
              <w:rPr>
                <w:rFonts w:ascii="Arial" w:cs="Arial" w:eastAsia="Arial" w:hAnsi="Arial"/>
                <w:sz w:val="13"/>
                <w:szCs w:val="13"/>
                <w:b w:val="1"/>
                <w:bCs w:val="1"/>
                <w:color w:val="auto"/>
              </w:rPr>
              <w:t>EXHIBIT INDEX</w:t>
            </w:r>
          </w:p>
        </w:tc>
        <w:tc>
          <w:tcPr>
            <w:tcW w:w="0" w:type="dxa"/>
            <w:vAlign w:val="bottom"/>
          </w:tcPr>
          <w:p>
            <w:pPr>
              <w:spacing w:after="0"/>
              <w:rPr>
                <w:sz w:val="1"/>
                <w:szCs w:val="1"/>
                <w:color w:val="auto"/>
              </w:rPr>
            </w:pPr>
          </w:p>
        </w:tc>
      </w:tr>
      <w:tr>
        <w:trPr>
          <w:trHeight w:val="195"/>
        </w:trPr>
        <w:tc>
          <w:tcPr>
            <w:tcW w:w="2420" w:type="dxa"/>
            <w:vAlign w:val="bottom"/>
          </w:tcPr>
          <w:p>
            <w:pPr>
              <w:spacing w:after="0"/>
              <w:rPr>
                <w:sz w:val="20"/>
                <w:szCs w:val="20"/>
                <w:color w:val="auto"/>
              </w:rPr>
            </w:pPr>
            <w:r>
              <w:rPr>
                <w:rFonts w:ascii="Arial" w:cs="Arial" w:eastAsia="Arial" w:hAnsi="Arial"/>
                <w:sz w:val="11"/>
                <w:szCs w:val="11"/>
                <w:b w:val="1"/>
                <w:bCs w:val="1"/>
                <w:color w:val="auto"/>
              </w:rPr>
              <w:t>Exhibit</w:t>
            </w:r>
          </w:p>
        </w:tc>
        <w:tc>
          <w:tcPr>
            <w:tcW w:w="2740" w:type="dxa"/>
            <w:vAlign w:val="bottom"/>
          </w:tcPr>
          <w:p>
            <w:pPr>
              <w:spacing w:after="0"/>
              <w:rPr>
                <w:sz w:val="16"/>
                <w:szCs w:val="16"/>
                <w:color w:val="auto"/>
              </w:rPr>
            </w:pPr>
          </w:p>
        </w:tc>
        <w:tc>
          <w:tcPr>
            <w:tcW w:w="520" w:type="dxa"/>
            <w:vAlign w:val="bottom"/>
            <w:gridSpan w:val="2"/>
            <w:vMerge w:val="restart"/>
          </w:tcPr>
          <w:p>
            <w:pPr>
              <w:spacing w:after="0"/>
              <w:rPr>
                <w:sz w:val="20"/>
                <w:szCs w:val="20"/>
                <w:color w:val="auto"/>
              </w:rPr>
            </w:pPr>
            <w:r>
              <w:rPr>
                <w:rFonts w:ascii="Arial" w:cs="Arial" w:eastAsia="Arial" w:hAnsi="Arial"/>
                <w:sz w:val="11"/>
                <w:szCs w:val="11"/>
                <w:b w:val="1"/>
                <w:bCs w:val="1"/>
                <w:color w:val="auto"/>
                <w:w w:val="82"/>
              </w:rPr>
              <w:t>Description</w:t>
            </w:r>
          </w:p>
        </w:tc>
        <w:tc>
          <w:tcPr>
            <w:tcW w:w="0" w:type="dxa"/>
            <w:vAlign w:val="bottom"/>
          </w:tcPr>
          <w:p>
            <w:pPr>
              <w:spacing w:after="0"/>
              <w:rPr>
                <w:sz w:val="1"/>
                <w:szCs w:val="1"/>
                <w:color w:val="auto"/>
              </w:rPr>
            </w:pPr>
          </w:p>
        </w:tc>
      </w:tr>
      <w:tr>
        <w:trPr>
          <w:trHeight w:val="138"/>
        </w:trPr>
        <w:tc>
          <w:tcPr>
            <w:tcW w:w="2420" w:type="dxa"/>
            <w:vAlign w:val="bottom"/>
          </w:tcPr>
          <w:p>
            <w:pPr>
              <w:ind w:left="160"/>
              <w:spacing w:after="0"/>
              <w:rPr>
                <w:sz w:val="20"/>
                <w:szCs w:val="20"/>
                <w:color w:val="auto"/>
              </w:rPr>
            </w:pPr>
            <w:r>
              <w:rPr>
                <w:rFonts w:ascii="Arial" w:cs="Arial" w:eastAsia="Arial" w:hAnsi="Arial"/>
                <w:sz w:val="11"/>
                <w:szCs w:val="11"/>
                <w:b w:val="1"/>
                <w:bCs w:val="1"/>
                <w:color w:val="auto"/>
              </w:rPr>
              <w:t>Number</w:t>
            </w:r>
          </w:p>
        </w:tc>
        <w:tc>
          <w:tcPr>
            <w:tcW w:w="274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659130</wp:posOffset>
            </wp:positionH>
            <wp:positionV relativeFrom="paragraph">
              <wp:posOffset>-5715</wp:posOffset>
            </wp:positionV>
            <wp:extent cx="6350" cy="6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10" w:lineRule="exact"/>
        <w:rPr>
          <w:sz w:val="20"/>
          <w:szCs w:val="20"/>
          <w:color w:val="auto"/>
        </w:rPr>
      </w:pPr>
    </w:p>
    <w:p>
      <w:pPr>
        <w:ind w:left="980"/>
        <w:spacing w:after="0"/>
        <w:tabs>
          <w:tab w:leader="none" w:pos="1480" w:val="left"/>
        </w:tabs>
        <w:rPr>
          <w:sz w:val="20"/>
          <w:szCs w:val="20"/>
          <w:color w:val="auto"/>
        </w:rPr>
      </w:pPr>
      <w:r>
        <w:rPr>
          <w:rFonts w:ascii="Arial" w:cs="Arial" w:eastAsia="Arial" w:hAnsi="Arial"/>
          <w:sz w:val="13"/>
          <w:szCs w:val="13"/>
          <w:color w:val="auto"/>
        </w:rPr>
        <w:t>*1.1</w:t>
      </w:r>
      <w:r>
        <w:rPr>
          <w:sz w:val="20"/>
          <w:szCs w:val="20"/>
          <w:color w:val="auto"/>
        </w:rPr>
        <w:tab/>
      </w:r>
      <w:r>
        <w:rPr>
          <w:rFonts w:ascii="Arial" w:cs="Arial" w:eastAsia="Arial" w:hAnsi="Arial"/>
          <w:sz w:val="12"/>
          <w:szCs w:val="12"/>
          <w:color w:val="auto"/>
        </w:rPr>
        <w:t>Form of Underwriting Agreement (Debt Securities).</w:t>
      </w:r>
    </w:p>
    <w:p>
      <w:pPr>
        <w:spacing w:after="0" w:line="22" w:lineRule="exact"/>
        <w:rPr>
          <w:sz w:val="20"/>
          <w:szCs w:val="20"/>
          <w:color w:val="auto"/>
        </w:rPr>
      </w:pPr>
    </w:p>
    <w:p>
      <w:pPr>
        <w:ind w:left="980"/>
        <w:spacing w:after="0"/>
        <w:tabs>
          <w:tab w:leader="none" w:pos="1480" w:val="left"/>
        </w:tabs>
        <w:rPr>
          <w:sz w:val="20"/>
          <w:szCs w:val="20"/>
          <w:color w:val="auto"/>
        </w:rPr>
      </w:pPr>
      <w:r>
        <w:rPr>
          <w:rFonts w:ascii="Arial" w:cs="Arial" w:eastAsia="Arial" w:hAnsi="Arial"/>
          <w:sz w:val="13"/>
          <w:szCs w:val="13"/>
          <w:color w:val="auto"/>
        </w:rPr>
        <w:t>*1.2</w:t>
      </w:r>
      <w:r>
        <w:rPr>
          <w:sz w:val="20"/>
          <w:szCs w:val="20"/>
          <w:color w:val="auto"/>
        </w:rPr>
        <w:tab/>
      </w:r>
      <w:r>
        <w:rPr>
          <w:rFonts w:ascii="Arial" w:cs="Arial" w:eastAsia="Arial" w:hAnsi="Arial"/>
          <w:sz w:val="12"/>
          <w:szCs w:val="12"/>
          <w:color w:val="auto"/>
        </w:rPr>
        <w:t>Form of Underwriting Agreement (Equity Securities).</w:t>
      </w:r>
    </w:p>
    <w:p>
      <w:pPr>
        <w:spacing w:after="0" w:line="12" w:lineRule="exact"/>
        <w:rPr>
          <w:sz w:val="20"/>
          <w:szCs w:val="20"/>
          <w:color w:val="auto"/>
        </w:rPr>
      </w:pPr>
    </w:p>
    <w:p>
      <w:pPr>
        <w:ind w:left="1040"/>
        <w:spacing w:after="0"/>
        <w:tabs>
          <w:tab w:leader="none" w:pos="1480" w:val="left"/>
        </w:tabs>
        <w:rPr>
          <w:sz w:val="20"/>
          <w:szCs w:val="20"/>
          <w:color w:val="auto"/>
        </w:rPr>
      </w:pPr>
      <w:r>
        <w:rPr>
          <w:rFonts w:ascii="Arial" w:cs="Arial" w:eastAsia="Arial" w:hAnsi="Arial"/>
          <w:sz w:val="13"/>
          <w:szCs w:val="13"/>
          <w:color w:val="auto"/>
        </w:rPr>
        <w:t>3.1</w:t>
      </w:r>
      <w:r>
        <w:rPr>
          <w:sz w:val="20"/>
          <w:szCs w:val="20"/>
          <w:color w:val="auto"/>
        </w:rPr>
        <w:tab/>
      </w:r>
      <w:r>
        <w:rPr>
          <w:rFonts w:ascii="Arial" w:cs="Arial" w:eastAsia="Arial" w:hAnsi="Arial"/>
          <w:sz w:val="12"/>
          <w:szCs w:val="12"/>
          <w:color w:val="auto"/>
        </w:rPr>
        <w:t>Certificate of Incorporation of Waste Management, Inc. (Incorporated herein by reference to Exhibit 3.1 to the Quarterly Report on Form 10-Q for the quarter ended June</w:t>
      </w:r>
    </w:p>
    <w:p>
      <w:pPr>
        <w:spacing w:after="0" w:line="12" w:lineRule="exact"/>
        <w:rPr>
          <w:sz w:val="20"/>
          <w:szCs w:val="20"/>
          <w:color w:val="auto"/>
        </w:rPr>
      </w:pPr>
    </w:p>
    <w:p>
      <w:pPr>
        <w:ind w:left="1500"/>
        <w:spacing w:after="0"/>
        <w:rPr>
          <w:sz w:val="20"/>
          <w:szCs w:val="20"/>
          <w:color w:val="auto"/>
        </w:rPr>
      </w:pPr>
      <w:r>
        <w:rPr>
          <w:rFonts w:ascii="Arial" w:cs="Arial" w:eastAsia="Arial" w:hAnsi="Arial"/>
          <w:sz w:val="13"/>
          <w:szCs w:val="13"/>
          <w:color w:val="auto"/>
        </w:rPr>
        <w:t>30, 2002).</w:t>
      </w:r>
    </w:p>
    <w:p>
      <w:pPr>
        <w:spacing w:after="0" w:line="12" w:lineRule="exact"/>
        <w:rPr>
          <w:sz w:val="20"/>
          <w:szCs w:val="20"/>
          <w:color w:val="auto"/>
        </w:rPr>
      </w:pPr>
    </w:p>
    <w:p>
      <w:pPr>
        <w:ind w:left="1040"/>
        <w:spacing w:after="0"/>
        <w:tabs>
          <w:tab w:leader="none" w:pos="1480" w:val="left"/>
        </w:tabs>
        <w:rPr>
          <w:sz w:val="20"/>
          <w:szCs w:val="20"/>
          <w:color w:val="auto"/>
        </w:rPr>
      </w:pPr>
      <w:r>
        <w:rPr>
          <w:rFonts w:ascii="Arial" w:cs="Arial" w:eastAsia="Arial" w:hAnsi="Arial"/>
          <w:sz w:val="13"/>
          <w:szCs w:val="13"/>
          <w:color w:val="auto"/>
        </w:rPr>
        <w:t>3.2</w:t>
      </w:r>
      <w:r>
        <w:rPr>
          <w:sz w:val="20"/>
          <w:szCs w:val="20"/>
          <w:color w:val="auto"/>
        </w:rPr>
        <w:tab/>
      </w:r>
      <w:r>
        <w:rPr>
          <w:rFonts w:ascii="Arial" w:cs="Arial" w:eastAsia="Arial" w:hAnsi="Arial"/>
          <w:sz w:val="12"/>
          <w:szCs w:val="12"/>
          <w:color w:val="auto"/>
        </w:rPr>
        <w:t>Bylaws of Waste Management, Inc. (Incorporated herein by reference to Exhibit 3.2 to Current Report on Form 8-K dated December 11, 2008).</w:t>
      </w:r>
    </w:p>
    <w:p>
      <w:pPr>
        <w:spacing w:after="0" w:line="12" w:lineRule="exact"/>
        <w:rPr>
          <w:sz w:val="20"/>
          <w:szCs w:val="20"/>
          <w:color w:val="auto"/>
        </w:rPr>
      </w:pPr>
    </w:p>
    <w:p>
      <w:pPr>
        <w:ind w:left="1040"/>
        <w:spacing w:after="0"/>
        <w:tabs>
          <w:tab w:leader="none" w:pos="1480" w:val="left"/>
        </w:tabs>
        <w:rPr>
          <w:sz w:val="20"/>
          <w:szCs w:val="20"/>
          <w:color w:val="auto"/>
        </w:rPr>
      </w:pPr>
      <w:r>
        <w:rPr>
          <w:rFonts w:ascii="Arial" w:cs="Arial" w:eastAsia="Arial" w:hAnsi="Arial"/>
          <w:sz w:val="13"/>
          <w:szCs w:val="13"/>
          <w:color w:val="auto"/>
        </w:rPr>
        <w:t>3.3</w:t>
      </w:r>
      <w:r>
        <w:rPr>
          <w:sz w:val="20"/>
          <w:szCs w:val="20"/>
          <w:color w:val="auto"/>
        </w:rPr>
        <w:tab/>
      </w:r>
      <w:r>
        <w:rPr>
          <w:rFonts w:ascii="Arial" w:cs="Arial" w:eastAsia="Arial" w:hAnsi="Arial"/>
          <w:sz w:val="12"/>
          <w:szCs w:val="12"/>
          <w:color w:val="auto"/>
        </w:rPr>
        <w:t>Certificate of Incorporation of Waste Management Holdings, Inc.</w:t>
      </w:r>
    </w:p>
    <w:p>
      <w:pPr>
        <w:spacing w:after="0" w:line="12" w:lineRule="exact"/>
        <w:rPr>
          <w:sz w:val="20"/>
          <w:szCs w:val="20"/>
          <w:color w:val="auto"/>
        </w:rPr>
      </w:pPr>
    </w:p>
    <w:p>
      <w:pPr>
        <w:ind w:left="1040"/>
        <w:spacing w:after="0"/>
        <w:tabs>
          <w:tab w:leader="none" w:pos="1480" w:val="left"/>
        </w:tabs>
        <w:rPr>
          <w:sz w:val="20"/>
          <w:szCs w:val="20"/>
          <w:color w:val="auto"/>
        </w:rPr>
      </w:pPr>
      <w:r>
        <w:rPr>
          <w:rFonts w:ascii="Arial" w:cs="Arial" w:eastAsia="Arial" w:hAnsi="Arial"/>
          <w:sz w:val="13"/>
          <w:szCs w:val="13"/>
          <w:color w:val="auto"/>
        </w:rPr>
        <w:t>3.4</w:t>
      </w:r>
      <w:r>
        <w:rPr>
          <w:sz w:val="20"/>
          <w:szCs w:val="20"/>
          <w:color w:val="auto"/>
        </w:rPr>
        <w:tab/>
      </w:r>
      <w:r>
        <w:rPr>
          <w:rFonts w:ascii="Arial" w:cs="Arial" w:eastAsia="Arial" w:hAnsi="Arial"/>
          <w:sz w:val="12"/>
          <w:szCs w:val="12"/>
          <w:color w:val="auto"/>
        </w:rPr>
        <w:t>Bylaws of Waste Management Holdings, Inc.</w:t>
      </w:r>
    </w:p>
    <w:p>
      <w:pPr>
        <w:spacing w:after="0" w:line="12" w:lineRule="exact"/>
        <w:rPr>
          <w:sz w:val="20"/>
          <w:szCs w:val="20"/>
          <w:color w:val="auto"/>
        </w:rPr>
      </w:pPr>
    </w:p>
    <w:p>
      <w:pPr>
        <w:ind w:left="1040"/>
        <w:spacing w:after="0"/>
        <w:tabs>
          <w:tab w:leader="none" w:pos="1480" w:val="left"/>
        </w:tabs>
        <w:rPr>
          <w:sz w:val="20"/>
          <w:szCs w:val="20"/>
          <w:color w:val="auto"/>
        </w:rPr>
      </w:pPr>
      <w:r>
        <w:rPr>
          <w:rFonts w:ascii="Arial" w:cs="Arial" w:eastAsia="Arial" w:hAnsi="Arial"/>
          <w:sz w:val="13"/>
          <w:szCs w:val="13"/>
          <w:color w:val="auto"/>
        </w:rPr>
        <w:t>4.1</w:t>
      </w:r>
      <w:r>
        <w:rPr>
          <w:sz w:val="20"/>
          <w:szCs w:val="20"/>
          <w:color w:val="auto"/>
        </w:rPr>
        <w:tab/>
      </w:r>
      <w:r>
        <w:rPr>
          <w:rFonts w:ascii="Arial" w:cs="Arial" w:eastAsia="Arial" w:hAnsi="Arial"/>
          <w:sz w:val="12"/>
          <w:szCs w:val="12"/>
          <w:color w:val="auto"/>
        </w:rPr>
        <w:t>Specimen certificate of Common Stock.</w:t>
      </w:r>
    </w:p>
    <w:p>
      <w:pPr>
        <w:spacing w:after="0" w:line="12" w:lineRule="exact"/>
        <w:rPr>
          <w:sz w:val="20"/>
          <w:szCs w:val="20"/>
          <w:color w:val="auto"/>
        </w:rPr>
      </w:pPr>
    </w:p>
    <w:p>
      <w:pPr>
        <w:ind w:left="1040"/>
        <w:spacing w:after="0"/>
        <w:tabs>
          <w:tab w:leader="none" w:pos="1480" w:val="left"/>
        </w:tabs>
        <w:rPr>
          <w:sz w:val="20"/>
          <w:szCs w:val="20"/>
          <w:color w:val="auto"/>
        </w:rPr>
      </w:pPr>
      <w:r>
        <w:rPr>
          <w:rFonts w:ascii="Arial" w:cs="Arial" w:eastAsia="Arial" w:hAnsi="Arial"/>
          <w:sz w:val="13"/>
          <w:szCs w:val="13"/>
          <w:color w:val="auto"/>
        </w:rPr>
        <w:t>4.2</w:t>
      </w:r>
      <w:r>
        <w:rPr>
          <w:sz w:val="20"/>
          <w:szCs w:val="20"/>
          <w:color w:val="auto"/>
        </w:rPr>
        <w:tab/>
      </w:r>
      <w:r>
        <w:rPr>
          <w:rFonts w:ascii="Arial" w:cs="Arial" w:eastAsia="Arial" w:hAnsi="Arial"/>
          <w:sz w:val="12"/>
          <w:szCs w:val="12"/>
          <w:color w:val="auto"/>
        </w:rPr>
        <w:t>Senior indenture dated as of September 10, 1997 (Incorporated herein by reference to Exhibit 4.1 to Current Report on Form 8-K filed September 24, 1997).</w:t>
      </w:r>
    </w:p>
    <w:p>
      <w:pPr>
        <w:spacing w:after="0" w:line="12" w:lineRule="exact"/>
        <w:rPr>
          <w:sz w:val="20"/>
          <w:szCs w:val="20"/>
          <w:color w:val="auto"/>
        </w:rPr>
      </w:pPr>
    </w:p>
    <w:p>
      <w:pPr>
        <w:ind w:left="1040"/>
        <w:spacing w:after="0"/>
        <w:tabs>
          <w:tab w:leader="none" w:pos="1480" w:val="left"/>
        </w:tabs>
        <w:rPr>
          <w:sz w:val="20"/>
          <w:szCs w:val="20"/>
          <w:color w:val="auto"/>
        </w:rPr>
      </w:pPr>
      <w:r>
        <w:rPr>
          <w:rFonts w:ascii="Arial" w:cs="Arial" w:eastAsia="Arial" w:hAnsi="Arial"/>
          <w:sz w:val="13"/>
          <w:szCs w:val="13"/>
          <w:color w:val="auto"/>
        </w:rPr>
        <w:t>4.3</w:t>
      </w:r>
      <w:r>
        <w:rPr>
          <w:sz w:val="20"/>
          <w:szCs w:val="20"/>
          <w:color w:val="auto"/>
        </w:rPr>
        <w:tab/>
      </w:r>
      <w:r>
        <w:rPr>
          <w:rFonts w:ascii="Arial" w:cs="Arial" w:eastAsia="Arial" w:hAnsi="Arial"/>
          <w:sz w:val="12"/>
          <w:szCs w:val="12"/>
          <w:color w:val="auto"/>
        </w:rPr>
        <w:t>Subordinated indenture dated as of February 1, 1997 (Incorporated herein by reference to Exhibit 4.1 to Current Report on Form 8-K filed February 7, 1997).</w:t>
      </w:r>
    </w:p>
    <w:p>
      <w:pPr>
        <w:spacing w:after="0" w:line="12" w:lineRule="exact"/>
        <w:rPr>
          <w:sz w:val="20"/>
          <w:szCs w:val="20"/>
          <w:color w:val="auto"/>
        </w:rPr>
      </w:pPr>
    </w:p>
    <w:p>
      <w:pPr>
        <w:ind w:left="980"/>
        <w:spacing w:after="0"/>
        <w:tabs>
          <w:tab w:leader="none" w:pos="1480" w:val="left"/>
        </w:tabs>
        <w:rPr>
          <w:sz w:val="20"/>
          <w:szCs w:val="20"/>
          <w:color w:val="auto"/>
        </w:rPr>
      </w:pPr>
      <w:r>
        <w:rPr>
          <w:rFonts w:ascii="Arial" w:cs="Arial" w:eastAsia="Arial" w:hAnsi="Arial"/>
          <w:sz w:val="13"/>
          <w:szCs w:val="13"/>
          <w:color w:val="auto"/>
        </w:rPr>
        <w:t>*4.4</w:t>
      </w:r>
      <w:r>
        <w:rPr>
          <w:sz w:val="20"/>
          <w:szCs w:val="20"/>
          <w:color w:val="auto"/>
        </w:rPr>
        <w:tab/>
      </w:r>
      <w:r>
        <w:rPr>
          <w:rFonts w:ascii="Arial" w:cs="Arial" w:eastAsia="Arial" w:hAnsi="Arial"/>
          <w:sz w:val="12"/>
          <w:szCs w:val="12"/>
          <w:color w:val="auto"/>
        </w:rPr>
        <w:t>Form of Debt Securities.</w:t>
      </w:r>
    </w:p>
    <w:p>
      <w:pPr>
        <w:spacing w:after="0" w:line="12" w:lineRule="exact"/>
        <w:rPr>
          <w:sz w:val="20"/>
          <w:szCs w:val="20"/>
          <w:color w:val="auto"/>
        </w:rPr>
      </w:pPr>
    </w:p>
    <w:p>
      <w:pPr>
        <w:ind w:left="980"/>
        <w:spacing w:after="0"/>
        <w:tabs>
          <w:tab w:leader="none" w:pos="1480" w:val="left"/>
        </w:tabs>
        <w:rPr>
          <w:sz w:val="20"/>
          <w:szCs w:val="20"/>
          <w:color w:val="auto"/>
        </w:rPr>
      </w:pPr>
      <w:r>
        <w:rPr>
          <w:rFonts w:ascii="Arial" w:cs="Arial" w:eastAsia="Arial" w:hAnsi="Arial"/>
          <w:sz w:val="13"/>
          <w:szCs w:val="13"/>
          <w:color w:val="auto"/>
        </w:rPr>
        <w:t>*4.5</w:t>
      </w:r>
      <w:r>
        <w:rPr>
          <w:sz w:val="20"/>
          <w:szCs w:val="20"/>
          <w:color w:val="auto"/>
        </w:rPr>
        <w:tab/>
      </w:r>
      <w:r>
        <w:rPr>
          <w:rFonts w:ascii="Arial" w:cs="Arial" w:eastAsia="Arial" w:hAnsi="Arial"/>
          <w:sz w:val="12"/>
          <w:szCs w:val="12"/>
          <w:color w:val="auto"/>
        </w:rPr>
        <w:t>Form of Guarantee Agreement.</w:t>
      </w:r>
    </w:p>
    <w:p>
      <w:pPr>
        <w:spacing w:after="0" w:line="12" w:lineRule="exact"/>
        <w:rPr>
          <w:sz w:val="20"/>
          <w:szCs w:val="20"/>
          <w:color w:val="auto"/>
        </w:rPr>
      </w:pPr>
    </w:p>
    <w:p>
      <w:pPr>
        <w:ind w:left="980"/>
        <w:spacing w:after="0"/>
        <w:tabs>
          <w:tab w:leader="none" w:pos="1480" w:val="left"/>
        </w:tabs>
        <w:rPr>
          <w:sz w:val="20"/>
          <w:szCs w:val="20"/>
          <w:color w:val="auto"/>
        </w:rPr>
      </w:pPr>
      <w:r>
        <w:rPr>
          <w:rFonts w:ascii="Arial" w:cs="Arial" w:eastAsia="Arial" w:hAnsi="Arial"/>
          <w:sz w:val="13"/>
          <w:szCs w:val="13"/>
          <w:color w:val="auto"/>
        </w:rPr>
        <w:t>*4.6</w:t>
      </w:r>
      <w:r>
        <w:rPr>
          <w:sz w:val="20"/>
          <w:szCs w:val="20"/>
          <w:color w:val="auto"/>
        </w:rPr>
        <w:tab/>
      </w:r>
      <w:r>
        <w:rPr>
          <w:rFonts w:ascii="Arial" w:cs="Arial" w:eastAsia="Arial" w:hAnsi="Arial"/>
          <w:sz w:val="12"/>
          <w:szCs w:val="12"/>
          <w:color w:val="auto"/>
        </w:rPr>
        <w:t>Form of Warrant Agreement.</w:t>
      </w:r>
    </w:p>
    <w:p>
      <w:pPr>
        <w:spacing w:after="0" w:line="12" w:lineRule="exact"/>
        <w:rPr>
          <w:sz w:val="20"/>
          <w:szCs w:val="20"/>
          <w:color w:val="auto"/>
        </w:rPr>
      </w:pPr>
    </w:p>
    <w:p>
      <w:pPr>
        <w:ind w:left="980"/>
        <w:spacing w:after="0"/>
        <w:tabs>
          <w:tab w:leader="none" w:pos="1480" w:val="left"/>
        </w:tabs>
        <w:rPr>
          <w:sz w:val="20"/>
          <w:szCs w:val="20"/>
          <w:color w:val="auto"/>
        </w:rPr>
      </w:pPr>
      <w:r>
        <w:rPr>
          <w:rFonts w:ascii="Arial" w:cs="Arial" w:eastAsia="Arial" w:hAnsi="Arial"/>
          <w:sz w:val="13"/>
          <w:szCs w:val="13"/>
          <w:color w:val="auto"/>
        </w:rPr>
        <w:t>*4.7</w:t>
      </w:r>
      <w:r>
        <w:rPr>
          <w:sz w:val="20"/>
          <w:szCs w:val="20"/>
          <w:color w:val="auto"/>
        </w:rPr>
        <w:tab/>
      </w:r>
      <w:r>
        <w:rPr>
          <w:rFonts w:ascii="Arial" w:cs="Arial" w:eastAsia="Arial" w:hAnsi="Arial"/>
          <w:sz w:val="12"/>
          <w:szCs w:val="12"/>
          <w:color w:val="auto"/>
        </w:rPr>
        <w:t>Form of Unit Agreement.</w:t>
      </w:r>
    </w:p>
    <w:p>
      <w:pPr>
        <w:spacing w:after="0" w:line="12" w:lineRule="exact"/>
        <w:rPr>
          <w:sz w:val="20"/>
          <w:szCs w:val="20"/>
          <w:color w:val="auto"/>
        </w:rPr>
      </w:pPr>
    </w:p>
    <w:p>
      <w:pPr>
        <w:ind w:left="1040"/>
        <w:spacing w:after="0"/>
        <w:tabs>
          <w:tab w:leader="none" w:pos="1480" w:val="left"/>
        </w:tabs>
        <w:rPr>
          <w:sz w:val="20"/>
          <w:szCs w:val="20"/>
          <w:color w:val="auto"/>
        </w:rPr>
      </w:pPr>
      <w:r>
        <w:rPr>
          <w:rFonts w:ascii="Arial" w:cs="Arial" w:eastAsia="Arial" w:hAnsi="Arial"/>
          <w:sz w:val="13"/>
          <w:szCs w:val="13"/>
          <w:color w:val="auto"/>
        </w:rPr>
        <w:t>5.1</w:t>
      </w:r>
      <w:r>
        <w:rPr>
          <w:sz w:val="20"/>
          <w:szCs w:val="20"/>
          <w:color w:val="auto"/>
        </w:rPr>
        <w:tab/>
      </w:r>
      <w:r>
        <w:rPr>
          <w:rFonts w:ascii="Arial" w:cs="Arial" w:eastAsia="Arial" w:hAnsi="Arial"/>
          <w:sz w:val="12"/>
          <w:szCs w:val="12"/>
          <w:color w:val="auto"/>
        </w:rPr>
        <w:t>Legal opinion of Amanda K. Maki regarding the legality of the securities being registered under this registration statement.</w:t>
      </w:r>
    </w:p>
    <w:p>
      <w:pPr>
        <w:spacing w:after="0" w:line="12" w:lineRule="exact"/>
        <w:rPr>
          <w:sz w:val="20"/>
          <w:szCs w:val="20"/>
          <w:color w:val="auto"/>
        </w:rPr>
      </w:pPr>
    </w:p>
    <w:p>
      <w:pPr>
        <w:ind w:left="1500" w:right="60" w:hanging="516"/>
        <w:spacing w:after="0" w:line="258" w:lineRule="auto"/>
        <w:tabs>
          <w:tab w:leader="none" w:pos="1480" w:val="left"/>
        </w:tabs>
        <w:rPr>
          <w:sz w:val="20"/>
          <w:szCs w:val="20"/>
          <w:color w:val="auto"/>
        </w:rPr>
      </w:pPr>
      <w:r>
        <w:rPr>
          <w:rFonts w:ascii="Arial" w:cs="Arial" w:eastAsia="Arial" w:hAnsi="Arial"/>
          <w:sz w:val="13"/>
          <w:szCs w:val="13"/>
          <w:color w:val="auto"/>
        </w:rPr>
        <w:t>12.1</w:t>
      </w:r>
      <w:r>
        <w:rPr>
          <w:sz w:val="20"/>
          <w:szCs w:val="20"/>
          <w:color w:val="auto"/>
        </w:rPr>
        <w:tab/>
      </w:r>
      <w:r>
        <w:rPr>
          <w:rFonts w:ascii="Arial" w:cs="Arial" w:eastAsia="Arial" w:hAnsi="Arial"/>
          <w:sz w:val="13"/>
          <w:szCs w:val="13"/>
          <w:color w:val="auto"/>
        </w:rPr>
        <w:t>Statement regarding computation of ratio of earnings to fixed charges (Incorporated herein by reference to Exhibit 12.1 to Registrant’s Annual Report on Form 10-K for the year ended December 31, 2008).</w:t>
      </w:r>
    </w:p>
    <w:p>
      <w:pPr>
        <w:spacing w:after="0" w:line="1" w:lineRule="exact"/>
        <w:rPr>
          <w:sz w:val="20"/>
          <w:szCs w:val="20"/>
          <w:color w:val="auto"/>
        </w:rPr>
      </w:pPr>
    </w:p>
    <w:p>
      <w:pPr>
        <w:ind w:left="980"/>
        <w:spacing w:after="0"/>
        <w:tabs>
          <w:tab w:leader="none" w:pos="1480" w:val="left"/>
        </w:tabs>
        <w:rPr>
          <w:sz w:val="20"/>
          <w:szCs w:val="20"/>
          <w:color w:val="auto"/>
        </w:rPr>
      </w:pPr>
      <w:r>
        <w:rPr>
          <w:rFonts w:ascii="Arial" w:cs="Arial" w:eastAsia="Arial" w:hAnsi="Arial"/>
          <w:sz w:val="13"/>
          <w:szCs w:val="13"/>
          <w:color w:val="auto"/>
        </w:rPr>
        <w:t>23.1</w:t>
      </w:r>
      <w:r>
        <w:rPr>
          <w:sz w:val="20"/>
          <w:szCs w:val="20"/>
          <w:color w:val="auto"/>
        </w:rPr>
        <w:tab/>
      </w:r>
      <w:r>
        <w:rPr>
          <w:rFonts w:ascii="Arial" w:cs="Arial" w:eastAsia="Arial" w:hAnsi="Arial"/>
          <w:sz w:val="12"/>
          <w:szCs w:val="12"/>
          <w:color w:val="auto"/>
        </w:rPr>
        <w:t>Consent of Amanda K. Maki (included in Exhibits 5.1).</w:t>
      </w:r>
    </w:p>
    <w:p>
      <w:pPr>
        <w:spacing w:after="0" w:line="12" w:lineRule="exact"/>
        <w:rPr>
          <w:sz w:val="20"/>
          <w:szCs w:val="20"/>
          <w:color w:val="auto"/>
        </w:rPr>
      </w:pPr>
    </w:p>
    <w:p>
      <w:pPr>
        <w:ind w:left="980"/>
        <w:spacing w:after="0"/>
        <w:tabs>
          <w:tab w:leader="none" w:pos="1480" w:val="left"/>
        </w:tabs>
        <w:rPr>
          <w:sz w:val="20"/>
          <w:szCs w:val="20"/>
          <w:color w:val="auto"/>
        </w:rPr>
      </w:pPr>
      <w:r>
        <w:rPr>
          <w:rFonts w:ascii="Arial" w:cs="Arial" w:eastAsia="Arial" w:hAnsi="Arial"/>
          <w:sz w:val="13"/>
          <w:szCs w:val="13"/>
          <w:color w:val="auto"/>
        </w:rPr>
        <w:t>23.2</w:t>
      </w:r>
      <w:r>
        <w:rPr>
          <w:sz w:val="20"/>
          <w:szCs w:val="20"/>
          <w:color w:val="auto"/>
        </w:rPr>
        <w:tab/>
      </w:r>
      <w:r>
        <w:rPr>
          <w:rFonts w:ascii="Arial" w:cs="Arial" w:eastAsia="Arial" w:hAnsi="Arial"/>
          <w:sz w:val="12"/>
          <w:szCs w:val="12"/>
          <w:color w:val="auto"/>
        </w:rPr>
        <w:t>Consent of Ernst &amp; Young LLP, Independent Registered Public Accounting Firm.</w:t>
      </w:r>
    </w:p>
    <w:p>
      <w:pPr>
        <w:spacing w:after="0" w:line="12" w:lineRule="exact"/>
        <w:rPr>
          <w:sz w:val="20"/>
          <w:szCs w:val="20"/>
          <w:color w:val="auto"/>
        </w:rPr>
      </w:pPr>
    </w:p>
    <w:p>
      <w:pPr>
        <w:ind w:left="1500" w:hanging="522"/>
        <w:spacing w:after="0"/>
        <w:tabs>
          <w:tab w:leader="none" w:pos="1500" w:val="left"/>
        </w:tabs>
        <w:numPr>
          <w:ilvl w:val="1"/>
          <w:numId w:val="36"/>
        </w:numPr>
        <w:rPr>
          <w:rFonts w:ascii="Arial" w:cs="Arial" w:eastAsia="Arial" w:hAnsi="Arial"/>
          <w:sz w:val="13"/>
          <w:szCs w:val="13"/>
          <w:color w:val="auto"/>
        </w:rPr>
      </w:pPr>
      <w:r>
        <w:rPr>
          <w:rFonts w:ascii="Arial" w:cs="Arial" w:eastAsia="Arial" w:hAnsi="Arial"/>
          <w:sz w:val="13"/>
          <w:szCs w:val="13"/>
          <w:color w:val="auto"/>
        </w:rPr>
        <w:t>Powers of Attorney (Included on Page II-5 as part of the signature pages hereto).</w:t>
      </w:r>
    </w:p>
    <w:p>
      <w:pPr>
        <w:spacing w:after="0" w:line="11" w:lineRule="exact"/>
        <w:rPr>
          <w:rFonts w:ascii="Arial" w:cs="Arial" w:eastAsia="Arial" w:hAnsi="Arial"/>
          <w:sz w:val="13"/>
          <w:szCs w:val="13"/>
          <w:color w:val="auto"/>
        </w:rPr>
      </w:pPr>
    </w:p>
    <w:p>
      <w:pPr>
        <w:ind w:left="980"/>
        <w:spacing w:after="0"/>
        <w:rPr>
          <w:rFonts w:ascii="Arial" w:cs="Arial" w:eastAsia="Arial" w:hAnsi="Arial"/>
          <w:sz w:val="13"/>
          <w:szCs w:val="13"/>
          <w:color w:val="auto"/>
        </w:rPr>
      </w:pPr>
      <w:r>
        <w:rPr>
          <w:rFonts w:ascii="Arial" w:cs="Arial" w:eastAsia="Arial" w:hAnsi="Arial"/>
          <w:sz w:val="13"/>
          <w:szCs w:val="13"/>
          <w:color w:val="auto"/>
        </w:rPr>
        <w:t>25.1</w:t>
      </w:r>
      <w:r>
        <w:rPr>
          <w:rFonts w:ascii="Arial" w:cs="Arial" w:eastAsia="Arial" w:hAnsi="Arial"/>
          <w:sz w:val="12"/>
          <w:szCs w:val="12"/>
          <w:color w:val="auto"/>
        </w:rPr>
        <w:t>Statement of Eligibility of Trustee on Form T-1 with respect to the senior indenture.</w:t>
      </w:r>
    </w:p>
    <w:p>
      <w:pPr>
        <w:spacing w:after="0" w:line="11" w:lineRule="exact"/>
        <w:rPr>
          <w:rFonts w:ascii="Arial" w:cs="Arial" w:eastAsia="Arial" w:hAnsi="Arial"/>
          <w:sz w:val="13"/>
          <w:szCs w:val="13"/>
          <w:color w:val="auto"/>
        </w:rPr>
      </w:pPr>
    </w:p>
    <w:p>
      <w:pPr>
        <w:ind w:left="980"/>
        <w:spacing w:after="0"/>
        <w:rPr>
          <w:rFonts w:ascii="Arial" w:cs="Arial" w:eastAsia="Arial" w:hAnsi="Arial"/>
          <w:sz w:val="13"/>
          <w:szCs w:val="13"/>
          <w:color w:val="auto"/>
        </w:rPr>
      </w:pPr>
      <w:r>
        <w:rPr>
          <w:rFonts w:ascii="Arial" w:cs="Arial" w:eastAsia="Arial" w:hAnsi="Arial"/>
          <w:sz w:val="13"/>
          <w:szCs w:val="13"/>
          <w:color w:val="auto"/>
        </w:rPr>
        <w:t>25.2</w:t>
      </w:r>
      <w:r>
        <w:rPr>
          <w:rFonts w:ascii="Arial" w:cs="Arial" w:eastAsia="Arial" w:hAnsi="Arial"/>
          <w:sz w:val="12"/>
          <w:szCs w:val="12"/>
          <w:color w:val="auto"/>
        </w:rPr>
        <w:t>Statement of Eligibility of Trustee on Form T-1 with respect to the subordinated indenture.</w:t>
      </w:r>
    </w:p>
    <w:p>
      <w:pPr>
        <w:spacing w:after="0" w:line="162" w:lineRule="exact"/>
        <w:rPr>
          <w:rFonts w:ascii="Arial" w:cs="Arial" w:eastAsia="Arial" w:hAnsi="Arial"/>
          <w:sz w:val="13"/>
          <w:szCs w:val="13"/>
          <w:color w:val="auto"/>
        </w:rPr>
      </w:pPr>
    </w:p>
    <w:p>
      <w:pPr>
        <w:ind w:left="680"/>
        <w:spacing w:after="0"/>
        <w:rPr>
          <w:rFonts w:ascii="Arial" w:cs="Arial" w:eastAsia="Arial" w:hAnsi="Arial"/>
          <w:sz w:val="13"/>
          <w:szCs w:val="13"/>
          <w:color w:val="auto"/>
        </w:rPr>
      </w:pPr>
      <w:r>
        <w:rPr>
          <w:rFonts w:ascii="Arial" w:cs="Arial" w:eastAsia="Arial" w:hAnsi="Arial"/>
          <w:sz w:val="13"/>
          <w:szCs w:val="13"/>
          <w:color w:val="auto"/>
        </w:rPr>
        <w:t>*  To be filed by amendment to this Registration Statement or as an exhibit to a periodic report filed under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-125730</wp:posOffset>
            </wp:positionV>
            <wp:extent cx="825500" cy="63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5500" cy="6350"/>
                    </a:xfrm>
                    <a:prstGeom prst="rect">
                      <a:avLst/>
                    </a:prstGeom>
                    <a:noFill/>
                  </pic:spPr>
                </pic:pic>
              </a:graphicData>
            </a:graphic>
          </wp:anchor>
        </w:drawing>
      </w:r>
    </w:p>
    <w:p>
      <w:pPr>
        <w:sectPr>
          <w:pgSz w:w="11900" w:h="16838" w:orient="portrait"/>
          <w:cols w:equalWidth="0" w:num="1">
            <w:col w:w="10600"/>
          </w:cols>
          <w:pgMar w:left="220" w:top="349" w:right="1079" w:bottom="1440" w:gutter="0" w:footer="0" w:header="0"/>
        </w:sectPr>
      </w:pPr>
    </w:p>
    <w:bookmarkStart w:id="29" w:name="page30"/>
    <w:bookmarkEnd w:id="29"/>
    <w:p>
      <w:pPr>
        <w:jc w:val="right"/>
        <w:spacing w:after="0"/>
        <w:rPr>
          <w:sz w:val="20"/>
          <w:szCs w:val="20"/>
          <w:color w:val="auto"/>
        </w:rPr>
      </w:pPr>
      <w:r>
        <w:rPr>
          <w:rFonts w:ascii="Arial" w:cs="Arial" w:eastAsia="Arial" w:hAnsi="Arial"/>
          <w:sz w:val="13"/>
          <w:szCs w:val="13"/>
          <w:color w:val="auto"/>
        </w:rPr>
        <w:t>Exhibit 3.3</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THIRD RESTATED CERTIFICATE OF INCORPORATION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OF</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WASTE MANAGEMENT HOLDINGS, INC.</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Waste Management Holdings, Inc., a corporation organized and existing under the laws of the State of Delaware (the “Corporation”), hereby certifies as follows:</w:t>
      </w:r>
    </w:p>
    <w:p>
      <w:pPr>
        <w:spacing w:after="0" w:line="92" w:lineRule="exact"/>
        <w:rPr>
          <w:sz w:val="20"/>
          <w:szCs w:val="20"/>
          <w:color w:val="auto"/>
        </w:rPr>
      </w:pPr>
    </w:p>
    <w:p>
      <w:pPr>
        <w:ind w:right="60" w:firstLine="1"/>
        <w:spacing w:after="0" w:line="294" w:lineRule="auto"/>
        <w:tabs>
          <w:tab w:leader="none" w:pos="134"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name of the Corporation is Waste Management Holdings, Inc., and the name under which the Corporation was originally incorporated is Waste Management, Inc. The date of filing of its original Certificate of Incorporation with the Secretary of State was September 23, 1968.</w:t>
      </w:r>
    </w:p>
    <w:p>
      <w:pPr>
        <w:spacing w:after="0" w:line="36" w:lineRule="exact"/>
        <w:rPr>
          <w:rFonts w:ascii="Arial" w:cs="Arial" w:eastAsia="Arial" w:hAnsi="Arial"/>
          <w:sz w:val="13"/>
          <w:szCs w:val="13"/>
          <w:color w:val="auto"/>
        </w:rPr>
      </w:pPr>
    </w:p>
    <w:p>
      <w:pPr>
        <w:ind w:left="140" w:hanging="139"/>
        <w:spacing w:after="0"/>
        <w:tabs>
          <w:tab w:leader="none" w:pos="140"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This Third Restated Certificate of Incorporation amends and restates the Restated Certificate of Incorporation of the Corporation, including all amendments thereto, in its entirety.</w:t>
      </w:r>
    </w:p>
    <w:p>
      <w:pPr>
        <w:spacing w:after="0" w:line="92" w:lineRule="exact"/>
        <w:rPr>
          <w:rFonts w:ascii="Arial" w:cs="Arial" w:eastAsia="Arial" w:hAnsi="Arial"/>
          <w:sz w:val="13"/>
          <w:szCs w:val="13"/>
          <w:color w:val="auto"/>
        </w:rPr>
      </w:pPr>
    </w:p>
    <w:p>
      <w:pPr>
        <w:ind w:left="140" w:hanging="139"/>
        <w:spacing w:after="0"/>
        <w:tabs>
          <w:tab w:leader="none" w:pos="140"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provisions of the Restated Certificate of Incorporation as amended or supplemented heretofore are hereby deleted in their entirety and the following provisions are substituted in their place: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I</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Name</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name of the Corporation is Waste Management Holdings,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II</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Registered Office and Registered Agent</w:t>
      </w:r>
    </w:p>
    <w:p>
      <w:pPr>
        <w:spacing w:after="0" w:line="82" w:lineRule="exact"/>
        <w:rPr>
          <w:sz w:val="20"/>
          <w:szCs w:val="20"/>
          <w:color w:val="auto"/>
        </w:rPr>
      </w:pPr>
    </w:p>
    <w:p>
      <w:pPr>
        <w:ind w:right="120" w:firstLine="165"/>
        <w:spacing w:after="0" w:line="294" w:lineRule="auto"/>
        <w:rPr>
          <w:sz w:val="20"/>
          <w:szCs w:val="20"/>
          <w:color w:val="auto"/>
        </w:rPr>
      </w:pPr>
      <w:r>
        <w:rPr>
          <w:rFonts w:ascii="Arial" w:cs="Arial" w:eastAsia="Arial" w:hAnsi="Arial"/>
          <w:sz w:val="13"/>
          <w:szCs w:val="13"/>
          <w:color w:val="auto"/>
        </w:rPr>
        <w:t>The street address of the initial registered office of the Corporation in the State of Delaware is the Corporation Trust Center, 1209 Orange Street in the City of Wilmington, County of New Castle. The name of the registered agent of the Corporation is The Corporation Trust Company.</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III</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Corporate Purpose</w:t>
      </w:r>
    </w:p>
    <w:p>
      <w:pPr>
        <w:spacing w:after="0" w:line="82" w:lineRule="exact"/>
        <w:rPr>
          <w:sz w:val="20"/>
          <w:szCs w:val="20"/>
          <w:color w:val="auto"/>
        </w:rPr>
      </w:pPr>
    </w:p>
    <w:p>
      <w:pPr>
        <w:jc w:val="center"/>
        <w:ind w:left="360" w:right="20"/>
        <w:spacing w:after="0" w:line="504" w:lineRule="auto"/>
        <w:rPr>
          <w:sz w:val="20"/>
          <w:szCs w:val="20"/>
          <w:color w:val="auto"/>
        </w:rPr>
      </w:pPr>
      <w:r>
        <w:rPr>
          <w:rFonts w:ascii="Arial" w:cs="Arial" w:eastAsia="Arial" w:hAnsi="Arial"/>
          <w:sz w:val="13"/>
          <w:szCs w:val="13"/>
          <w:color w:val="auto"/>
        </w:rPr>
        <w:t>The purpose of the Corporation is to engage in any lawful act or activity for which corporations may be organized under the General Corporation Law of the State of Delaware (the “General Corporation Law”).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7287895"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sectPr>
      </w:pPr>
    </w:p>
    <w:bookmarkStart w:id="30" w:name="page31"/>
    <w:bookmarkEnd w:id="30"/>
    <w:p>
      <w:pPr>
        <w:jc w:val="center"/>
        <w:ind w:right="-18"/>
        <w:spacing w:after="0"/>
        <w:rPr>
          <w:sz w:val="20"/>
          <w:szCs w:val="20"/>
          <w:color w:val="auto"/>
        </w:rPr>
      </w:pPr>
      <w:r>
        <w:rPr>
          <w:rFonts w:ascii="Arial" w:cs="Arial" w:eastAsia="Arial" w:hAnsi="Arial"/>
          <w:sz w:val="13"/>
          <w:szCs w:val="13"/>
          <w:b w:val="1"/>
          <w:bCs w:val="1"/>
          <w:color w:val="auto"/>
        </w:rPr>
        <w:t>Article IV</w:t>
      </w:r>
    </w:p>
    <w:p>
      <w:pPr>
        <w:spacing w:after="0" w:line="24" w:lineRule="exact"/>
        <w:rPr>
          <w:sz w:val="20"/>
          <w:szCs w:val="20"/>
          <w:color w:val="auto"/>
        </w:rPr>
      </w:pPr>
    </w:p>
    <w:p>
      <w:pPr>
        <w:jc w:val="center"/>
        <w:ind w:right="-18"/>
        <w:spacing w:after="0"/>
        <w:rPr>
          <w:sz w:val="20"/>
          <w:szCs w:val="20"/>
          <w:color w:val="auto"/>
        </w:rPr>
      </w:pPr>
      <w:r>
        <w:rPr>
          <w:rFonts w:ascii="Arial" w:cs="Arial" w:eastAsia="Arial" w:hAnsi="Arial"/>
          <w:sz w:val="13"/>
          <w:szCs w:val="13"/>
          <w:u w:val="single" w:color="auto"/>
          <w:color w:val="auto"/>
        </w:rPr>
        <w:t>Capital Stock</w:t>
      </w:r>
    </w:p>
    <w:p>
      <w:pPr>
        <w:spacing w:after="0" w:line="82" w:lineRule="exact"/>
        <w:rPr>
          <w:sz w:val="20"/>
          <w:szCs w:val="20"/>
          <w:color w:val="auto"/>
        </w:rPr>
      </w:pPr>
    </w:p>
    <w:p>
      <w:pPr>
        <w:ind w:left="159"/>
        <w:spacing w:after="0"/>
        <w:rPr>
          <w:sz w:val="20"/>
          <w:szCs w:val="20"/>
          <w:color w:val="auto"/>
        </w:rPr>
      </w:pPr>
      <w:r>
        <w:rPr>
          <w:rFonts w:ascii="Arial" w:cs="Arial" w:eastAsia="Arial" w:hAnsi="Arial"/>
          <w:sz w:val="13"/>
          <w:szCs w:val="13"/>
          <w:color w:val="auto"/>
        </w:rPr>
        <w:t>The total number of shares of all classes of stock that the Corporation shall have authority to issue is 100, all of which shall be shares of Common Stock, par value $.01 per share.</w:t>
      </w:r>
    </w:p>
    <w:p>
      <w:pPr>
        <w:spacing w:after="0" w:line="252" w:lineRule="exact"/>
        <w:rPr>
          <w:sz w:val="20"/>
          <w:szCs w:val="20"/>
          <w:color w:val="auto"/>
        </w:rPr>
      </w:pPr>
    </w:p>
    <w:p>
      <w:pPr>
        <w:ind w:left="5479"/>
        <w:spacing w:after="0"/>
        <w:rPr>
          <w:sz w:val="20"/>
          <w:szCs w:val="20"/>
          <w:color w:val="auto"/>
        </w:rPr>
      </w:pPr>
      <w:r>
        <w:rPr>
          <w:rFonts w:ascii="Arial" w:cs="Arial" w:eastAsia="Arial" w:hAnsi="Arial"/>
          <w:sz w:val="13"/>
          <w:szCs w:val="13"/>
          <w:b w:val="1"/>
          <w:bCs w:val="1"/>
          <w:color w:val="auto"/>
        </w:rPr>
        <w:t>Article V</w:t>
      </w:r>
    </w:p>
    <w:p>
      <w:pPr>
        <w:spacing w:after="0" w:line="24" w:lineRule="exact"/>
        <w:rPr>
          <w:sz w:val="20"/>
          <w:szCs w:val="20"/>
          <w:color w:val="auto"/>
        </w:rPr>
      </w:pPr>
    </w:p>
    <w:p>
      <w:pPr>
        <w:ind w:left="5479"/>
        <w:spacing w:after="0"/>
        <w:rPr>
          <w:sz w:val="20"/>
          <w:szCs w:val="20"/>
          <w:color w:val="auto"/>
        </w:rPr>
      </w:pPr>
      <w:r>
        <w:rPr>
          <w:rFonts w:ascii="Arial" w:cs="Arial" w:eastAsia="Arial" w:hAnsi="Arial"/>
          <w:sz w:val="13"/>
          <w:szCs w:val="13"/>
          <w:u w:val="single" w:color="auto"/>
          <w:color w:val="auto"/>
        </w:rPr>
        <w:t>Directors</w:t>
      </w:r>
    </w:p>
    <w:p>
      <w:pPr>
        <w:spacing w:after="0" w:line="82" w:lineRule="exact"/>
        <w:rPr>
          <w:sz w:val="20"/>
          <w:szCs w:val="20"/>
          <w:color w:val="auto"/>
        </w:rPr>
      </w:pPr>
    </w:p>
    <w:p>
      <w:pPr>
        <w:ind w:left="159"/>
        <w:spacing w:after="0"/>
        <w:rPr>
          <w:sz w:val="20"/>
          <w:szCs w:val="20"/>
          <w:color w:val="auto"/>
        </w:rPr>
      </w:pPr>
      <w:r>
        <w:rPr>
          <w:rFonts w:ascii="Arial" w:cs="Arial" w:eastAsia="Arial" w:hAnsi="Arial"/>
          <w:sz w:val="13"/>
          <w:szCs w:val="13"/>
          <w:color w:val="auto"/>
        </w:rPr>
        <w:t>Elections of directors of the Corporation need not be by written ballot, except and to the extent provided in the By-laws of the Corporation.</w:t>
      </w:r>
    </w:p>
    <w:p>
      <w:pPr>
        <w:spacing w:after="0" w:line="252" w:lineRule="exact"/>
        <w:rPr>
          <w:sz w:val="20"/>
          <w:szCs w:val="20"/>
          <w:color w:val="auto"/>
        </w:rPr>
      </w:pPr>
    </w:p>
    <w:p>
      <w:pPr>
        <w:jc w:val="center"/>
        <w:ind w:right="-18"/>
        <w:spacing w:after="0"/>
        <w:rPr>
          <w:sz w:val="20"/>
          <w:szCs w:val="20"/>
          <w:color w:val="auto"/>
        </w:rPr>
      </w:pPr>
      <w:r>
        <w:rPr>
          <w:rFonts w:ascii="Arial" w:cs="Arial" w:eastAsia="Arial" w:hAnsi="Arial"/>
          <w:sz w:val="13"/>
          <w:szCs w:val="13"/>
          <w:b w:val="1"/>
          <w:bCs w:val="1"/>
          <w:color w:val="auto"/>
        </w:rPr>
        <w:t>Article VI</w:t>
      </w:r>
    </w:p>
    <w:p>
      <w:pPr>
        <w:spacing w:after="0" w:line="24" w:lineRule="exact"/>
        <w:rPr>
          <w:sz w:val="20"/>
          <w:szCs w:val="20"/>
          <w:color w:val="auto"/>
        </w:rPr>
      </w:pPr>
    </w:p>
    <w:p>
      <w:pPr>
        <w:jc w:val="center"/>
        <w:ind w:right="-18"/>
        <w:spacing w:after="0"/>
        <w:rPr>
          <w:sz w:val="20"/>
          <w:szCs w:val="20"/>
          <w:color w:val="auto"/>
        </w:rPr>
      </w:pPr>
      <w:r>
        <w:rPr>
          <w:rFonts w:ascii="Arial" w:cs="Arial" w:eastAsia="Arial" w:hAnsi="Arial"/>
          <w:sz w:val="13"/>
          <w:szCs w:val="13"/>
          <w:u w:val="single" w:color="auto"/>
          <w:color w:val="auto"/>
        </w:rPr>
        <w:t>Indemnification of Directors, Officers and Others</w:t>
      </w:r>
    </w:p>
    <w:p>
      <w:pPr>
        <w:spacing w:after="0" w:line="82" w:lineRule="exact"/>
        <w:rPr>
          <w:sz w:val="20"/>
          <w:szCs w:val="20"/>
          <w:color w:val="auto"/>
        </w:rPr>
      </w:pPr>
    </w:p>
    <w:p>
      <w:pPr>
        <w:ind w:left="159"/>
        <w:spacing w:after="0"/>
        <w:rPr>
          <w:sz w:val="20"/>
          <w:szCs w:val="20"/>
          <w:color w:val="auto"/>
        </w:rPr>
      </w:pPr>
      <w:r>
        <w:rPr>
          <w:rFonts w:ascii="Arial" w:cs="Arial" w:eastAsia="Arial" w:hAnsi="Arial"/>
          <w:sz w:val="12"/>
          <w:szCs w:val="12"/>
          <w:color w:val="auto"/>
        </w:rPr>
        <w:t>(1) No director of the Corporation shall be personally liable to the Corporation or its stockholders for monetary damages for breach of fiduciary duty as a director, except to the extent provided by applicable law</w:t>
      </w:r>
    </w:p>
    <w:p>
      <w:pPr>
        <w:spacing w:after="0" w:line="33" w:lineRule="exact"/>
        <w:rPr>
          <w:sz w:val="20"/>
          <w:szCs w:val="20"/>
          <w:color w:val="auto"/>
        </w:rPr>
      </w:pPr>
    </w:p>
    <w:p>
      <w:pPr>
        <w:ind w:left="159" w:hanging="159"/>
        <w:spacing w:after="0"/>
        <w:tabs>
          <w:tab w:leader="none" w:pos="159" w:val="left"/>
        </w:tabs>
        <w:numPr>
          <w:ilvl w:val="0"/>
          <w:numId w:val="38"/>
        </w:numPr>
        <w:rPr>
          <w:rFonts w:ascii="Arial" w:cs="Arial" w:eastAsia="Arial" w:hAnsi="Arial"/>
          <w:sz w:val="13"/>
          <w:szCs w:val="13"/>
          <w:color w:val="auto"/>
        </w:rPr>
      </w:pPr>
      <w:r>
        <w:rPr>
          <w:rFonts w:ascii="Arial" w:cs="Arial" w:eastAsia="Arial" w:hAnsi="Arial"/>
          <w:sz w:val="13"/>
          <w:szCs w:val="13"/>
          <w:color w:val="auto"/>
        </w:rPr>
        <w:t>for any breach of the director’s duty of loyalty to the Corporation or its stockholders, (ii) for acts or omissions not in good faith or which involve intentional misconduct or a knowing violation of law,</w:t>
      </w:r>
    </w:p>
    <w:p>
      <w:pPr>
        <w:spacing w:after="0" w:line="12" w:lineRule="exact"/>
        <w:rPr>
          <w:sz w:val="20"/>
          <w:szCs w:val="20"/>
          <w:color w:val="auto"/>
        </w:rPr>
      </w:pPr>
    </w:p>
    <w:p>
      <w:pPr>
        <w:ind w:left="239" w:hanging="239"/>
        <w:spacing w:after="0"/>
        <w:tabs>
          <w:tab w:leader="none" w:pos="239" w:val="left"/>
        </w:tabs>
        <w:numPr>
          <w:ilvl w:val="0"/>
          <w:numId w:val="39"/>
        </w:numPr>
        <w:rPr>
          <w:rFonts w:ascii="Arial" w:cs="Arial" w:eastAsia="Arial" w:hAnsi="Arial"/>
          <w:sz w:val="13"/>
          <w:szCs w:val="13"/>
          <w:color w:val="auto"/>
        </w:rPr>
      </w:pPr>
      <w:r>
        <w:rPr>
          <w:rFonts w:ascii="Arial" w:cs="Arial" w:eastAsia="Arial" w:hAnsi="Arial"/>
          <w:sz w:val="13"/>
          <w:szCs w:val="13"/>
          <w:color w:val="auto"/>
        </w:rPr>
        <w:t>pursuant to Section 174 of the Delaware General Corporation Law, or (iv) for any transaction from which the director derived an improper personal benefit.</w:t>
      </w:r>
    </w:p>
    <w:p>
      <w:pPr>
        <w:spacing w:after="0" w:line="81" w:lineRule="exact"/>
        <w:rPr>
          <w:rFonts w:ascii="Arial" w:cs="Arial" w:eastAsia="Arial" w:hAnsi="Arial"/>
          <w:sz w:val="13"/>
          <w:szCs w:val="13"/>
          <w:color w:val="auto"/>
        </w:rPr>
      </w:pPr>
    </w:p>
    <w:p>
      <w:pPr>
        <w:ind w:left="-1" w:right="20" w:firstLine="168"/>
        <w:spacing w:after="0" w:line="295" w:lineRule="auto"/>
        <w:tabs>
          <w:tab w:leader="none" w:pos="357" w:val="left"/>
        </w:tabs>
        <w:numPr>
          <w:ilvl w:val="1"/>
          <w:numId w:val="39"/>
        </w:numPr>
        <w:rPr>
          <w:rFonts w:ascii="Arial" w:cs="Arial" w:eastAsia="Arial" w:hAnsi="Arial"/>
          <w:sz w:val="12"/>
          <w:szCs w:val="12"/>
          <w:color w:val="auto"/>
        </w:rPr>
      </w:pPr>
      <w:r>
        <w:rPr>
          <w:rFonts w:ascii="Arial" w:cs="Arial" w:eastAsia="Arial" w:hAnsi="Arial"/>
          <w:sz w:val="12"/>
          <w:szCs w:val="12"/>
          <w:color w:val="auto"/>
        </w:rPr>
        <w:t>Each person who is or was a director or officer of the Corporation, and each person who serves or served at the request of the Corporation as a director or officer (or equivalent) of another enterprise, shall be indemnified by the Corporation to the fullest extent authorized by the General Corporation Law of Delaware as it may be in effect from time to time, except as to any action, suit or proceeding brought by or on behalf of such director or officer without prior approval of the Board of Directors or, if there is an Interested Stockholder (as defined below) at the time such action, suit or proceeding is brought, without prior approval of the majority of the Continuing Directors (as defined below) of the Corporation. The right to indemnification conferred in this Article VI shall not be exclusive of any other right which any person may have or hereafter acquire under this Third Restated Certificate of Incorporation or any statute, by-law, agreement, vote of stockholders or disinterested directors or otherwise.</w:t>
      </w:r>
    </w:p>
    <w:p>
      <w:pPr>
        <w:spacing w:after="0" w:line="38" w:lineRule="exact"/>
        <w:rPr>
          <w:rFonts w:ascii="Arial" w:cs="Arial" w:eastAsia="Arial" w:hAnsi="Arial"/>
          <w:sz w:val="12"/>
          <w:szCs w:val="12"/>
          <w:color w:val="auto"/>
        </w:rPr>
      </w:pPr>
    </w:p>
    <w:p>
      <w:pPr>
        <w:ind w:left="-1" w:right="80" w:firstLine="168"/>
        <w:spacing w:after="0" w:line="270" w:lineRule="auto"/>
        <w:tabs>
          <w:tab w:leader="none" w:pos="357" w:val="left"/>
        </w:tabs>
        <w:numPr>
          <w:ilvl w:val="1"/>
          <w:numId w:val="39"/>
        </w:numPr>
        <w:rPr>
          <w:rFonts w:ascii="Arial" w:cs="Arial" w:eastAsia="Arial" w:hAnsi="Arial"/>
          <w:sz w:val="13"/>
          <w:szCs w:val="13"/>
          <w:color w:val="auto"/>
        </w:rPr>
      </w:pPr>
      <w:r>
        <w:rPr>
          <w:rFonts w:ascii="Arial" w:cs="Arial" w:eastAsia="Arial" w:hAnsi="Arial"/>
          <w:sz w:val="13"/>
          <w:szCs w:val="13"/>
          <w:color w:val="auto"/>
        </w:rPr>
        <w:t>If the Delaware General Corporation Law is amended to further limit or eliminate liability of the Corporation’s directors for breach of fiduciary duty, then a director of the Corporation shall not be liable for any such breach to the fullest extent permitted by the Delaware General Corporation Law as so amended. If the Delaware General Corporation Law is amended to increase or expand liability of the Corporation’s directors for breach of fiduciary duty or if the foregoing provisions of this Article VI are modified or repealed by the stockholders of the Corporation, no such amendment, modification or repeal shall apply to or have any effect on the liability or alleged liability of any director of the Corporation for or with respect to any acts or omissions of such</w:t>
      </w:r>
    </w:p>
    <w:p>
      <w:pPr>
        <w:spacing w:after="0" w:line="113" w:lineRule="exact"/>
        <w:rPr>
          <w:sz w:val="20"/>
          <w:szCs w:val="20"/>
          <w:color w:val="auto"/>
        </w:rPr>
      </w:pPr>
    </w:p>
    <w:p>
      <w:pPr>
        <w:jc w:val="center"/>
        <w:ind w:right="-18"/>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113665</wp:posOffset>
            </wp:positionV>
            <wp:extent cx="7287895"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459"/>
          </w:cols>
          <w:pgMar w:left="221" w:top="751" w:right="219" w:bottom="1440" w:gutter="0" w:footer="0" w:header="0"/>
        </w:sectPr>
      </w:pPr>
    </w:p>
    <w:bookmarkStart w:id="31" w:name="page32"/>
    <w:bookmarkEnd w:id="31"/>
    <w:p>
      <w:pPr>
        <w:ind w:right="460"/>
        <w:spacing w:after="0" w:line="294" w:lineRule="auto"/>
        <w:rPr>
          <w:sz w:val="20"/>
          <w:szCs w:val="20"/>
          <w:color w:val="auto"/>
        </w:rPr>
      </w:pPr>
      <w:r>
        <w:rPr>
          <w:rFonts w:ascii="Arial" w:cs="Arial" w:eastAsia="Arial" w:hAnsi="Arial"/>
          <w:sz w:val="13"/>
          <w:szCs w:val="13"/>
          <w:color w:val="auto"/>
        </w:rPr>
        <w:t>director occurring prior to the time of such amendment, modification or repeal or otherwise adversely affect any right or protection of a director of the Corporation existing at the time of such amendment, modification or repeal.</w:t>
      </w:r>
    </w:p>
    <w:p>
      <w:pPr>
        <w:spacing w:after="0" w:line="37" w:lineRule="exact"/>
        <w:rPr>
          <w:sz w:val="20"/>
          <w:szCs w:val="20"/>
          <w:color w:val="auto"/>
        </w:rPr>
      </w:pPr>
    </w:p>
    <w:p>
      <w:pPr>
        <w:ind w:right="60" w:firstLine="168"/>
        <w:spacing w:after="0" w:line="276" w:lineRule="auto"/>
        <w:tabs>
          <w:tab w:leader="none" w:pos="358" w:val="left"/>
        </w:tabs>
        <w:numPr>
          <w:ilvl w:val="0"/>
          <w:numId w:val="40"/>
        </w:numPr>
        <w:rPr>
          <w:rFonts w:ascii="Arial" w:cs="Arial" w:eastAsia="Arial" w:hAnsi="Arial"/>
          <w:sz w:val="13"/>
          <w:szCs w:val="13"/>
          <w:color w:val="auto"/>
        </w:rPr>
      </w:pPr>
      <w:r>
        <w:rPr>
          <w:rFonts w:ascii="Arial" w:cs="Arial" w:eastAsia="Arial" w:hAnsi="Arial"/>
          <w:sz w:val="13"/>
          <w:szCs w:val="13"/>
          <w:color w:val="auto"/>
        </w:rPr>
        <w:t>Notwithstanding any other provision of this Third Restated Certificate of Incorporation or the by-laws of the Corporation (and notwithstanding the fact that a lesser percentage may be specified by law, this Third Restated Certificate of Incorporation or the by-laws of the Corporation), the amendment or repeal of Article VI of this Third Restated Certificate of Incorporation, or the adoption of any provision inconsistent herewith, shall require the approval of the holders of shares representing at least 80% of the outstanding shares of Common Stock.</w:t>
      </w:r>
    </w:p>
    <w:p>
      <w:pPr>
        <w:spacing w:after="0" w:line="48" w:lineRule="exact"/>
        <w:rPr>
          <w:rFonts w:ascii="Arial" w:cs="Arial" w:eastAsia="Arial" w:hAnsi="Arial"/>
          <w:sz w:val="13"/>
          <w:szCs w:val="13"/>
          <w:color w:val="auto"/>
        </w:rPr>
      </w:pPr>
    </w:p>
    <w:p>
      <w:pPr>
        <w:ind w:firstLine="168"/>
        <w:spacing w:after="0" w:line="270" w:lineRule="auto"/>
        <w:tabs>
          <w:tab w:leader="none" w:pos="358" w:val="left"/>
        </w:tabs>
        <w:numPr>
          <w:ilvl w:val="0"/>
          <w:numId w:val="40"/>
        </w:numPr>
        <w:rPr>
          <w:rFonts w:ascii="Arial" w:cs="Arial" w:eastAsia="Arial" w:hAnsi="Arial"/>
          <w:sz w:val="13"/>
          <w:szCs w:val="13"/>
          <w:color w:val="auto"/>
        </w:rPr>
      </w:pPr>
      <w:r>
        <w:rPr>
          <w:rFonts w:ascii="Arial" w:cs="Arial" w:eastAsia="Arial" w:hAnsi="Arial"/>
          <w:sz w:val="13"/>
          <w:szCs w:val="13"/>
          <w:color w:val="auto"/>
        </w:rPr>
        <w:t>For purposes of this Article VI, the term “Continuing Director” shall mean a Director who was a member of the Board of Directors of the Corporation prior to the time the Interested Stockholder in question became an Interested Stockholder and who is not an Affiliate or Associate of such Interested Stockholder and who was not proposed for election as a Director by or on behalf of such Interested Stockholder, and any successor of a Continuing Director who is not an Affiliate or Associate or representative of such Interested Stockholder and is recommended to succeed a Continuing Director by a majority of the Continuing Directors then on the Board of Directors of the Corporation.</w:t>
      </w:r>
    </w:p>
    <w:p>
      <w:pPr>
        <w:spacing w:after="0" w:line="52" w:lineRule="exact"/>
        <w:rPr>
          <w:rFonts w:ascii="Arial" w:cs="Arial" w:eastAsia="Arial" w:hAnsi="Arial"/>
          <w:sz w:val="13"/>
          <w:szCs w:val="13"/>
          <w:color w:val="auto"/>
        </w:rPr>
      </w:pPr>
    </w:p>
    <w:p>
      <w:pPr>
        <w:ind w:right="20" w:firstLine="168"/>
        <w:spacing w:after="0" w:line="265" w:lineRule="auto"/>
        <w:tabs>
          <w:tab w:leader="none" w:pos="358" w:val="left"/>
        </w:tabs>
        <w:numPr>
          <w:ilvl w:val="0"/>
          <w:numId w:val="40"/>
        </w:numPr>
        <w:rPr>
          <w:rFonts w:ascii="Arial" w:cs="Arial" w:eastAsia="Arial" w:hAnsi="Arial"/>
          <w:sz w:val="13"/>
          <w:szCs w:val="13"/>
          <w:color w:val="auto"/>
        </w:rPr>
      </w:pPr>
      <w:r>
        <w:rPr>
          <w:rFonts w:ascii="Arial" w:cs="Arial" w:eastAsia="Arial" w:hAnsi="Arial"/>
          <w:sz w:val="13"/>
          <w:szCs w:val="13"/>
          <w:color w:val="auto"/>
        </w:rPr>
        <w:t>For purposes of this Article VI, the term “Interested Stockholder” shall mean and include any individual, corporation, partnership or other person or entity (other than the Corporation or any of its Subsidiaries or any employee benefit plan of either the Corporation or any of its Subsidiaries or any trustee or fiduciary with respect to any such plan when acting in such capacity) which, together with its “Affiliates” and “Associates” (as defined pursuant to Rule 12b-2 under the Securities Exchange Act of 1934, as such Rule was in effect on March 1, 1985), was the “Beneficial Owner” (as defined pursuant to Rule 13d-3 under such Act, as such Rule was in effect on March 1, 1985), of more than five percent of the outstanding shares of Common Stock, and any Affiliate or Associate of any such individual, corporation, partnership or other person or entity, or which was the Beneficial Owner at any time within the two-year period immediately preceding the time in question of more than five percent of the outstanding Common Stock, and any Affiliate or Associate of any such individual, corporation, partnership or other person or entity.</w:t>
      </w:r>
    </w:p>
    <w:p>
      <w:pPr>
        <w:spacing w:after="0" w:line="57" w:lineRule="exact"/>
        <w:rPr>
          <w:rFonts w:ascii="Arial" w:cs="Arial" w:eastAsia="Arial" w:hAnsi="Arial"/>
          <w:sz w:val="13"/>
          <w:szCs w:val="13"/>
          <w:color w:val="auto"/>
        </w:rPr>
      </w:pPr>
    </w:p>
    <w:p>
      <w:pPr>
        <w:ind w:left="360" w:hanging="192"/>
        <w:spacing w:after="0"/>
        <w:tabs>
          <w:tab w:leader="none" w:pos="360" w:val="left"/>
        </w:tabs>
        <w:numPr>
          <w:ilvl w:val="0"/>
          <w:numId w:val="40"/>
        </w:numPr>
        <w:rPr>
          <w:rFonts w:ascii="Arial" w:cs="Arial" w:eastAsia="Arial" w:hAnsi="Arial"/>
          <w:sz w:val="13"/>
          <w:szCs w:val="13"/>
          <w:color w:val="auto"/>
        </w:rPr>
      </w:pPr>
      <w:r>
        <w:rPr>
          <w:rFonts w:ascii="Arial" w:cs="Arial" w:eastAsia="Arial" w:hAnsi="Arial"/>
          <w:sz w:val="13"/>
          <w:szCs w:val="13"/>
          <w:color w:val="auto"/>
        </w:rPr>
        <w:t>For purposes of this Article VI, the term “Subsidiary” shall mean a corporation with respect to which the Corporation is the Beneficial Owner of the majority of each class of voting securities.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Article VII</w:t>
      </w:r>
    </w:p>
    <w:p>
      <w:pPr>
        <w:spacing w:after="0" w:line="24" w:lineRule="exact"/>
        <w:rPr>
          <w:sz w:val="20"/>
          <w:szCs w:val="20"/>
          <w:color w:val="auto"/>
        </w:rPr>
      </w:pPr>
    </w:p>
    <w:p>
      <w:pPr>
        <w:jc w:val="center"/>
        <w:ind w:right="-59"/>
        <w:spacing w:after="0"/>
        <w:rPr>
          <w:sz w:val="20"/>
          <w:szCs w:val="20"/>
          <w:color w:val="auto"/>
        </w:rPr>
      </w:pPr>
      <w:r>
        <w:rPr>
          <w:rFonts w:ascii="Arial" w:cs="Arial" w:eastAsia="Arial" w:hAnsi="Arial"/>
          <w:sz w:val="13"/>
          <w:szCs w:val="13"/>
          <w:u w:val="single" w:color="auto"/>
          <w:color w:val="auto"/>
        </w:rPr>
        <w:t>By-Laws</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color w:val="auto"/>
        </w:rPr>
        <w:t>The directors of the Corporation shall have the power to adopt, amend or repeal by-laws.</w:t>
      </w:r>
    </w:p>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400"/>
          </w:cols>
          <w:pgMar w:left="220" w:top="733" w:right="279" w:bottom="1440" w:gutter="0" w:footer="0" w:header="0"/>
        </w:sectPr>
      </w:pPr>
    </w:p>
    <w:bookmarkStart w:id="32" w:name="page33"/>
    <w:bookmarkEnd w:id="32"/>
    <w:p>
      <w:pPr>
        <w:jc w:val="center"/>
        <w:spacing w:after="0"/>
        <w:rPr>
          <w:sz w:val="20"/>
          <w:szCs w:val="20"/>
          <w:color w:val="auto"/>
        </w:rPr>
      </w:pPr>
      <w:r>
        <w:rPr>
          <w:rFonts w:ascii="Arial" w:cs="Arial" w:eastAsia="Arial" w:hAnsi="Arial"/>
          <w:sz w:val="13"/>
          <w:szCs w:val="13"/>
          <w:b w:val="1"/>
          <w:bCs w:val="1"/>
          <w:color w:val="auto"/>
        </w:rPr>
        <w:t>Article VIII</w:t>
      </w:r>
    </w:p>
    <w:p>
      <w:pPr>
        <w:spacing w:after="0" w:line="94" w:lineRule="exact"/>
        <w:rPr>
          <w:sz w:val="20"/>
          <w:szCs w:val="20"/>
          <w:color w:val="auto"/>
        </w:rPr>
      </w:pPr>
    </w:p>
    <w:p>
      <w:pPr>
        <w:ind w:left="160"/>
        <w:spacing w:after="0"/>
        <w:rPr>
          <w:sz w:val="20"/>
          <w:szCs w:val="20"/>
          <w:color w:val="auto"/>
        </w:rPr>
      </w:pPr>
      <w:r>
        <w:rPr>
          <w:rFonts w:ascii="Arial" w:cs="Arial" w:eastAsia="Arial" w:hAnsi="Arial"/>
          <w:sz w:val="13"/>
          <w:szCs w:val="13"/>
          <w:color w:val="auto"/>
        </w:rPr>
        <w:t>(Reserved.)</w:t>
      </w:r>
    </w:p>
    <w:p>
      <w:pPr>
        <w:spacing w:after="0" w:line="252" w:lineRule="exact"/>
        <w:rPr>
          <w:sz w:val="20"/>
          <w:szCs w:val="20"/>
          <w:color w:val="auto"/>
        </w:rPr>
      </w:pPr>
    </w:p>
    <w:p>
      <w:pPr>
        <w:ind w:left="5440"/>
        <w:spacing w:after="0"/>
        <w:rPr>
          <w:sz w:val="20"/>
          <w:szCs w:val="20"/>
          <w:color w:val="auto"/>
        </w:rPr>
      </w:pPr>
      <w:r>
        <w:rPr>
          <w:rFonts w:ascii="Arial" w:cs="Arial" w:eastAsia="Arial" w:hAnsi="Arial"/>
          <w:sz w:val="13"/>
          <w:szCs w:val="13"/>
          <w:b w:val="1"/>
          <w:bCs w:val="1"/>
          <w:color w:val="auto"/>
        </w:rPr>
        <w:t>Article IX</w:t>
      </w:r>
    </w:p>
    <w:p>
      <w:pPr>
        <w:spacing w:after="0" w:line="24" w:lineRule="exact"/>
        <w:rPr>
          <w:sz w:val="20"/>
          <w:szCs w:val="20"/>
          <w:color w:val="auto"/>
        </w:rPr>
      </w:pPr>
    </w:p>
    <w:p>
      <w:pPr>
        <w:ind w:left="5400"/>
        <w:spacing w:after="0"/>
        <w:rPr>
          <w:sz w:val="20"/>
          <w:szCs w:val="20"/>
          <w:color w:val="auto"/>
        </w:rPr>
      </w:pPr>
      <w:r>
        <w:rPr>
          <w:rFonts w:ascii="Arial" w:cs="Arial" w:eastAsia="Arial" w:hAnsi="Arial"/>
          <w:sz w:val="13"/>
          <w:szCs w:val="13"/>
          <w:u w:val="single" w:color="auto"/>
          <w:color w:val="auto"/>
        </w:rPr>
        <w:t>Amendment</w:t>
      </w:r>
    </w:p>
    <w:p>
      <w:pPr>
        <w:spacing w:after="0" w:line="82" w:lineRule="exact"/>
        <w:rPr>
          <w:sz w:val="20"/>
          <w:szCs w:val="20"/>
          <w:color w:val="auto"/>
        </w:rPr>
      </w:pPr>
    </w:p>
    <w:p>
      <w:pPr>
        <w:ind w:firstLine="165"/>
        <w:spacing w:after="0" w:line="294" w:lineRule="auto"/>
        <w:rPr>
          <w:sz w:val="20"/>
          <w:szCs w:val="20"/>
          <w:color w:val="auto"/>
        </w:rPr>
      </w:pPr>
      <w:r>
        <w:rPr>
          <w:rFonts w:ascii="Arial" w:cs="Arial" w:eastAsia="Arial" w:hAnsi="Arial"/>
          <w:sz w:val="13"/>
          <w:szCs w:val="13"/>
          <w:color w:val="auto"/>
        </w:rPr>
        <w:t>The Corporation reserves the right to amend, alter, change or repeal any provision of this Third Restated Certificate of Incorporation, in the manner now or hereafter prescribed by law, and all rights conferred on stockholders in this Third Restated Certificate of Incorporation are subject to this reservation.”</w:t>
      </w:r>
    </w:p>
    <w:p>
      <w:pPr>
        <w:spacing w:after="0" w:line="37" w:lineRule="exact"/>
        <w:rPr>
          <w:sz w:val="20"/>
          <w:szCs w:val="20"/>
          <w:color w:val="auto"/>
        </w:rPr>
      </w:pPr>
    </w:p>
    <w:p>
      <w:pPr>
        <w:ind w:right="100" w:firstLine="1"/>
        <w:spacing w:after="0" w:line="294" w:lineRule="auto"/>
        <w:tabs>
          <w:tab w:leader="none" w:pos="134"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This Third Restated Certificate of Incorporation was duly adopted by the unanimous written consent of the sole stockholder in accordance with applicable provisions of Section 228, 242 and 245 of the General Corporation Law of the State of Delaware.</w:t>
      </w:r>
    </w:p>
    <w:p>
      <w:pPr>
        <w:spacing w:after="0" w:line="37" w:lineRule="exact"/>
        <w:rPr>
          <w:sz w:val="20"/>
          <w:szCs w:val="20"/>
          <w:color w:val="auto"/>
        </w:rPr>
      </w:pPr>
    </w:p>
    <w:p>
      <w:pPr>
        <w:ind w:firstLine="168"/>
        <w:spacing w:after="0" w:line="294" w:lineRule="auto"/>
        <w:rPr>
          <w:sz w:val="20"/>
          <w:szCs w:val="20"/>
          <w:color w:val="auto"/>
        </w:rPr>
      </w:pPr>
      <w:r>
        <w:rPr>
          <w:rFonts w:ascii="Arial" w:cs="Arial" w:eastAsia="Arial" w:hAnsi="Arial"/>
          <w:sz w:val="13"/>
          <w:szCs w:val="13"/>
          <w:color w:val="auto"/>
        </w:rPr>
        <w:t>IN WITNESS WHEREOF, WASTE MANAGEMENT HOLDINGS, INC. has caused this Third Restated Certificate of Incorporation to be signed by Linda J. Smith, its Vice President and Secretary, this 5</w:t>
      </w:r>
      <w:r>
        <w:rPr>
          <w:rFonts w:ascii="Arial" w:cs="Arial" w:eastAsia="Arial" w:hAnsi="Arial"/>
          <w:sz w:val="11"/>
          <w:szCs w:val="11"/>
          <w:color w:val="auto"/>
        </w:rPr>
        <w:t>th</w:t>
      </w:r>
      <w:r>
        <w:rPr>
          <w:rFonts w:ascii="Arial" w:cs="Arial" w:eastAsia="Arial" w:hAnsi="Arial"/>
          <w:sz w:val="13"/>
          <w:szCs w:val="13"/>
          <w:color w:val="auto"/>
        </w:rPr>
        <w:t xml:space="preserve"> day of November, 2003.</w:t>
      </w:r>
    </w:p>
    <w:p>
      <w:pPr>
        <w:spacing w:after="0" w:line="116" w:lineRule="exact"/>
        <w:rPr>
          <w:sz w:val="20"/>
          <w:szCs w:val="20"/>
          <w:color w:val="auto"/>
        </w:rPr>
      </w:pPr>
    </w:p>
    <w:p>
      <w:pPr>
        <w:ind w:left="5520"/>
        <w:spacing w:after="0"/>
        <w:rPr>
          <w:sz w:val="20"/>
          <w:szCs w:val="20"/>
          <w:color w:val="auto"/>
        </w:rPr>
      </w:pPr>
      <w:r>
        <w:rPr>
          <w:rFonts w:ascii="Arial" w:cs="Arial" w:eastAsia="Arial" w:hAnsi="Arial"/>
          <w:sz w:val="13"/>
          <w:szCs w:val="13"/>
          <w:b w:val="1"/>
          <w:bCs w:val="1"/>
          <w:color w:val="auto"/>
        </w:rPr>
        <w:t>WASTE MANAGEMENT HOLDINGS, INC.</w:t>
      </w:r>
    </w:p>
    <w:p>
      <w:pPr>
        <w:spacing w:after="0" w:line="175"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Linda J. Smith</w:t>
      </w:r>
    </w:p>
    <w:p>
      <w:pPr>
        <w:spacing w:after="0" w:line="22"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Linda J.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3500120</wp:posOffset>
            </wp:positionH>
            <wp:positionV relativeFrom="paragraph">
              <wp:posOffset>-93980</wp:posOffset>
            </wp:positionV>
            <wp:extent cx="2693670" cy="63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693670" cy="6350"/>
                    </a:xfrm>
                    <a:prstGeom prst="rect">
                      <a:avLst/>
                    </a:prstGeom>
                    <a:noFill/>
                  </pic:spPr>
                </pic:pic>
              </a:graphicData>
            </a:graphic>
          </wp:anchor>
        </w:drawing>
      </w:r>
    </w:p>
    <w:p>
      <w:pPr>
        <w:spacing w:after="0" w:line="2"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Vice President and Secretary</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460"/>
          </w:cols>
          <w:pgMar w:left="220" w:top="751" w:right="219" w:bottom="1440" w:gutter="0" w:footer="0" w:header="0"/>
        </w:sectPr>
      </w:pPr>
    </w:p>
    <w:bookmarkStart w:id="33" w:name="page34"/>
    <w:bookmarkEnd w:id="33"/>
    <w:p>
      <w:pPr>
        <w:jc w:val="right"/>
        <w:spacing w:after="0"/>
        <w:rPr>
          <w:sz w:val="20"/>
          <w:szCs w:val="20"/>
          <w:color w:val="auto"/>
        </w:rPr>
      </w:pPr>
      <w:r>
        <w:rPr>
          <w:rFonts w:ascii="Arial" w:cs="Arial" w:eastAsia="Arial" w:hAnsi="Arial"/>
          <w:sz w:val="13"/>
          <w:szCs w:val="13"/>
          <w:color w:val="auto"/>
        </w:rPr>
        <w:t>Exhibit 3.4</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BY-LAWS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OF</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WASTE MANAGEMENT HOLDINGS,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(hereinafter called the “Corporation”)</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ARTICLE 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OFFICES</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Section 1</w:t>
      </w:r>
      <w:r>
        <w:rPr>
          <w:rFonts w:ascii="Arial" w:cs="Arial" w:eastAsia="Arial" w:hAnsi="Arial"/>
          <w:sz w:val="13"/>
          <w:szCs w:val="13"/>
          <w:color w:val="auto"/>
        </w:rPr>
        <w:t xml:space="preserve">. </w:t>
      </w:r>
      <w:r>
        <w:rPr>
          <w:rFonts w:ascii="Arial" w:cs="Arial" w:eastAsia="Arial" w:hAnsi="Arial"/>
          <w:sz w:val="13"/>
          <w:szCs w:val="13"/>
          <w:u w:val="single" w:color="auto"/>
          <w:color w:val="auto"/>
        </w:rPr>
        <w:t>Registered Office</w:t>
      </w:r>
      <w:r>
        <w:rPr>
          <w:rFonts w:ascii="Arial" w:cs="Arial" w:eastAsia="Arial" w:hAnsi="Arial"/>
          <w:sz w:val="13"/>
          <w:szCs w:val="13"/>
          <w:color w:val="auto"/>
        </w:rPr>
        <w:t>. The registered office of the Corporation shall be shall be c/o CT Corporation, 1209 Orange Street, Wilmington, Delaware.</w:t>
      </w:r>
    </w:p>
    <w:p>
      <w:pPr>
        <w:spacing w:after="0" w:line="92"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Section 2</w:t>
      </w:r>
      <w:r>
        <w:rPr>
          <w:rFonts w:ascii="Arial" w:cs="Arial" w:eastAsia="Arial" w:hAnsi="Arial"/>
          <w:sz w:val="13"/>
          <w:szCs w:val="13"/>
          <w:color w:val="auto"/>
        </w:rPr>
        <w:t xml:space="preserve">. </w:t>
      </w:r>
      <w:r>
        <w:rPr>
          <w:rFonts w:ascii="Arial" w:cs="Arial" w:eastAsia="Arial" w:hAnsi="Arial"/>
          <w:sz w:val="13"/>
          <w:szCs w:val="13"/>
          <w:u w:val="single" w:color="auto"/>
          <w:color w:val="auto"/>
        </w:rPr>
        <w:t>Other Offices</w:t>
      </w:r>
      <w:r>
        <w:rPr>
          <w:rFonts w:ascii="Arial" w:cs="Arial" w:eastAsia="Arial" w:hAnsi="Arial"/>
          <w:sz w:val="13"/>
          <w:szCs w:val="13"/>
          <w:color w:val="auto"/>
        </w:rPr>
        <w:t>. The Corporation may also have offices at such other places both within and without the State of Delaware as the Board of Directors may from time to time determine.</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ARTICLE 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MEETINGS OF STOCKHOLDERS</w:t>
      </w:r>
    </w:p>
    <w:p>
      <w:pPr>
        <w:spacing w:after="0" w:line="82" w:lineRule="exact"/>
        <w:rPr>
          <w:sz w:val="20"/>
          <w:szCs w:val="20"/>
          <w:color w:val="auto"/>
        </w:rPr>
      </w:pPr>
    </w:p>
    <w:p>
      <w:pPr>
        <w:ind w:right="200" w:firstLine="168"/>
        <w:spacing w:after="0" w:line="294" w:lineRule="auto"/>
        <w:rPr>
          <w:sz w:val="20"/>
          <w:szCs w:val="20"/>
          <w:color w:val="auto"/>
        </w:rPr>
      </w:pPr>
      <w:r>
        <w:rPr>
          <w:rFonts w:ascii="Arial" w:cs="Arial" w:eastAsia="Arial" w:hAnsi="Arial"/>
          <w:sz w:val="13"/>
          <w:szCs w:val="13"/>
          <w:u w:val="single" w:color="auto"/>
          <w:color w:val="auto"/>
        </w:rPr>
        <w:t>Section 1</w:t>
      </w:r>
      <w:r>
        <w:rPr>
          <w:rFonts w:ascii="Arial" w:cs="Arial" w:eastAsia="Arial" w:hAnsi="Arial"/>
          <w:sz w:val="13"/>
          <w:szCs w:val="13"/>
          <w:color w:val="auto"/>
        </w:rPr>
        <w:t xml:space="preserve">. </w:t>
      </w:r>
      <w:r>
        <w:rPr>
          <w:rFonts w:ascii="Arial" w:cs="Arial" w:eastAsia="Arial" w:hAnsi="Arial"/>
          <w:sz w:val="13"/>
          <w:szCs w:val="13"/>
          <w:u w:val="single" w:color="auto"/>
          <w:color w:val="auto"/>
        </w:rPr>
        <w:t>Place of Meetings</w:t>
      </w:r>
      <w:r>
        <w:rPr>
          <w:rFonts w:ascii="Arial" w:cs="Arial" w:eastAsia="Arial" w:hAnsi="Arial"/>
          <w:sz w:val="13"/>
          <w:szCs w:val="13"/>
          <w:color w:val="auto"/>
        </w:rPr>
        <w:t>. Meetings of the stockholders for the election of directors or for any other purpose shall be held at such time and place, either within or without the State of Delaware, as shall be designated from time to time by the Board of Directors and stated in the notice of the meeting or in a duly executed waiver of notice thereof.</w:t>
      </w:r>
    </w:p>
    <w:p>
      <w:pPr>
        <w:spacing w:after="0" w:line="37" w:lineRule="exact"/>
        <w:rPr>
          <w:sz w:val="20"/>
          <w:szCs w:val="20"/>
          <w:color w:val="auto"/>
        </w:rPr>
      </w:pPr>
    </w:p>
    <w:p>
      <w:pPr>
        <w:ind w:right="140" w:firstLine="168"/>
        <w:spacing w:after="0" w:line="309" w:lineRule="auto"/>
        <w:rPr>
          <w:sz w:val="20"/>
          <w:szCs w:val="20"/>
          <w:color w:val="auto"/>
        </w:rPr>
      </w:pPr>
      <w:r>
        <w:rPr>
          <w:rFonts w:ascii="Arial" w:cs="Arial" w:eastAsia="Arial" w:hAnsi="Arial"/>
          <w:sz w:val="12"/>
          <w:szCs w:val="12"/>
          <w:u w:val="single" w:color="auto"/>
          <w:color w:val="auto"/>
        </w:rPr>
        <w:t>Section 2</w:t>
      </w:r>
      <w:r>
        <w:rPr>
          <w:rFonts w:ascii="Arial" w:cs="Arial" w:eastAsia="Arial" w:hAnsi="Arial"/>
          <w:sz w:val="12"/>
          <w:szCs w:val="12"/>
          <w:color w:val="auto"/>
        </w:rPr>
        <w:t xml:space="preserve">. </w:t>
      </w:r>
      <w:r>
        <w:rPr>
          <w:rFonts w:ascii="Arial" w:cs="Arial" w:eastAsia="Arial" w:hAnsi="Arial"/>
          <w:sz w:val="12"/>
          <w:szCs w:val="12"/>
          <w:u w:val="single" w:color="auto"/>
          <w:color w:val="auto"/>
        </w:rPr>
        <w:t>Annual Meetings</w:t>
      </w:r>
      <w:r>
        <w:rPr>
          <w:rFonts w:ascii="Arial" w:cs="Arial" w:eastAsia="Arial" w:hAnsi="Arial"/>
          <w:sz w:val="12"/>
          <w:szCs w:val="12"/>
          <w:color w:val="auto"/>
        </w:rPr>
        <w:t>. The annual meetings of stockholders shall be held on such date and at such time as shall be designated from time to time by the Board of Directors and stated in the notice of the meeting, at which meetings the stockholders shall elect directors and transact such other business as may properly be brought before the meeting. Written notice of each annual meeting stating the place, date and hour of the meeting shall be given to each stockholder entitled to vote at such meeting not less than ten (10) nor more than sixty (60) days before the date of the meeting.</w:t>
      </w:r>
    </w:p>
    <w:p>
      <w:pPr>
        <w:spacing w:after="0" w:line="31" w:lineRule="exact"/>
        <w:rPr>
          <w:sz w:val="20"/>
          <w:szCs w:val="20"/>
          <w:color w:val="auto"/>
        </w:rPr>
      </w:pPr>
    </w:p>
    <w:p>
      <w:pPr>
        <w:ind w:firstLine="168"/>
        <w:spacing w:after="0" w:line="338" w:lineRule="auto"/>
        <w:rPr>
          <w:sz w:val="20"/>
          <w:szCs w:val="20"/>
          <w:color w:val="auto"/>
        </w:rPr>
      </w:pPr>
      <w:r>
        <w:rPr>
          <w:rFonts w:ascii="Arial" w:cs="Arial" w:eastAsia="Arial" w:hAnsi="Arial"/>
          <w:sz w:val="12"/>
          <w:szCs w:val="12"/>
          <w:u w:val="single" w:color="auto"/>
          <w:color w:val="auto"/>
        </w:rPr>
        <w:t>Section 3</w:t>
      </w:r>
      <w:r>
        <w:rPr>
          <w:rFonts w:ascii="Arial" w:cs="Arial" w:eastAsia="Arial" w:hAnsi="Arial"/>
          <w:sz w:val="12"/>
          <w:szCs w:val="12"/>
          <w:color w:val="auto"/>
        </w:rPr>
        <w:t xml:space="preserve">. </w:t>
      </w:r>
      <w:r>
        <w:rPr>
          <w:rFonts w:ascii="Arial" w:cs="Arial" w:eastAsia="Arial" w:hAnsi="Arial"/>
          <w:sz w:val="12"/>
          <w:szCs w:val="12"/>
          <w:u w:val="single" w:color="auto"/>
          <w:color w:val="auto"/>
        </w:rPr>
        <w:t>Special Meetings</w:t>
      </w:r>
      <w:r>
        <w:rPr>
          <w:rFonts w:ascii="Arial" w:cs="Arial" w:eastAsia="Arial" w:hAnsi="Arial"/>
          <w:sz w:val="12"/>
          <w:szCs w:val="12"/>
          <w:color w:val="auto"/>
        </w:rPr>
        <w:t>. Special meetings of stockholders may be called by the President or the Board of Directors. Written notice of a special meeting stating the place, date and hour of the meeting and the purpose or purposes for which the meeting is called shall be given not less than ten (10) nor more than sixty (60) days before the date of the meeting to each stockholder entitled to vote at such meeting.</w:t>
      </w:r>
    </w:p>
    <w:p>
      <w:pPr>
        <w:spacing w:after="0" w:line="14" w:lineRule="exact"/>
        <w:rPr>
          <w:sz w:val="20"/>
          <w:szCs w:val="20"/>
          <w:color w:val="auto"/>
        </w:rPr>
      </w:pPr>
    </w:p>
    <w:p>
      <w:pPr>
        <w:ind w:right="20" w:firstLine="168"/>
        <w:spacing w:after="0" w:line="270" w:lineRule="auto"/>
        <w:rPr>
          <w:sz w:val="20"/>
          <w:szCs w:val="20"/>
          <w:color w:val="auto"/>
        </w:rPr>
      </w:pPr>
      <w:r>
        <w:rPr>
          <w:rFonts w:ascii="Arial" w:cs="Arial" w:eastAsia="Arial" w:hAnsi="Arial"/>
          <w:sz w:val="13"/>
          <w:szCs w:val="13"/>
          <w:u w:val="single" w:color="auto"/>
          <w:color w:val="auto"/>
        </w:rPr>
        <w:t>Section 4</w:t>
      </w:r>
      <w:r>
        <w:rPr>
          <w:rFonts w:ascii="Arial" w:cs="Arial" w:eastAsia="Arial" w:hAnsi="Arial"/>
          <w:sz w:val="13"/>
          <w:szCs w:val="13"/>
          <w:color w:val="auto"/>
        </w:rPr>
        <w:t xml:space="preserve">. </w:t>
      </w:r>
      <w:r>
        <w:rPr>
          <w:rFonts w:ascii="Arial" w:cs="Arial" w:eastAsia="Arial" w:hAnsi="Arial"/>
          <w:sz w:val="13"/>
          <w:szCs w:val="13"/>
          <w:u w:val="single" w:color="auto"/>
          <w:color w:val="auto"/>
        </w:rPr>
        <w:t>Quorum</w:t>
      </w:r>
      <w:r>
        <w:rPr>
          <w:rFonts w:ascii="Arial" w:cs="Arial" w:eastAsia="Arial" w:hAnsi="Arial"/>
          <w:sz w:val="13"/>
          <w:szCs w:val="13"/>
          <w:color w:val="auto"/>
        </w:rPr>
        <w:t>. Except as otherwise provided by law or by the Certificate of Incorporation, the holders of a majority of the capital stock issued and outstanding and entitled to vote thereat, present in person or represented by proxy, shall constitute a quorum at all meetings of the stockholders for the transaction of business. If, however, such quorum shall not be present or represented at any meeting of the stockholders, the stockholders entitled to vote thereat, present in person or represented by proxy, shall have power to adjourn the meeting from time to time, without notice other than announcement at the meeting, until a quorum shall be present or represented. At such adjourned meeting at which a quorum shall be present or represented, any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sectPr>
      </w:pPr>
    </w:p>
    <w:bookmarkStart w:id="34" w:name="page35"/>
    <w:bookmarkEnd w:id="34"/>
    <w:p>
      <w:pPr>
        <w:ind w:right="120"/>
        <w:spacing w:after="0" w:line="294" w:lineRule="auto"/>
        <w:rPr>
          <w:sz w:val="20"/>
          <w:szCs w:val="20"/>
          <w:color w:val="auto"/>
        </w:rPr>
      </w:pPr>
      <w:r>
        <w:rPr>
          <w:rFonts w:ascii="Arial" w:cs="Arial" w:eastAsia="Arial" w:hAnsi="Arial"/>
          <w:sz w:val="13"/>
          <w:szCs w:val="13"/>
          <w:color w:val="auto"/>
        </w:rPr>
        <w:t>business may be transacted which might have been transacted at the meeting as originally noticed. If the adjournment is for more than thirty (30) days, or if after the adjournment a new record date is fixed for the adjourned meeting, a notice of the adjourned meeting shall be given to each stockholder entitled to vote at the meeting.</w:t>
      </w:r>
    </w:p>
    <w:p>
      <w:pPr>
        <w:spacing w:after="0" w:line="37" w:lineRule="exact"/>
        <w:rPr>
          <w:sz w:val="20"/>
          <w:szCs w:val="20"/>
          <w:color w:val="auto"/>
        </w:rPr>
      </w:pPr>
    </w:p>
    <w:p>
      <w:pPr>
        <w:ind w:firstLine="168"/>
        <w:spacing w:after="0" w:line="299" w:lineRule="auto"/>
        <w:rPr>
          <w:sz w:val="20"/>
          <w:szCs w:val="20"/>
          <w:color w:val="auto"/>
        </w:rPr>
      </w:pPr>
      <w:r>
        <w:rPr>
          <w:rFonts w:ascii="Arial" w:cs="Arial" w:eastAsia="Arial" w:hAnsi="Arial"/>
          <w:sz w:val="12"/>
          <w:szCs w:val="12"/>
          <w:u w:val="single" w:color="auto"/>
          <w:color w:val="auto"/>
        </w:rPr>
        <w:t>Section 5</w:t>
      </w:r>
      <w:r>
        <w:rPr>
          <w:rFonts w:ascii="Arial" w:cs="Arial" w:eastAsia="Arial" w:hAnsi="Arial"/>
          <w:sz w:val="12"/>
          <w:szCs w:val="12"/>
          <w:color w:val="auto"/>
        </w:rPr>
        <w:t xml:space="preserve">. </w:t>
      </w:r>
      <w:r>
        <w:rPr>
          <w:rFonts w:ascii="Arial" w:cs="Arial" w:eastAsia="Arial" w:hAnsi="Arial"/>
          <w:sz w:val="12"/>
          <w:szCs w:val="12"/>
          <w:u w:val="single" w:color="auto"/>
          <w:color w:val="auto"/>
        </w:rPr>
        <w:t>Voting</w:t>
      </w:r>
      <w:r>
        <w:rPr>
          <w:rFonts w:ascii="Arial" w:cs="Arial" w:eastAsia="Arial" w:hAnsi="Arial"/>
          <w:sz w:val="12"/>
          <w:szCs w:val="12"/>
          <w:color w:val="auto"/>
        </w:rPr>
        <w:t>. Unless otherwise required by law, the Certificate of Incorporation or these By-laws, (i) any question brought before any meeting of stockholders shall be decided by the vote of the holders of a majority of the stock represented and entitled to vote thereat and (ii) each stockholder represented at a meeting of stockholders shall be entitled to cast one vote for each share of the capital stock entitled to vote thereat held by such stockholder. Such votes may be cast in person or by proxy but no proxy shall be voted on or after three (3) years from its date, unless such proxy provides for a longer period. The Board of Directors, in its discretion, or the officer of the Corporation presiding at a meeting of stockholders, in his discretion, may require that any votes cast at such meeting shall be cast by written ballot.</w:t>
      </w:r>
    </w:p>
    <w:p>
      <w:pPr>
        <w:spacing w:after="0" w:line="38" w:lineRule="exact"/>
        <w:rPr>
          <w:sz w:val="20"/>
          <w:szCs w:val="20"/>
          <w:color w:val="auto"/>
        </w:rPr>
      </w:pPr>
    </w:p>
    <w:p>
      <w:pPr>
        <w:ind w:right="20" w:firstLine="168"/>
        <w:spacing w:after="0" w:line="295" w:lineRule="auto"/>
        <w:rPr>
          <w:sz w:val="20"/>
          <w:szCs w:val="20"/>
          <w:color w:val="auto"/>
        </w:rPr>
      </w:pPr>
      <w:r>
        <w:rPr>
          <w:rFonts w:ascii="Arial" w:cs="Arial" w:eastAsia="Arial" w:hAnsi="Arial"/>
          <w:sz w:val="12"/>
          <w:szCs w:val="12"/>
          <w:u w:val="single" w:color="auto"/>
          <w:color w:val="auto"/>
        </w:rPr>
        <w:t>Section 6</w:t>
      </w:r>
      <w:r>
        <w:rPr>
          <w:rFonts w:ascii="Arial" w:cs="Arial" w:eastAsia="Arial" w:hAnsi="Arial"/>
          <w:sz w:val="12"/>
          <w:szCs w:val="12"/>
          <w:color w:val="auto"/>
        </w:rPr>
        <w:t xml:space="preserve">. </w:t>
      </w:r>
      <w:r>
        <w:rPr>
          <w:rFonts w:ascii="Arial" w:cs="Arial" w:eastAsia="Arial" w:hAnsi="Arial"/>
          <w:sz w:val="12"/>
          <w:szCs w:val="12"/>
          <w:u w:val="single" w:color="auto"/>
          <w:color w:val="auto"/>
        </w:rPr>
        <w:t>List of Stockholders Entitled to Vote</w:t>
      </w:r>
      <w:r>
        <w:rPr>
          <w:rFonts w:ascii="Arial" w:cs="Arial" w:eastAsia="Arial" w:hAnsi="Arial"/>
          <w:sz w:val="12"/>
          <w:szCs w:val="12"/>
          <w:color w:val="auto"/>
        </w:rPr>
        <w:t>. The officer of the Corporation who has charge of the stock ledger of the Corporation shall prepare and make, at least ten (10) days before every meeting of stockholders, a complete list of the stockholders entitled to vote at the meeting, arranged in alphabetical order, and showing the address of each stockholders and the number of shares registered in the name of each stockholder. Such list shall be open to the examination of any stockholder, for any purpose germane to the meeting, during ordinary business hours, for a period of at least ten (10) days prior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stockholder of the Corporation who is present.</w:t>
      </w:r>
    </w:p>
    <w:p>
      <w:pPr>
        <w:spacing w:after="0" w:line="39" w:lineRule="exact"/>
        <w:rPr>
          <w:sz w:val="20"/>
          <w:szCs w:val="20"/>
          <w:color w:val="auto"/>
        </w:rPr>
      </w:pPr>
    </w:p>
    <w:p>
      <w:pPr>
        <w:ind w:right="120" w:firstLine="168"/>
        <w:spacing w:after="0" w:line="294" w:lineRule="auto"/>
        <w:rPr>
          <w:sz w:val="20"/>
          <w:szCs w:val="20"/>
          <w:color w:val="auto"/>
        </w:rPr>
      </w:pPr>
      <w:r>
        <w:rPr>
          <w:rFonts w:ascii="Arial" w:cs="Arial" w:eastAsia="Arial" w:hAnsi="Arial"/>
          <w:sz w:val="13"/>
          <w:szCs w:val="13"/>
          <w:u w:val="single" w:color="auto"/>
          <w:color w:val="auto"/>
        </w:rPr>
        <w:t>Section 7</w:t>
      </w:r>
      <w:r>
        <w:rPr>
          <w:rFonts w:ascii="Arial" w:cs="Arial" w:eastAsia="Arial" w:hAnsi="Arial"/>
          <w:sz w:val="13"/>
          <w:szCs w:val="13"/>
          <w:color w:val="auto"/>
        </w:rPr>
        <w:t xml:space="preserve">. </w:t>
      </w:r>
      <w:r>
        <w:rPr>
          <w:rFonts w:ascii="Arial" w:cs="Arial" w:eastAsia="Arial" w:hAnsi="Arial"/>
          <w:sz w:val="13"/>
          <w:szCs w:val="13"/>
          <w:u w:val="single" w:color="auto"/>
          <w:color w:val="auto"/>
        </w:rPr>
        <w:t>Stock Ledger</w:t>
      </w:r>
      <w:r>
        <w:rPr>
          <w:rFonts w:ascii="Arial" w:cs="Arial" w:eastAsia="Arial" w:hAnsi="Arial"/>
          <w:sz w:val="13"/>
          <w:szCs w:val="13"/>
          <w:color w:val="auto"/>
        </w:rPr>
        <w:t>. The stock ledger of the Corporation shall be the only evidence as to who are the stockholders entitled to examine the stock ledger, the list required by Section 6 of this Article II or the books of the Corporation, or to vote in person or by proxy at any meeting of stockholders.</w:t>
      </w:r>
    </w:p>
    <w:p>
      <w:pPr>
        <w:spacing w:after="0" w:line="198" w:lineRule="exact"/>
        <w:rPr>
          <w:sz w:val="20"/>
          <w:szCs w:val="20"/>
          <w:color w:val="auto"/>
        </w:rPr>
      </w:pPr>
    </w:p>
    <w:p>
      <w:pPr>
        <w:ind w:left="5380"/>
        <w:spacing w:after="0"/>
        <w:rPr>
          <w:sz w:val="20"/>
          <w:szCs w:val="20"/>
          <w:color w:val="auto"/>
        </w:rPr>
      </w:pPr>
      <w:r>
        <w:rPr>
          <w:rFonts w:ascii="Arial" w:cs="Arial" w:eastAsia="Arial" w:hAnsi="Arial"/>
          <w:sz w:val="13"/>
          <w:szCs w:val="13"/>
          <w:color w:val="auto"/>
        </w:rPr>
        <w:t>ARTICLE III</w:t>
      </w:r>
    </w:p>
    <w:p>
      <w:pPr>
        <w:spacing w:after="0" w:line="22" w:lineRule="exact"/>
        <w:rPr>
          <w:sz w:val="20"/>
          <w:szCs w:val="20"/>
          <w:color w:val="auto"/>
        </w:rPr>
      </w:pPr>
    </w:p>
    <w:p>
      <w:pPr>
        <w:ind w:left="5360"/>
        <w:spacing w:after="0"/>
        <w:rPr>
          <w:sz w:val="20"/>
          <w:szCs w:val="20"/>
          <w:color w:val="auto"/>
        </w:rPr>
      </w:pPr>
      <w:r>
        <w:rPr>
          <w:rFonts w:ascii="Arial" w:cs="Arial" w:eastAsia="Arial" w:hAnsi="Arial"/>
          <w:sz w:val="13"/>
          <w:szCs w:val="13"/>
          <w:u w:val="single" w:color="auto"/>
          <w:color w:val="auto"/>
        </w:rPr>
        <w:t>DIRECTORS</w:t>
      </w:r>
    </w:p>
    <w:p>
      <w:pPr>
        <w:spacing w:after="0" w:line="82" w:lineRule="exact"/>
        <w:rPr>
          <w:sz w:val="20"/>
          <w:szCs w:val="20"/>
          <w:color w:val="auto"/>
        </w:rPr>
      </w:pPr>
    </w:p>
    <w:p>
      <w:pPr>
        <w:ind w:right="40" w:firstLine="168"/>
        <w:spacing w:after="0" w:line="309" w:lineRule="auto"/>
        <w:rPr>
          <w:sz w:val="20"/>
          <w:szCs w:val="20"/>
          <w:color w:val="auto"/>
        </w:rPr>
      </w:pPr>
      <w:r>
        <w:rPr>
          <w:rFonts w:ascii="Arial" w:cs="Arial" w:eastAsia="Arial" w:hAnsi="Arial"/>
          <w:sz w:val="12"/>
          <w:szCs w:val="12"/>
          <w:u w:val="single" w:color="auto"/>
          <w:color w:val="auto"/>
        </w:rPr>
        <w:t>Section 1</w:t>
      </w:r>
      <w:r>
        <w:rPr>
          <w:rFonts w:ascii="Arial" w:cs="Arial" w:eastAsia="Arial" w:hAnsi="Arial"/>
          <w:sz w:val="12"/>
          <w:szCs w:val="12"/>
          <w:color w:val="auto"/>
        </w:rPr>
        <w:t xml:space="preserve">. </w:t>
      </w:r>
      <w:r>
        <w:rPr>
          <w:rFonts w:ascii="Arial" w:cs="Arial" w:eastAsia="Arial" w:hAnsi="Arial"/>
          <w:sz w:val="12"/>
          <w:szCs w:val="12"/>
          <w:u w:val="single" w:color="auto"/>
          <w:color w:val="auto"/>
        </w:rPr>
        <w:t>Number and Election of Directors</w:t>
      </w:r>
      <w:r>
        <w:rPr>
          <w:rFonts w:ascii="Arial" w:cs="Arial" w:eastAsia="Arial" w:hAnsi="Arial"/>
          <w:sz w:val="12"/>
          <w:szCs w:val="12"/>
          <w:color w:val="auto"/>
        </w:rPr>
        <w:t>. The business and affairs of the Corporation shall be managed by or under the direction of a Board of Directors consisting of not less than one director, the exact number of directors to be determined from time to time by resolution adopted by the affirmative vote of a majority of the directors then in office. At each annual meeting of stockholders beginning with the first, successor directors shall be elected. Each director shall hold office until the ensuing meeting and until such director’s successor is elected and qualified or until such director’s earlier death, resignation, or removal.</w:t>
      </w:r>
    </w:p>
    <w:p>
      <w:pPr>
        <w:spacing w:after="0" w:line="3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Directors of the Corporation may be removed, with or without cause, by the holders of a majority of the shares then entitled to vote at an election of directors.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460"/>
          </w:cols>
          <w:pgMar w:left="220" w:top="733" w:right="219" w:bottom="1440" w:gutter="0" w:footer="0" w:header="0"/>
        </w:sectPr>
      </w:pPr>
    </w:p>
    <w:bookmarkStart w:id="35" w:name="page36"/>
    <w:bookmarkEnd w:id="35"/>
    <w:p>
      <w:pPr>
        <w:ind w:right="80" w:firstLine="168"/>
        <w:spacing w:after="0" w:line="338" w:lineRule="auto"/>
        <w:rPr>
          <w:sz w:val="20"/>
          <w:szCs w:val="20"/>
          <w:color w:val="auto"/>
        </w:rPr>
      </w:pPr>
      <w:r>
        <w:rPr>
          <w:rFonts w:ascii="Arial" w:cs="Arial" w:eastAsia="Arial" w:hAnsi="Arial"/>
          <w:sz w:val="12"/>
          <w:szCs w:val="12"/>
          <w:u w:val="single" w:color="auto"/>
          <w:color w:val="auto"/>
        </w:rPr>
        <w:t>Section 2</w:t>
      </w:r>
      <w:r>
        <w:rPr>
          <w:rFonts w:ascii="Arial" w:cs="Arial" w:eastAsia="Arial" w:hAnsi="Arial"/>
          <w:sz w:val="12"/>
          <w:szCs w:val="12"/>
          <w:color w:val="auto"/>
        </w:rPr>
        <w:t xml:space="preserve">. </w:t>
      </w:r>
      <w:r>
        <w:rPr>
          <w:rFonts w:ascii="Arial" w:cs="Arial" w:eastAsia="Arial" w:hAnsi="Arial"/>
          <w:sz w:val="12"/>
          <w:szCs w:val="12"/>
          <w:u w:val="single" w:color="auto"/>
          <w:color w:val="auto"/>
        </w:rPr>
        <w:t>Vacancies</w:t>
      </w:r>
      <w:r>
        <w:rPr>
          <w:rFonts w:ascii="Arial" w:cs="Arial" w:eastAsia="Arial" w:hAnsi="Arial"/>
          <w:sz w:val="12"/>
          <w:szCs w:val="12"/>
          <w:color w:val="auto"/>
        </w:rPr>
        <w:t>. Any vacancy on the Board of Directors that results from an increase in the number of directors may be filled by a majority of the Board of Directors then in office, provided that a quorum is present, and any other vacancy occurring in the Board of Directors may be filled by a majority of the directors then in office, even if less than a quorum, or by a sole remaining director.</w:t>
      </w:r>
    </w:p>
    <w:p>
      <w:pPr>
        <w:spacing w:after="0" w:line="14" w:lineRule="exact"/>
        <w:rPr>
          <w:sz w:val="20"/>
          <w:szCs w:val="20"/>
          <w:color w:val="auto"/>
        </w:rPr>
      </w:pPr>
    </w:p>
    <w:p>
      <w:pPr>
        <w:ind w:right="340" w:firstLine="168"/>
        <w:spacing w:after="0" w:line="338" w:lineRule="auto"/>
        <w:rPr>
          <w:sz w:val="20"/>
          <w:szCs w:val="20"/>
          <w:color w:val="auto"/>
        </w:rPr>
      </w:pPr>
      <w:r>
        <w:rPr>
          <w:rFonts w:ascii="Arial" w:cs="Arial" w:eastAsia="Arial" w:hAnsi="Arial"/>
          <w:sz w:val="12"/>
          <w:szCs w:val="12"/>
          <w:u w:val="single" w:color="auto"/>
          <w:color w:val="auto"/>
        </w:rPr>
        <w:t>Section 3</w:t>
      </w:r>
      <w:r>
        <w:rPr>
          <w:rFonts w:ascii="Arial" w:cs="Arial" w:eastAsia="Arial" w:hAnsi="Arial"/>
          <w:sz w:val="12"/>
          <w:szCs w:val="12"/>
          <w:color w:val="auto"/>
        </w:rPr>
        <w:t xml:space="preserve">. </w:t>
      </w:r>
      <w:r>
        <w:rPr>
          <w:rFonts w:ascii="Arial" w:cs="Arial" w:eastAsia="Arial" w:hAnsi="Arial"/>
          <w:sz w:val="12"/>
          <w:szCs w:val="12"/>
          <w:u w:val="single" w:color="auto"/>
          <w:color w:val="auto"/>
        </w:rPr>
        <w:t>Duties and Powers</w:t>
      </w:r>
      <w:r>
        <w:rPr>
          <w:rFonts w:ascii="Arial" w:cs="Arial" w:eastAsia="Arial" w:hAnsi="Arial"/>
          <w:sz w:val="12"/>
          <w:szCs w:val="12"/>
          <w:color w:val="auto"/>
        </w:rPr>
        <w:t>. The business of the Corporation shall be managed by or under the direction of the Board of Directors, which may exercise all such powers of the Corporation and do all such lawful acts and things as are not by statute or by the Corporation’s Certificate of Incorporation or by these By-laws directed or required to be exercised or done by the stockholders.</w:t>
      </w:r>
    </w:p>
    <w:p>
      <w:pPr>
        <w:spacing w:after="0" w:line="14" w:lineRule="exact"/>
        <w:rPr>
          <w:sz w:val="20"/>
          <w:szCs w:val="20"/>
          <w:color w:val="auto"/>
        </w:rPr>
      </w:pPr>
    </w:p>
    <w:p>
      <w:pPr>
        <w:ind w:firstLine="168"/>
        <w:spacing w:after="0" w:line="299" w:lineRule="auto"/>
        <w:rPr>
          <w:sz w:val="20"/>
          <w:szCs w:val="20"/>
          <w:color w:val="auto"/>
        </w:rPr>
      </w:pPr>
      <w:r>
        <w:rPr>
          <w:rFonts w:ascii="Arial" w:cs="Arial" w:eastAsia="Arial" w:hAnsi="Arial"/>
          <w:sz w:val="12"/>
          <w:szCs w:val="12"/>
          <w:u w:val="single" w:color="auto"/>
          <w:color w:val="auto"/>
        </w:rPr>
        <w:t>Section 4</w:t>
      </w:r>
      <w:r>
        <w:rPr>
          <w:rFonts w:ascii="Arial" w:cs="Arial" w:eastAsia="Arial" w:hAnsi="Arial"/>
          <w:sz w:val="12"/>
          <w:szCs w:val="12"/>
          <w:color w:val="auto"/>
        </w:rPr>
        <w:t xml:space="preserve">. </w:t>
      </w:r>
      <w:r>
        <w:rPr>
          <w:rFonts w:ascii="Arial" w:cs="Arial" w:eastAsia="Arial" w:hAnsi="Arial"/>
          <w:sz w:val="12"/>
          <w:szCs w:val="12"/>
          <w:u w:val="single" w:color="auto"/>
          <w:color w:val="auto"/>
        </w:rPr>
        <w:t>Meetings</w:t>
      </w:r>
      <w:r>
        <w:rPr>
          <w:rFonts w:ascii="Arial" w:cs="Arial" w:eastAsia="Arial" w:hAnsi="Arial"/>
          <w:sz w:val="12"/>
          <w:szCs w:val="12"/>
          <w:color w:val="auto"/>
        </w:rPr>
        <w:t>. The Board of Directors of the Corporation may hold meetings, both regular and special, either within or without the State of Delaware. Regular meetings of the Board of Directors may be held without notice at such time and at such place as may from time to time be determined by the Board of Directors. Special meetings of the Board of Directors may be called by the President or any two directors. Notice thereof stating the place, date and hour of the meeting shall be given to each director either by mail not less than forty-eight (48) hours before the time of the meeting, by telephone, electronic facsimile or telegram not less than twenty-four (24) hours before the time of the meeting, or on such shorter notice as the person or persons calling such meeting may deem necessary or appropriate in the circumstances.</w:t>
      </w:r>
    </w:p>
    <w:p>
      <w:pPr>
        <w:spacing w:after="0" w:line="38" w:lineRule="exact"/>
        <w:rPr>
          <w:sz w:val="20"/>
          <w:szCs w:val="20"/>
          <w:color w:val="auto"/>
        </w:rPr>
      </w:pPr>
    </w:p>
    <w:p>
      <w:pPr>
        <w:ind w:right="20" w:firstLine="168"/>
        <w:spacing w:after="0" w:line="270" w:lineRule="auto"/>
        <w:rPr>
          <w:sz w:val="20"/>
          <w:szCs w:val="20"/>
          <w:color w:val="auto"/>
        </w:rPr>
      </w:pPr>
      <w:r>
        <w:rPr>
          <w:rFonts w:ascii="Arial" w:cs="Arial" w:eastAsia="Arial" w:hAnsi="Arial"/>
          <w:sz w:val="13"/>
          <w:szCs w:val="13"/>
          <w:u w:val="single" w:color="auto"/>
          <w:color w:val="auto"/>
        </w:rPr>
        <w:t>Section 5</w:t>
      </w:r>
      <w:r>
        <w:rPr>
          <w:rFonts w:ascii="Arial" w:cs="Arial" w:eastAsia="Arial" w:hAnsi="Arial"/>
          <w:sz w:val="13"/>
          <w:szCs w:val="13"/>
          <w:color w:val="auto"/>
        </w:rPr>
        <w:t xml:space="preserve">. </w:t>
      </w:r>
      <w:r>
        <w:rPr>
          <w:rFonts w:ascii="Arial" w:cs="Arial" w:eastAsia="Arial" w:hAnsi="Arial"/>
          <w:sz w:val="13"/>
          <w:szCs w:val="13"/>
          <w:u w:val="single" w:color="auto"/>
          <w:color w:val="auto"/>
        </w:rPr>
        <w:t>Quorum</w:t>
      </w:r>
      <w:r>
        <w:rPr>
          <w:rFonts w:ascii="Arial" w:cs="Arial" w:eastAsia="Arial" w:hAnsi="Arial"/>
          <w:sz w:val="13"/>
          <w:szCs w:val="13"/>
          <w:color w:val="auto"/>
        </w:rPr>
        <w:t>. Except as may be otherwise specifically provided by law, the Corporation’s Certificate of Incorporation or these By-laws, at all meetings of the Board of Directors, a majority of the entire Board of Directors shall constitute a quorum for the transaction of business, and the act of a majority of the directors present at any meeting at which there is a quorum shall be the act of the Board of Directors. If a quorum shall not be present at any meeting of the Board of Directors, the directors present thereat may adjourn the meeting from time to time, without notice other than announcement at the meeting, until a quorum shall be present.</w:t>
      </w:r>
    </w:p>
    <w:p>
      <w:pPr>
        <w:spacing w:after="0" w:line="53" w:lineRule="exact"/>
        <w:rPr>
          <w:sz w:val="20"/>
          <w:szCs w:val="20"/>
          <w:color w:val="auto"/>
        </w:rPr>
      </w:pPr>
    </w:p>
    <w:p>
      <w:pPr>
        <w:jc w:val="both"/>
        <w:ind w:right="80" w:firstLine="168"/>
        <w:spacing w:after="0" w:line="276" w:lineRule="auto"/>
        <w:rPr>
          <w:sz w:val="20"/>
          <w:szCs w:val="20"/>
          <w:color w:val="auto"/>
        </w:rPr>
      </w:pPr>
      <w:r>
        <w:rPr>
          <w:rFonts w:ascii="Arial" w:cs="Arial" w:eastAsia="Arial" w:hAnsi="Arial"/>
          <w:sz w:val="13"/>
          <w:szCs w:val="13"/>
          <w:u w:val="single" w:color="auto"/>
          <w:color w:val="auto"/>
        </w:rPr>
        <w:t>Section 6</w:t>
      </w:r>
      <w:r>
        <w:rPr>
          <w:rFonts w:ascii="Arial" w:cs="Arial" w:eastAsia="Arial" w:hAnsi="Arial"/>
          <w:sz w:val="13"/>
          <w:szCs w:val="13"/>
          <w:color w:val="auto"/>
        </w:rPr>
        <w:t xml:space="preserve">. </w:t>
      </w:r>
      <w:r>
        <w:rPr>
          <w:rFonts w:ascii="Arial" w:cs="Arial" w:eastAsia="Arial" w:hAnsi="Arial"/>
          <w:sz w:val="13"/>
          <w:szCs w:val="13"/>
          <w:u w:val="single" w:color="auto"/>
          <w:color w:val="auto"/>
        </w:rPr>
        <w:t>Actions of Board</w:t>
      </w:r>
      <w:r>
        <w:rPr>
          <w:rFonts w:ascii="Arial" w:cs="Arial" w:eastAsia="Arial" w:hAnsi="Arial"/>
          <w:sz w:val="13"/>
          <w:szCs w:val="13"/>
          <w:color w:val="auto"/>
        </w:rPr>
        <w:t>. Unless otherwise provided by the Corporation’s Certificate of Incorporation or these By-laws, any action required or permitted to be taken at any meeting of the Board of Directors or of any committee thereof may be taken without a meeting, if all the members of the Board of Directors or committee, as the case may be, consent thereto in writing, and the writing or writings are filed with the minutes of proceedings of the Board of Directors or committee.</w:t>
      </w:r>
    </w:p>
    <w:p>
      <w:pPr>
        <w:spacing w:after="0" w:line="49" w:lineRule="exact"/>
        <w:rPr>
          <w:sz w:val="20"/>
          <w:szCs w:val="20"/>
          <w:color w:val="auto"/>
        </w:rPr>
      </w:pPr>
    </w:p>
    <w:p>
      <w:pPr>
        <w:jc w:val="both"/>
        <w:ind w:right="40" w:firstLine="168"/>
        <w:spacing w:after="0" w:line="309" w:lineRule="auto"/>
        <w:rPr>
          <w:sz w:val="20"/>
          <w:szCs w:val="20"/>
          <w:color w:val="auto"/>
        </w:rPr>
      </w:pPr>
      <w:r>
        <w:rPr>
          <w:rFonts w:ascii="Arial" w:cs="Arial" w:eastAsia="Arial" w:hAnsi="Arial"/>
          <w:sz w:val="12"/>
          <w:szCs w:val="12"/>
          <w:u w:val="single" w:color="auto"/>
          <w:color w:val="auto"/>
        </w:rPr>
        <w:t>Section 7</w:t>
      </w:r>
      <w:r>
        <w:rPr>
          <w:rFonts w:ascii="Arial" w:cs="Arial" w:eastAsia="Arial" w:hAnsi="Arial"/>
          <w:sz w:val="12"/>
          <w:szCs w:val="12"/>
          <w:color w:val="auto"/>
        </w:rPr>
        <w:t xml:space="preserve">. </w:t>
      </w:r>
      <w:r>
        <w:rPr>
          <w:rFonts w:ascii="Arial" w:cs="Arial" w:eastAsia="Arial" w:hAnsi="Arial"/>
          <w:sz w:val="12"/>
          <w:szCs w:val="12"/>
          <w:u w:val="single" w:color="auto"/>
          <w:color w:val="auto"/>
        </w:rPr>
        <w:t>Meetings by Means of Conference Telephone</w:t>
      </w:r>
      <w:r>
        <w:rPr>
          <w:rFonts w:ascii="Arial" w:cs="Arial" w:eastAsia="Arial" w:hAnsi="Arial"/>
          <w:sz w:val="12"/>
          <w:szCs w:val="12"/>
          <w:color w:val="auto"/>
        </w:rPr>
        <w:t>. Unless otherwise provided by the Corporation’s Certificate of Incorporation or these By-laws, members of the Board of Directors of the Corporation, or any committee designated by the Board of Directors, may participate in a meeting of the Board of Directors or such committee by means of a conference telephone or similar communications equipment by means of which all persons participating in the meeting can hear each other, and participation in a meeting pursuant to this Section 7 of this Article III shall constitute presence in person at such meeting.</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460"/>
          </w:cols>
          <w:pgMar w:left="220" w:top="733" w:right="219" w:bottom="1440" w:gutter="0" w:footer="0" w:header="0"/>
        </w:sectPr>
      </w:pPr>
    </w:p>
    <w:bookmarkStart w:id="36" w:name="page37"/>
    <w:bookmarkEnd w:id="36"/>
    <w:p>
      <w:pPr>
        <w:ind w:right="60" w:firstLine="168"/>
        <w:spacing w:after="0" w:line="292" w:lineRule="auto"/>
        <w:rPr>
          <w:sz w:val="20"/>
          <w:szCs w:val="20"/>
          <w:color w:val="auto"/>
        </w:rPr>
      </w:pPr>
      <w:r>
        <w:rPr>
          <w:rFonts w:ascii="Arial" w:cs="Arial" w:eastAsia="Arial" w:hAnsi="Arial"/>
          <w:sz w:val="12"/>
          <w:szCs w:val="12"/>
          <w:u w:val="single" w:color="auto"/>
          <w:color w:val="auto"/>
        </w:rPr>
        <w:t>Section 8</w:t>
      </w:r>
      <w:r>
        <w:rPr>
          <w:rFonts w:ascii="Arial" w:cs="Arial" w:eastAsia="Arial" w:hAnsi="Arial"/>
          <w:sz w:val="12"/>
          <w:szCs w:val="12"/>
          <w:color w:val="auto"/>
        </w:rPr>
        <w:t xml:space="preserve">. </w:t>
      </w:r>
      <w:r>
        <w:rPr>
          <w:rFonts w:ascii="Arial" w:cs="Arial" w:eastAsia="Arial" w:hAnsi="Arial"/>
          <w:sz w:val="12"/>
          <w:szCs w:val="12"/>
          <w:u w:val="single" w:color="auto"/>
          <w:color w:val="auto"/>
        </w:rPr>
        <w:t>Committees</w:t>
      </w:r>
      <w:r>
        <w:rPr>
          <w:rFonts w:ascii="Arial" w:cs="Arial" w:eastAsia="Arial" w:hAnsi="Arial"/>
          <w:sz w:val="12"/>
          <w:szCs w:val="12"/>
          <w:color w:val="auto"/>
        </w:rPr>
        <w:t>. The Board of Directors may, by resolution passed by a majority of the entire Board of Directors, designate one or more committees, each committee to consist of one or more of the directors of the Corporation. The Board of Directors may designate one or more directors as alternate members of any committee, who may replace any absent or disqualified member at any meeting of any such committee. In the absence or disqualification of a member of a committee, and in the absence of a designation by the Board of Directors of an alternate member to replace the absent or disqualified member, the member or members thereof present at any meeting and not disqualified from voting, whether or not such members constitute a quorum, may unanimously appoint another member of the Board of Directors to act at the meeting in the place of any absent or disqualified member. Any committee, to the extent allowed by law and provided in the resolution establishing such committee, shall have and may exercise all the powers and authority of the Board of Directors in the management of the business and affairs of the Corporation. Each committee shall keep regular minutes and report to the Board of Directors when required.</w:t>
      </w:r>
    </w:p>
    <w:p>
      <w:pPr>
        <w:spacing w:after="0" w:line="41" w:lineRule="exact"/>
        <w:rPr>
          <w:sz w:val="20"/>
          <w:szCs w:val="20"/>
          <w:color w:val="auto"/>
        </w:rPr>
      </w:pPr>
    </w:p>
    <w:p>
      <w:pPr>
        <w:ind w:right="140" w:firstLine="168"/>
        <w:spacing w:after="0" w:line="276" w:lineRule="auto"/>
        <w:rPr>
          <w:sz w:val="20"/>
          <w:szCs w:val="20"/>
          <w:color w:val="auto"/>
        </w:rPr>
      </w:pPr>
      <w:r>
        <w:rPr>
          <w:rFonts w:ascii="Arial" w:cs="Arial" w:eastAsia="Arial" w:hAnsi="Arial"/>
          <w:sz w:val="13"/>
          <w:szCs w:val="13"/>
          <w:u w:val="single" w:color="auto"/>
          <w:color w:val="auto"/>
        </w:rPr>
        <w:t>Section 9</w:t>
      </w:r>
      <w:r>
        <w:rPr>
          <w:rFonts w:ascii="Arial" w:cs="Arial" w:eastAsia="Arial" w:hAnsi="Arial"/>
          <w:sz w:val="13"/>
          <w:szCs w:val="13"/>
          <w:color w:val="auto"/>
        </w:rPr>
        <w:t xml:space="preserve">. </w:t>
      </w:r>
      <w:r>
        <w:rPr>
          <w:rFonts w:ascii="Arial" w:cs="Arial" w:eastAsia="Arial" w:hAnsi="Arial"/>
          <w:sz w:val="13"/>
          <w:szCs w:val="13"/>
          <w:u w:val="single" w:color="auto"/>
          <w:color w:val="auto"/>
        </w:rPr>
        <w:t>Compensation</w:t>
      </w:r>
      <w:r>
        <w:rPr>
          <w:rFonts w:ascii="Arial" w:cs="Arial" w:eastAsia="Arial" w:hAnsi="Arial"/>
          <w:sz w:val="13"/>
          <w:szCs w:val="13"/>
          <w:color w:val="auto"/>
        </w:rPr>
        <w:t>. The directors may be paid their expenses, if any, of attendance at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 Members of special or standing committees may be allowed like compensation for attending committee meetings.</w:t>
      </w:r>
    </w:p>
    <w:p>
      <w:pPr>
        <w:spacing w:after="0" w:line="49" w:lineRule="exact"/>
        <w:rPr>
          <w:sz w:val="20"/>
          <w:szCs w:val="20"/>
          <w:color w:val="auto"/>
        </w:rPr>
      </w:pPr>
    </w:p>
    <w:p>
      <w:pPr>
        <w:ind w:firstLine="168"/>
        <w:spacing w:after="0" w:line="288" w:lineRule="auto"/>
        <w:rPr>
          <w:sz w:val="20"/>
          <w:szCs w:val="20"/>
          <w:color w:val="auto"/>
        </w:rPr>
      </w:pPr>
      <w:r>
        <w:rPr>
          <w:rFonts w:ascii="Arial" w:cs="Arial" w:eastAsia="Arial" w:hAnsi="Arial"/>
          <w:sz w:val="12"/>
          <w:szCs w:val="12"/>
          <w:u w:val="single" w:color="auto"/>
          <w:color w:val="auto"/>
        </w:rPr>
        <w:t>Section 10</w:t>
      </w:r>
      <w:r>
        <w:rPr>
          <w:rFonts w:ascii="Arial" w:cs="Arial" w:eastAsia="Arial" w:hAnsi="Arial"/>
          <w:sz w:val="12"/>
          <w:szCs w:val="12"/>
          <w:color w:val="auto"/>
        </w:rPr>
        <w:t xml:space="preserve">. </w:t>
      </w:r>
      <w:r>
        <w:rPr>
          <w:rFonts w:ascii="Arial" w:cs="Arial" w:eastAsia="Arial" w:hAnsi="Arial"/>
          <w:sz w:val="12"/>
          <w:szCs w:val="12"/>
          <w:u w:val="single" w:color="auto"/>
          <w:color w:val="auto"/>
        </w:rPr>
        <w:t>Interested Directors</w:t>
      </w:r>
      <w:r>
        <w:rPr>
          <w:rFonts w:ascii="Arial" w:cs="Arial" w:eastAsia="Arial" w:hAnsi="Arial"/>
          <w:sz w:val="12"/>
          <w:szCs w:val="12"/>
          <w:color w:val="auto"/>
        </w:rPr>
        <w:t>. No contract or transaction between the Corporation and one or more of its directors or officers, or between the 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of Directors or committee thereof which authorizes the contract or transaction, or solely because his or their votes are counted for such purpose if (i) the material facts as to his or their relationship or interest and as to the contract or transaction are disclosed or are known to the Board of Directors or the committee, and the Board of Directors or committee in good faith authorizes the contract or transaction by the affirmative votes of a majority of the disinterested directors, even though the disinterested directors be less than a quorum; or (ii) the material facts as to his or their relationship or interest and as to the contract or transaction are disclosed or are known to the stockholders entitled to vote thereon, and the contract or transaction is specifically approved in good faith by vote of the stockholders; or (iii) the contract or transaction is fair as to the Corporation as of the time it is authorized, approved or ratified, by the Board of Directors, a committee thereof or the stockholders. Common or interested directors may be counted in determining the presence of a quorum at a meeting of the Board of Directors or of a committee which authorizes the contract or transaction.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440"/>
          </w:cols>
          <w:pgMar w:left="220" w:top="733" w:right="239"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13"/>
          <w:szCs w:val="13"/>
          <w:color w:val="auto"/>
        </w:rPr>
        <w:t>ARTICLE IV</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3"/>
          <w:szCs w:val="13"/>
          <w:u w:val="single" w:color="auto"/>
          <w:color w:val="auto"/>
        </w:rPr>
        <w:t>OFFICERS</w:t>
      </w:r>
    </w:p>
    <w:p>
      <w:pPr>
        <w:spacing w:after="0" w:line="82" w:lineRule="exact"/>
        <w:rPr>
          <w:sz w:val="20"/>
          <w:szCs w:val="20"/>
          <w:color w:val="auto"/>
        </w:rPr>
      </w:pPr>
    </w:p>
    <w:p>
      <w:pPr>
        <w:jc w:val="both"/>
        <w:ind w:right="20" w:firstLine="168"/>
        <w:spacing w:after="0" w:line="276" w:lineRule="auto"/>
        <w:rPr>
          <w:sz w:val="20"/>
          <w:szCs w:val="20"/>
          <w:color w:val="auto"/>
        </w:rPr>
      </w:pPr>
      <w:r>
        <w:rPr>
          <w:rFonts w:ascii="Arial" w:cs="Arial" w:eastAsia="Arial" w:hAnsi="Arial"/>
          <w:sz w:val="13"/>
          <w:szCs w:val="13"/>
          <w:u w:val="single" w:color="auto"/>
          <w:color w:val="auto"/>
        </w:rPr>
        <w:t>Section 1</w:t>
      </w:r>
      <w:r>
        <w:rPr>
          <w:rFonts w:ascii="Arial" w:cs="Arial" w:eastAsia="Arial" w:hAnsi="Arial"/>
          <w:sz w:val="13"/>
          <w:szCs w:val="13"/>
          <w:color w:val="auto"/>
        </w:rPr>
        <w:t xml:space="preserve">. </w:t>
      </w:r>
      <w:r>
        <w:rPr>
          <w:rFonts w:ascii="Arial" w:cs="Arial" w:eastAsia="Arial" w:hAnsi="Arial"/>
          <w:sz w:val="13"/>
          <w:szCs w:val="13"/>
          <w:u w:val="single" w:color="auto"/>
          <w:color w:val="auto"/>
        </w:rPr>
        <w:t>General</w:t>
      </w:r>
      <w:r>
        <w:rPr>
          <w:rFonts w:ascii="Arial" w:cs="Arial" w:eastAsia="Arial" w:hAnsi="Arial"/>
          <w:sz w:val="13"/>
          <w:szCs w:val="13"/>
          <w:color w:val="auto"/>
        </w:rPr>
        <w:t>. The offices of the Corporation shall be chosen by the Board of Directors and shall be a President and a Secretary. The Board of Directors, in its discretion, may also choose one Treasurer and one or more Vice Presidents, Assistant Secretaries, Assistant Treasurers and other officers. Any number of offices may be held by the same person, unless otherwise prohibited by law, the Corporation’s Certificate of Incorporation or these By-laws. The officers of the Corporation need not be stockholders of the Corporation nor need such officers be directors of the Corporation.</w:t>
      </w:r>
    </w:p>
    <w:p>
      <w:pPr>
        <w:spacing w:after="0" w:line="49" w:lineRule="exact"/>
        <w:rPr>
          <w:sz w:val="20"/>
          <w:szCs w:val="20"/>
          <w:color w:val="auto"/>
        </w:rPr>
      </w:pPr>
    </w:p>
    <w:p>
      <w:pPr>
        <w:ind w:right="40" w:firstLine="168"/>
        <w:spacing w:after="0" w:line="299" w:lineRule="auto"/>
        <w:rPr>
          <w:sz w:val="20"/>
          <w:szCs w:val="20"/>
          <w:color w:val="auto"/>
        </w:rPr>
      </w:pPr>
      <w:r>
        <w:rPr>
          <w:rFonts w:ascii="Arial" w:cs="Arial" w:eastAsia="Arial" w:hAnsi="Arial"/>
          <w:sz w:val="12"/>
          <w:szCs w:val="12"/>
          <w:u w:val="single" w:color="auto"/>
          <w:color w:val="auto"/>
        </w:rPr>
        <w:t>Section 2</w:t>
      </w:r>
      <w:r>
        <w:rPr>
          <w:rFonts w:ascii="Arial" w:cs="Arial" w:eastAsia="Arial" w:hAnsi="Arial"/>
          <w:sz w:val="12"/>
          <w:szCs w:val="12"/>
          <w:color w:val="auto"/>
        </w:rPr>
        <w:t xml:space="preserve">. </w:t>
      </w:r>
      <w:r>
        <w:rPr>
          <w:rFonts w:ascii="Arial" w:cs="Arial" w:eastAsia="Arial" w:hAnsi="Arial"/>
          <w:sz w:val="12"/>
          <w:szCs w:val="12"/>
          <w:u w:val="single" w:color="auto"/>
          <w:color w:val="auto"/>
        </w:rPr>
        <w:t>Election</w:t>
      </w:r>
      <w:r>
        <w:rPr>
          <w:rFonts w:ascii="Arial" w:cs="Arial" w:eastAsia="Arial" w:hAnsi="Arial"/>
          <w:sz w:val="12"/>
          <w:szCs w:val="12"/>
          <w:color w:val="auto"/>
        </w:rPr>
        <w:t>. The Board of Directors at its first meeting held after each annual meeting of stockholders shall elect the officers of the Corporation, who shall hold their offices for such terms and shall exercise such powers and perform such duties as shall be determined from time to time by the Board of Directors; and all officers of the Corporation shall hold office until their successors are chosen and qualified, or until their earlier resignation or removal. Any officer elected by the Board of Directors may be removed at any time by the affirmative vote of a majority of the Board of Directors. Any vacancy occurring in any office of the Corporation shall be filled by the Board of Directors. The salaries and other compensation of all officers of the Corporation shall be fixed by the Board of Directors.</w:t>
      </w:r>
    </w:p>
    <w:p>
      <w:pPr>
        <w:spacing w:after="0" w:line="38" w:lineRule="exact"/>
        <w:rPr>
          <w:sz w:val="20"/>
          <w:szCs w:val="20"/>
          <w:color w:val="auto"/>
        </w:rPr>
      </w:pPr>
    </w:p>
    <w:p>
      <w:pPr>
        <w:ind w:right="160" w:firstLine="168"/>
        <w:spacing w:after="0" w:line="267" w:lineRule="auto"/>
        <w:rPr>
          <w:sz w:val="20"/>
          <w:szCs w:val="20"/>
          <w:color w:val="auto"/>
        </w:rPr>
      </w:pPr>
      <w:r>
        <w:rPr>
          <w:rFonts w:ascii="Arial" w:cs="Arial" w:eastAsia="Arial" w:hAnsi="Arial"/>
          <w:sz w:val="13"/>
          <w:szCs w:val="13"/>
          <w:u w:val="single" w:color="auto"/>
          <w:color w:val="auto"/>
        </w:rPr>
        <w:t>Section 3</w:t>
      </w:r>
      <w:r>
        <w:rPr>
          <w:rFonts w:ascii="Arial" w:cs="Arial" w:eastAsia="Arial" w:hAnsi="Arial"/>
          <w:sz w:val="13"/>
          <w:szCs w:val="13"/>
          <w:color w:val="auto"/>
        </w:rPr>
        <w:t xml:space="preserve">. </w:t>
      </w:r>
      <w:r>
        <w:rPr>
          <w:rFonts w:ascii="Arial" w:cs="Arial" w:eastAsia="Arial" w:hAnsi="Arial"/>
          <w:sz w:val="13"/>
          <w:szCs w:val="13"/>
          <w:u w:val="single" w:color="auto"/>
          <w:color w:val="auto"/>
        </w:rPr>
        <w:t>Voting Securities Owned by the Corporation</w:t>
      </w:r>
      <w:r>
        <w:rPr>
          <w:rFonts w:ascii="Arial" w:cs="Arial" w:eastAsia="Arial" w:hAnsi="Arial"/>
          <w:sz w:val="13"/>
          <w:szCs w:val="13"/>
          <w:color w:val="auto"/>
        </w:rPr>
        <w:t>. Powers of attorney, proxies, waivers of notice of meeting, consents and other instruments relating to securities owned by the Corporation may be executed in the name of and on behalf of the Corporation by the President or any Vice President and any such officer may, in the name of and on behalf of the Corporation, take all such action as any such officer may deem advisable to vote in person or by proxy at any meeting of security holders of any corporation in which the Corporation may own securities and at any such meeting shall possess and may exercise any and all rights and powers incident to the ownership of such securities and which, as the owner thereof, the Corporation might have exercised and possessed if present. The Board of Directors may, by resolution, from time to time confer like powers upon any other person or persons.</w:t>
      </w:r>
    </w:p>
    <w:p>
      <w:pPr>
        <w:spacing w:after="0" w:line="55" w:lineRule="exact"/>
        <w:rPr>
          <w:sz w:val="20"/>
          <w:szCs w:val="20"/>
          <w:color w:val="auto"/>
        </w:rPr>
      </w:pPr>
    </w:p>
    <w:p>
      <w:pPr>
        <w:ind w:firstLine="168"/>
        <w:spacing w:after="0" w:line="265" w:lineRule="auto"/>
        <w:rPr>
          <w:sz w:val="20"/>
          <w:szCs w:val="20"/>
          <w:color w:val="auto"/>
        </w:rPr>
      </w:pPr>
      <w:r>
        <w:rPr>
          <w:rFonts w:ascii="Arial" w:cs="Arial" w:eastAsia="Arial" w:hAnsi="Arial"/>
          <w:sz w:val="13"/>
          <w:szCs w:val="13"/>
          <w:u w:val="single" w:color="auto"/>
          <w:color w:val="auto"/>
        </w:rPr>
        <w:t>Section 4</w:t>
      </w:r>
      <w:r>
        <w:rPr>
          <w:rFonts w:ascii="Arial" w:cs="Arial" w:eastAsia="Arial" w:hAnsi="Arial"/>
          <w:sz w:val="13"/>
          <w:szCs w:val="13"/>
          <w:color w:val="auto"/>
        </w:rPr>
        <w:t xml:space="preserve">. </w:t>
      </w:r>
      <w:r>
        <w:rPr>
          <w:rFonts w:ascii="Arial" w:cs="Arial" w:eastAsia="Arial" w:hAnsi="Arial"/>
          <w:sz w:val="13"/>
          <w:szCs w:val="13"/>
          <w:u w:val="single" w:color="auto"/>
          <w:color w:val="auto"/>
        </w:rPr>
        <w:t>The President</w:t>
      </w:r>
      <w:r>
        <w:rPr>
          <w:rFonts w:ascii="Arial" w:cs="Arial" w:eastAsia="Arial" w:hAnsi="Arial"/>
          <w:sz w:val="13"/>
          <w:szCs w:val="13"/>
          <w:color w:val="auto"/>
        </w:rPr>
        <w:t>. The President shall be the chief executive officer and the chief operating officer of the Corporation, shall have general direction of the business and affairs of the Corporation and general supervision over its several officers, subject, however, to the control of the Board of Directors and shall see that all orders and resolutions of the Board of Directors are carried into effect. The President may sign, with the Secretary or Assistant Secretary, certificates representing shares of stock of the Corporation. The President shall execute and deliver, in the name and on behalf of the Corporation, (i) contracts or other instruments authorized by the Board of Directors and (ii) contracts or instruments in the usual and regular course of business except in cases when the execution and delivery thereof shall be expressly delegated or permitted by the Board of Directors or by these By-laws to some other officer or agent of the Corporation, and, in general, shall perform all duties incident to the office of President and such other duties as from time to time may be assigned to him by the Board of Directors or as are prescribed by these By-laws.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38" w:name="page39"/>
    <w:bookmarkEnd w:id="38"/>
    <w:p>
      <w:pPr>
        <w:ind w:firstLine="168"/>
        <w:spacing w:after="0" w:line="338" w:lineRule="auto"/>
        <w:rPr>
          <w:sz w:val="20"/>
          <w:szCs w:val="20"/>
          <w:color w:val="auto"/>
        </w:rPr>
      </w:pPr>
      <w:r>
        <w:rPr>
          <w:rFonts w:ascii="Arial" w:cs="Arial" w:eastAsia="Arial" w:hAnsi="Arial"/>
          <w:sz w:val="12"/>
          <w:szCs w:val="12"/>
          <w:u w:val="single" w:color="auto"/>
          <w:color w:val="auto"/>
        </w:rPr>
        <w:t>Section 5</w:t>
      </w:r>
      <w:r>
        <w:rPr>
          <w:rFonts w:ascii="Arial" w:cs="Arial" w:eastAsia="Arial" w:hAnsi="Arial"/>
          <w:sz w:val="12"/>
          <w:szCs w:val="12"/>
          <w:color w:val="auto"/>
        </w:rPr>
        <w:t xml:space="preserve">. </w:t>
      </w:r>
      <w:r>
        <w:rPr>
          <w:rFonts w:ascii="Arial" w:cs="Arial" w:eastAsia="Arial" w:hAnsi="Arial"/>
          <w:sz w:val="12"/>
          <w:szCs w:val="12"/>
          <w:u w:val="single" w:color="auto"/>
          <w:color w:val="auto"/>
        </w:rPr>
        <w:t>Vice Presidents</w:t>
      </w:r>
      <w:r>
        <w:rPr>
          <w:rFonts w:ascii="Arial" w:cs="Arial" w:eastAsia="Arial" w:hAnsi="Arial"/>
          <w:sz w:val="12"/>
          <w:szCs w:val="12"/>
          <w:color w:val="auto"/>
        </w:rPr>
        <w:t>. Vice Presidents, if there be any, shall perform such duties and may exercise such other powers as from time to time may be assigned to him by these By-laws or by the Board of Directors. The Vice President may sign certificates of stock of the Corporation. In the absence or disability of the President, a Vice President may preside at meetings of the stockholders and the Board of Directors.</w:t>
      </w:r>
    </w:p>
    <w:p>
      <w:pPr>
        <w:spacing w:after="0" w:line="14" w:lineRule="exact"/>
        <w:rPr>
          <w:sz w:val="20"/>
          <w:szCs w:val="20"/>
          <w:color w:val="auto"/>
        </w:rPr>
      </w:pPr>
    </w:p>
    <w:p>
      <w:pPr>
        <w:ind w:firstLine="168"/>
        <w:spacing w:after="0" w:line="263" w:lineRule="auto"/>
        <w:rPr>
          <w:sz w:val="20"/>
          <w:szCs w:val="20"/>
          <w:color w:val="auto"/>
        </w:rPr>
      </w:pPr>
      <w:r>
        <w:rPr>
          <w:rFonts w:ascii="Arial" w:cs="Arial" w:eastAsia="Arial" w:hAnsi="Arial"/>
          <w:sz w:val="13"/>
          <w:szCs w:val="13"/>
          <w:u w:val="single" w:color="auto"/>
          <w:color w:val="auto"/>
        </w:rPr>
        <w:t>Section 6</w:t>
      </w:r>
      <w:r>
        <w:rPr>
          <w:rFonts w:ascii="Arial" w:cs="Arial" w:eastAsia="Arial" w:hAnsi="Arial"/>
          <w:sz w:val="13"/>
          <w:szCs w:val="13"/>
          <w:color w:val="auto"/>
        </w:rPr>
        <w:t xml:space="preserve">. </w:t>
      </w:r>
      <w:r>
        <w:rPr>
          <w:rFonts w:ascii="Arial" w:cs="Arial" w:eastAsia="Arial" w:hAnsi="Arial"/>
          <w:sz w:val="13"/>
          <w:szCs w:val="13"/>
          <w:u w:val="single" w:color="auto"/>
          <w:color w:val="auto"/>
        </w:rPr>
        <w:t>Secretary</w:t>
      </w:r>
      <w:r>
        <w:rPr>
          <w:rFonts w:ascii="Arial" w:cs="Arial" w:eastAsia="Arial" w:hAnsi="Arial"/>
          <w:sz w:val="13"/>
          <w:szCs w:val="13"/>
          <w:color w:val="auto"/>
        </w:rPr>
        <w:t>. The Secretary shall attend all meetings of the Board of Directors and all meetings of stockholders and record all the proceedings thereat in a book or books to be kept for that purpose; the Secretary shall also perform like duties for the standing committees when required. The Secretary shall give, or cause to be given, notice of all meetings of the stockholders and special meetings of the Board of Directors, and shall perform such other duties as may be prescribed by the Board of Directors or the President. If the Secretary shall be unable or shall refuse to cause to be given notice of all meetings of the stockholders and special meetings of the Board of Directors, and if there be no Assistant Secretary, then either the Board of Directors or the President may choose another officer to cause such notice to be given. The Secretary shall have custody of the seal of the Corporation and the Secretary or any Assistant Secretary, if there be one, shall have authority to affix the same to any instrument requiring it and when so affixed, it may be attested by the signature of the Secretary or by the signature of any such Assistant Secretary. The Board of Directors may give general authority to any other officer to affix the seal of the Corporation and to attest the affixing by such officer’s signature. The Secretary shall see that all books, reports, statements, certificates and other documents and records required by law to be kept or filed are properly kept or filed, as the case may be.</w:t>
      </w:r>
    </w:p>
    <w:p>
      <w:pPr>
        <w:spacing w:after="0" w:line="60" w:lineRule="exact"/>
        <w:rPr>
          <w:sz w:val="20"/>
          <w:szCs w:val="20"/>
          <w:color w:val="auto"/>
        </w:rPr>
      </w:pPr>
    </w:p>
    <w:p>
      <w:pPr>
        <w:ind w:right="40" w:firstLine="168"/>
        <w:spacing w:after="0" w:line="270" w:lineRule="auto"/>
        <w:rPr>
          <w:sz w:val="20"/>
          <w:szCs w:val="20"/>
          <w:color w:val="auto"/>
        </w:rPr>
      </w:pPr>
      <w:r>
        <w:rPr>
          <w:rFonts w:ascii="Arial" w:cs="Arial" w:eastAsia="Arial" w:hAnsi="Arial"/>
          <w:sz w:val="13"/>
          <w:szCs w:val="13"/>
          <w:u w:val="single" w:color="auto"/>
          <w:color w:val="auto"/>
        </w:rPr>
        <w:t>Section 7</w:t>
      </w:r>
      <w:r>
        <w:rPr>
          <w:rFonts w:ascii="Arial" w:cs="Arial" w:eastAsia="Arial" w:hAnsi="Arial"/>
          <w:sz w:val="13"/>
          <w:szCs w:val="13"/>
          <w:color w:val="auto"/>
        </w:rPr>
        <w:t xml:space="preserve">. </w:t>
      </w:r>
      <w:r>
        <w:rPr>
          <w:rFonts w:ascii="Arial" w:cs="Arial" w:eastAsia="Arial" w:hAnsi="Arial"/>
          <w:sz w:val="13"/>
          <w:szCs w:val="13"/>
          <w:u w:val="single" w:color="auto"/>
          <w:color w:val="auto"/>
        </w:rPr>
        <w:t>Treasurer</w:t>
      </w:r>
      <w:r>
        <w:rPr>
          <w:rFonts w:ascii="Arial" w:cs="Arial" w:eastAsia="Arial" w:hAnsi="Arial"/>
          <w:sz w:val="13"/>
          <w:szCs w:val="13"/>
          <w:color w:val="auto"/>
        </w:rPr>
        <w:t>. The Treasurer, if there be one,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 The Treasurer shall disburse the funds of the Corporation as may be ordered by the Board of Directors, taking proper vouchers for such disbursements, and shall render to the President and the Board of Directors, at its regular meetings, or when the Board of Directors so requires, an account of all his transactions as Treasurer and of the financial condition of the Corporation.</w:t>
      </w:r>
    </w:p>
    <w:p>
      <w:pPr>
        <w:spacing w:after="0" w:line="53" w:lineRule="exact"/>
        <w:rPr>
          <w:sz w:val="20"/>
          <w:szCs w:val="20"/>
          <w:color w:val="auto"/>
        </w:rPr>
      </w:pPr>
    </w:p>
    <w:p>
      <w:pPr>
        <w:ind w:right="100" w:firstLine="168"/>
        <w:spacing w:after="0" w:line="276" w:lineRule="auto"/>
        <w:rPr>
          <w:sz w:val="20"/>
          <w:szCs w:val="20"/>
          <w:color w:val="auto"/>
        </w:rPr>
      </w:pPr>
      <w:r>
        <w:rPr>
          <w:rFonts w:ascii="Arial" w:cs="Arial" w:eastAsia="Arial" w:hAnsi="Arial"/>
          <w:sz w:val="13"/>
          <w:szCs w:val="13"/>
          <w:u w:val="single" w:color="auto"/>
          <w:color w:val="auto"/>
        </w:rPr>
        <w:t>Section 8</w:t>
      </w:r>
      <w:r>
        <w:rPr>
          <w:rFonts w:ascii="Arial" w:cs="Arial" w:eastAsia="Arial" w:hAnsi="Arial"/>
          <w:sz w:val="13"/>
          <w:szCs w:val="13"/>
          <w:color w:val="auto"/>
        </w:rPr>
        <w:t xml:space="preserve">. </w:t>
      </w:r>
      <w:r>
        <w:rPr>
          <w:rFonts w:ascii="Arial" w:cs="Arial" w:eastAsia="Arial" w:hAnsi="Arial"/>
          <w:sz w:val="13"/>
          <w:szCs w:val="13"/>
          <w:u w:val="single" w:color="auto"/>
          <w:color w:val="auto"/>
        </w:rPr>
        <w:t>Assistant Secretaries</w:t>
      </w:r>
      <w:r>
        <w:rPr>
          <w:rFonts w:ascii="Arial" w:cs="Arial" w:eastAsia="Arial" w:hAnsi="Arial"/>
          <w:sz w:val="13"/>
          <w:szCs w:val="13"/>
          <w:color w:val="auto"/>
        </w:rPr>
        <w:t>. Except as may be otherwise provided in these By-laws, Assistant Secretaries, if there be any, shall perform such duties and have such powers as from time to time may be assigned to them by the Board of Directors, the President, any Vice President, if there be one, or the Secretary, and in the absence of the Secretary or in the event of the Secretary’s disability or refusal to act, shall perform the duties of the Secretary, and when so acting, shall have all the powers of and be subject to all the restrictions upon the Secretary.</w:t>
      </w:r>
    </w:p>
    <w:p>
      <w:pPr>
        <w:spacing w:after="0" w:line="49" w:lineRule="exact"/>
        <w:rPr>
          <w:sz w:val="20"/>
          <w:szCs w:val="20"/>
          <w:color w:val="auto"/>
        </w:rPr>
      </w:pPr>
    </w:p>
    <w:p>
      <w:pPr>
        <w:jc w:val="both"/>
        <w:ind w:right="80" w:firstLine="168"/>
        <w:spacing w:after="0" w:line="276" w:lineRule="auto"/>
        <w:rPr>
          <w:sz w:val="20"/>
          <w:szCs w:val="20"/>
          <w:color w:val="auto"/>
        </w:rPr>
      </w:pPr>
      <w:r>
        <w:rPr>
          <w:rFonts w:ascii="Arial" w:cs="Arial" w:eastAsia="Arial" w:hAnsi="Arial"/>
          <w:sz w:val="13"/>
          <w:szCs w:val="13"/>
          <w:u w:val="single" w:color="auto"/>
          <w:color w:val="auto"/>
        </w:rPr>
        <w:t>Section 9</w:t>
      </w:r>
      <w:r>
        <w:rPr>
          <w:rFonts w:ascii="Arial" w:cs="Arial" w:eastAsia="Arial" w:hAnsi="Arial"/>
          <w:sz w:val="13"/>
          <w:szCs w:val="13"/>
          <w:color w:val="auto"/>
        </w:rPr>
        <w:t xml:space="preserve">. </w:t>
      </w:r>
      <w:r>
        <w:rPr>
          <w:rFonts w:ascii="Arial" w:cs="Arial" w:eastAsia="Arial" w:hAnsi="Arial"/>
          <w:sz w:val="13"/>
          <w:szCs w:val="13"/>
          <w:u w:val="single" w:color="auto"/>
          <w:color w:val="auto"/>
        </w:rPr>
        <w:t>Assistant Treasurers</w:t>
      </w:r>
      <w:r>
        <w:rPr>
          <w:rFonts w:ascii="Arial" w:cs="Arial" w:eastAsia="Arial" w:hAnsi="Arial"/>
          <w:sz w:val="13"/>
          <w:szCs w:val="13"/>
          <w:color w:val="auto"/>
        </w:rPr>
        <w:t>. Assistant Treasurers, if there be any, shall perform such duties and have such powers as from time to time may be assigned to them by the Board of Directors, the President, any Vice President, if there be one, or the Treasurer, and in the absence of the Treasurer or in the event of the Treasurer’s disability or refusal to act, shall perform the duties of the Treasurer, and when so acting, shall have all the powers of and be subject to all the restrictions upon the Treasurer.</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440"/>
          </w:cols>
          <w:pgMar w:left="220" w:top="733" w:right="239" w:bottom="1440" w:gutter="0" w:footer="0" w:header="0"/>
        </w:sectPr>
      </w:pPr>
    </w:p>
    <w:bookmarkStart w:id="39" w:name="page40"/>
    <w:bookmarkEnd w:id="39"/>
    <w:p>
      <w:pPr>
        <w:ind w:left="160"/>
        <w:spacing w:after="0"/>
        <w:rPr>
          <w:sz w:val="20"/>
          <w:szCs w:val="20"/>
          <w:color w:val="auto"/>
        </w:rPr>
      </w:pPr>
      <w:r>
        <w:rPr>
          <w:rFonts w:ascii="Arial" w:cs="Arial" w:eastAsia="Arial" w:hAnsi="Arial"/>
          <w:sz w:val="12"/>
          <w:szCs w:val="12"/>
          <w:u w:val="single" w:color="auto"/>
          <w:color w:val="auto"/>
        </w:rPr>
        <w:t>Section 10</w:t>
      </w:r>
      <w:r>
        <w:rPr>
          <w:rFonts w:ascii="Arial" w:cs="Arial" w:eastAsia="Arial" w:hAnsi="Arial"/>
          <w:sz w:val="12"/>
          <w:szCs w:val="12"/>
          <w:color w:val="auto"/>
        </w:rPr>
        <w:t xml:space="preserve">. </w:t>
      </w:r>
      <w:r>
        <w:rPr>
          <w:rFonts w:ascii="Arial" w:cs="Arial" w:eastAsia="Arial" w:hAnsi="Arial"/>
          <w:sz w:val="12"/>
          <w:szCs w:val="12"/>
          <w:u w:val="single" w:color="auto"/>
          <w:color w:val="auto"/>
        </w:rPr>
        <w:t>Other Officers</w:t>
      </w:r>
      <w:r>
        <w:rPr>
          <w:rFonts w:ascii="Arial" w:cs="Arial" w:eastAsia="Arial" w:hAnsi="Arial"/>
          <w:sz w:val="12"/>
          <w:szCs w:val="12"/>
          <w:color w:val="auto"/>
        </w:rPr>
        <w:t>. Such other officers as the Board of Directors may choose shall perform such duties and have such powers as from time to time may be assigned to them by the Board of Directors.</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auto"/>
        </w:rPr>
        <w:t>The Board of Directors may delegate to any other officer of the Corporation the power to choose such other officers and to prescribe their respective duties and powers.</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ARTICLE V</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3"/>
          <w:szCs w:val="13"/>
          <w:u w:val="single" w:color="auto"/>
          <w:color w:val="auto"/>
        </w:rPr>
        <w:t>STOCK</w:t>
      </w:r>
    </w:p>
    <w:p>
      <w:pPr>
        <w:spacing w:after="0" w:line="82" w:lineRule="exact"/>
        <w:rPr>
          <w:sz w:val="20"/>
          <w:szCs w:val="20"/>
          <w:color w:val="auto"/>
        </w:rPr>
      </w:pPr>
    </w:p>
    <w:p>
      <w:pPr>
        <w:ind w:right="380" w:firstLine="168"/>
        <w:spacing w:after="0" w:line="294" w:lineRule="auto"/>
        <w:rPr>
          <w:sz w:val="20"/>
          <w:szCs w:val="20"/>
          <w:color w:val="auto"/>
        </w:rPr>
      </w:pPr>
      <w:r>
        <w:rPr>
          <w:rFonts w:ascii="Arial" w:cs="Arial" w:eastAsia="Arial" w:hAnsi="Arial"/>
          <w:sz w:val="13"/>
          <w:szCs w:val="13"/>
          <w:u w:val="single" w:color="auto"/>
          <w:color w:val="auto"/>
        </w:rPr>
        <w:t>Section 1</w:t>
      </w:r>
      <w:r>
        <w:rPr>
          <w:rFonts w:ascii="Arial" w:cs="Arial" w:eastAsia="Arial" w:hAnsi="Arial"/>
          <w:sz w:val="13"/>
          <w:szCs w:val="13"/>
          <w:color w:val="auto"/>
        </w:rPr>
        <w:t xml:space="preserve">. </w:t>
      </w:r>
      <w:r>
        <w:rPr>
          <w:rFonts w:ascii="Arial" w:cs="Arial" w:eastAsia="Arial" w:hAnsi="Arial"/>
          <w:sz w:val="13"/>
          <w:szCs w:val="13"/>
          <w:u w:val="single" w:color="auto"/>
          <w:color w:val="auto"/>
        </w:rPr>
        <w:t>Form of Certificates</w:t>
      </w:r>
      <w:r>
        <w:rPr>
          <w:rFonts w:ascii="Arial" w:cs="Arial" w:eastAsia="Arial" w:hAnsi="Arial"/>
          <w:sz w:val="13"/>
          <w:szCs w:val="13"/>
          <w:color w:val="auto"/>
        </w:rPr>
        <w:t>. Every holder of stock in the Corporation shall be entitled to have a certificate signed, in the name of the Corporation (i) by the President or a Vice President and (ii) by the Secretary or an Assistant Secretary of the Corporation, certifying the number of shares owned by such holder of stock in the Corporation.</w:t>
      </w:r>
    </w:p>
    <w:p>
      <w:pPr>
        <w:spacing w:after="0" w:line="37" w:lineRule="exact"/>
        <w:rPr>
          <w:sz w:val="20"/>
          <w:szCs w:val="20"/>
          <w:color w:val="auto"/>
        </w:rPr>
      </w:pPr>
    </w:p>
    <w:p>
      <w:pPr>
        <w:ind w:right="20" w:firstLine="168"/>
        <w:spacing w:after="0" w:line="309" w:lineRule="auto"/>
        <w:rPr>
          <w:sz w:val="20"/>
          <w:szCs w:val="20"/>
          <w:color w:val="auto"/>
        </w:rPr>
      </w:pPr>
      <w:r>
        <w:rPr>
          <w:rFonts w:ascii="Arial" w:cs="Arial" w:eastAsia="Arial" w:hAnsi="Arial"/>
          <w:sz w:val="12"/>
          <w:szCs w:val="12"/>
          <w:u w:val="single" w:color="auto"/>
          <w:color w:val="auto"/>
        </w:rPr>
        <w:t>Section 2</w:t>
      </w:r>
      <w:r>
        <w:rPr>
          <w:rFonts w:ascii="Arial" w:cs="Arial" w:eastAsia="Arial" w:hAnsi="Arial"/>
          <w:sz w:val="12"/>
          <w:szCs w:val="12"/>
          <w:color w:val="auto"/>
        </w:rPr>
        <w:t xml:space="preserve">. </w:t>
      </w:r>
      <w:r>
        <w:rPr>
          <w:rFonts w:ascii="Arial" w:cs="Arial" w:eastAsia="Arial" w:hAnsi="Arial"/>
          <w:sz w:val="12"/>
          <w:szCs w:val="12"/>
          <w:u w:val="single" w:color="auto"/>
          <w:color w:val="auto"/>
        </w:rPr>
        <w:t>Signatures</w:t>
      </w:r>
      <w:r>
        <w:rPr>
          <w:rFonts w:ascii="Arial" w:cs="Arial" w:eastAsia="Arial" w:hAnsi="Arial"/>
          <w:sz w:val="12"/>
          <w:szCs w:val="12"/>
          <w:color w:val="auto"/>
        </w:rPr>
        <w:t>. Where a certificate is countersigned by (i) a transfer agent other than the Corporation or its employee, or (ii) a registrar other than the Corporation or its employee, any other signature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such officer, transfer agent or registrar at the date of issue.</w:t>
      </w:r>
    </w:p>
    <w:p>
      <w:pPr>
        <w:spacing w:after="0" w:line="31" w:lineRule="exact"/>
        <w:rPr>
          <w:sz w:val="20"/>
          <w:szCs w:val="20"/>
          <w:color w:val="auto"/>
        </w:rPr>
      </w:pPr>
    </w:p>
    <w:p>
      <w:pPr>
        <w:ind w:firstLine="168"/>
        <w:spacing w:after="0" w:line="267" w:lineRule="auto"/>
        <w:rPr>
          <w:sz w:val="20"/>
          <w:szCs w:val="20"/>
          <w:color w:val="auto"/>
        </w:rPr>
      </w:pPr>
      <w:r>
        <w:rPr>
          <w:rFonts w:ascii="Arial" w:cs="Arial" w:eastAsia="Arial" w:hAnsi="Arial"/>
          <w:sz w:val="13"/>
          <w:szCs w:val="13"/>
          <w:u w:val="single" w:color="auto"/>
          <w:color w:val="auto"/>
        </w:rPr>
        <w:t>Section 3</w:t>
      </w:r>
      <w:r>
        <w:rPr>
          <w:rFonts w:ascii="Arial" w:cs="Arial" w:eastAsia="Arial" w:hAnsi="Arial"/>
          <w:sz w:val="13"/>
          <w:szCs w:val="13"/>
          <w:color w:val="auto"/>
        </w:rPr>
        <w:t xml:space="preserve">. </w:t>
      </w:r>
      <w:r>
        <w:rPr>
          <w:rFonts w:ascii="Arial" w:cs="Arial" w:eastAsia="Arial" w:hAnsi="Arial"/>
          <w:sz w:val="13"/>
          <w:szCs w:val="13"/>
          <w:u w:val="single" w:color="auto"/>
          <w:color w:val="auto"/>
        </w:rPr>
        <w:t>Lost Certificates</w:t>
      </w:r>
      <w:r>
        <w:rPr>
          <w:rFonts w:ascii="Arial" w:cs="Arial" w:eastAsia="Arial" w:hAnsi="Arial"/>
          <w:sz w:val="13"/>
          <w:szCs w:val="13"/>
          <w:color w:val="auto"/>
        </w:rPr>
        <w:t>. The Board of Directors may direct a new certificate to be issued in place of any certificate theretofore issued by the Corporation alleged to have been lost, stolen or destroyed, upon the making of an affidavit of that fact by the person claiming the certificate of stock to be lost, stolen or destroyed. When authorizing such issue of a new certificate, the Board of Directors may, in its discretion and as a condition precedent to the issuance thereof, require the owner of such lost, stolen or destroyed certificate, or such owner’s legal representative, to advertise the same in such manner as the Board of Directors shall require and/or to give the Corporation a bond in such sum as it may direct as indemnity against any claim that may be made against the Corporation with respect to the certificate alleged to have been lost, stolen or destroyed.</w:t>
      </w:r>
    </w:p>
    <w:p>
      <w:pPr>
        <w:spacing w:after="0" w:line="55" w:lineRule="exact"/>
        <w:rPr>
          <w:sz w:val="20"/>
          <w:szCs w:val="20"/>
          <w:color w:val="auto"/>
        </w:rPr>
      </w:pPr>
    </w:p>
    <w:p>
      <w:pPr>
        <w:ind w:right="180" w:firstLine="168"/>
        <w:spacing w:after="0" w:line="338" w:lineRule="auto"/>
        <w:rPr>
          <w:sz w:val="20"/>
          <w:szCs w:val="20"/>
          <w:color w:val="auto"/>
        </w:rPr>
      </w:pPr>
      <w:r>
        <w:rPr>
          <w:rFonts w:ascii="Arial" w:cs="Arial" w:eastAsia="Arial" w:hAnsi="Arial"/>
          <w:sz w:val="12"/>
          <w:szCs w:val="12"/>
          <w:u w:val="single" w:color="auto"/>
          <w:color w:val="auto"/>
        </w:rPr>
        <w:t>Section 4</w:t>
      </w:r>
      <w:r>
        <w:rPr>
          <w:rFonts w:ascii="Arial" w:cs="Arial" w:eastAsia="Arial" w:hAnsi="Arial"/>
          <w:sz w:val="12"/>
          <w:szCs w:val="12"/>
          <w:color w:val="auto"/>
        </w:rPr>
        <w:t xml:space="preserve">. </w:t>
      </w:r>
      <w:r>
        <w:rPr>
          <w:rFonts w:ascii="Arial" w:cs="Arial" w:eastAsia="Arial" w:hAnsi="Arial"/>
          <w:sz w:val="12"/>
          <w:szCs w:val="12"/>
          <w:u w:val="single" w:color="auto"/>
          <w:color w:val="auto"/>
        </w:rPr>
        <w:t>Transfers</w:t>
      </w:r>
      <w:r>
        <w:rPr>
          <w:rFonts w:ascii="Arial" w:cs="Arial" w:eastAsia="Arial" w:hAnsi="Arial"/>
          <w:sz w:val="12"/>
          <w:szCs w:val="12"/>
          <w:color w:val="auto"/>
        </w:rPr>
        <w:t>. Stock of the Corporation shall be transferable in the manner prescribed by law and in these By-laws. Transfers of stock shall be made on the books of the Corporation only by the person named in the certificate or by his attorney lawfully constituted in writing and upon the surrender of the certificate therefor, which shall be canceled before a new certificate shall be issued.</w:t>
      </w:r>
    </w:p>
    <w:p>
      <w:pPr>
        <w:spacing w:after="0" w:line="14" w:lineRule="exact"/>
        <w:rPr>
          <w:sz w:val="20"/>
          <w:szCs w:val="20"/>
          <w:color w:val="auto"/>
        </w:rPr>
      </w:pPr>
    </w:p>
    <w:p>
      <w:pPr>
        <w:ind w:right="40" w:firstLine="168"/>
        <w:spacing w:after="0" w:line="276" w:lineRule="auto"/>
        <w:rPr>
          <w:sz w:val="20"/>
          <w:szCs w:val="20"/>
          <w:color w:val="auto"/>
        </w:rPr>
      </w:pPr>
      <w:r>
        <w:rPr>
          <w:rFonts w:ascii="Arial" w:cs="Arial" w:eastAsia="Arial" w:hAnsi="Arial"/>
          <w:sz w:val="13"/>
          <w:szCs w:val="13"/>
          <w:u w:val="single" w:color="auto"/>
          <w:color w:val="auto"/>
        </w:rPr>
        <w:t>Section 5</w:t>
      </w:r>
      <w:r>
        <w:rPr>
          <w:rFonts w:ascii="Arial" w:cs="Arial" w:eastAsia="Arial" w:hAnsi="Arial"/>
          <w:sz w:val="13"/>
          <w:szCs w:val="13"/>
          <w:color w:val="auto"/>
        </w:rPr>
        <w:t xml:space="preserve">. </w:t>
      </w:r>
      <w:r>
        <w:rPr>
          <w:rFonts w:ascii="Arial" w:cs="Arial" w:eastAsia="Arial" w:hAnsi="Arial"/>
          <w:sz w:val="13"/>
          <w:szCs w:val="13"/>
          <w:u w:val="single" w:color="auto"/>
          <w:color w:val="auto"/>
        </w:rPr>
        <w:t>Record Date</w:t>
      </w:r>
      <w:r>
        <w:rPr>
          <w:rFonts w:ascii="Arial" w:cs="Arial" w:eastAsia="Arial" w:hAnsi="Arial"/>
          <w:sz w:val="13"/>
          <w:szCs w:val="13"/>
          <w:color w:val="auto"/>
        </w:rPr>
        <w:t>. In order that the Corporation may determine the stockholders entitled to notice of or to vote at any meeting of 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sixty (60) days nor less than ten (10) days before the date of such</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440"/>
          </w:cols>
          <w:pgMar w:left="220" w:top="733" w:right="239" w:bottom="1440" w:gutter="0" w:footer="0" w:header="0"/>
        </w:sectPr>
      </w:pPr>
    </w:p>
    <w:bookmarkStart w:id="40" w:name="page41"/>
    <w:bookmarkEnd w:id="40"/>
    <w:p>
      <w:pPr>
        <w:spacing w:after="0" w:line="294" w:lineRule="auto"/>
        <w:rPr>
          <w:sz w:val="20"/>
          <w:szCs w:val="20"/>
          <w:color w:val="auto"/>
        </w:rPr>
      </w:pPr>
      <w:r>
        <w:rPr>
          <w:rFonts w:ascii="Arial" w:cs="Arial" w:eastAsia="Arial" w:hAnsi="Arial"/>
          <w:sz w:val="13"/>
          <w:szCs w:val="13"/>
          <w:color w:val="auto"/>
        </w:rPr>
        <w:t>meeting, nor more than sixty (60) days prior to any other action. 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37" w:lineRule="exact"/>
        <w:rPr>
          <w:sz w:val="20"/>
          <w:szCs w:val="20"/>
          <w:color w:val="auto"/>
        </w:rPr>
      </w:pPr>
    </w:p>
    <w:p>
      <w:pPr>
        <w:jc w:val="both"/>
        <w:ind w:right="80" w:firstLine="168"/>
        <w:spacing w:after="0" w:line="276" w:lineRule="auto"/>
        <w:rPr>
          <w:sz w:val="20"/>
          <w:szCs w:val="20"/>
          <w:color w:val="auto"/>
        </w:rPr>
      </w:pPr>
      <w:r>
        <w:rPr>
          <w:rFonts w:ascii="Arial" w:cs="Arial" w:eastAsia="Arial" w:hAnsi="Arial"/>
          <w:sz w:val="13"/>
          <w:szCs w:val="13"/>
          <w:u w:val="single" w:color="auto"/>
          <w:color w:val="auto"/>
        </w:rPr>
        <w:t>Section 6</w:t>
      </w:r>
      <w:r>
        <w:rPr>
          <w:rFonts w:ascii="Arial" w:cs="Arial" w:eastAsia="Arial" w:hAnsi="Arial"/>
          <w:sz w:val="13"/>
          <w:szCs w:val="13"/>
          <w:color w:val="auto"/>
        </w:rPr>
        <w:t xml:space="preserve">. </w:t>
      </w:r>
      <w:r>
        <w:rPr>
          <w:rFonts w:ascii="Arial" w:cs="Arial" w:eastAsia="Arial" w:hAnsi="Arial"/>
          <w:sz w:val="13"/>
          <w:szCs w:val="13"/>
          <w:u w:val="single" w:color="auto"/>
          <w:color w:val="auto"/>
        </w:rPr>
        <w:t>Beneficial Owners</w:t>
      </w:r>
      <w:r>
        <w:rPr>
          <w:rFonts w:ascii="Arial" w:cs="Arial" w:eastAsia="Arial" w:hAnsi="Arial"/>
          <w:sz w:val="13"/>
          <w:szCs w:val="13"/>
          <w:color w:val="auto"/>
        </w:rPr>
        <w:t>.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law.</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ARTICLE VI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NOTICES</w:t>
      </w:r>
    </w:p>
    <w:p>
      <w:pPr>
        <w:spacing w:after="0" w:line="82" w:lineRule="exact"/>
        <w:rPr>
          <w:sz w:val="20"/>
          <w:szCs w:val="20"/>
          <w:color w:val="auto"/>
        </w:rPr>
      </w:pPr>
    </w:p>
    <w:p>
      <w:pPr>
        <w:ind w:right="180" w:firstLine="168"/>
        <w:spacing w:after="0" w:line="309" w:lineRule="auto"/>
        <w:rPr>
          <w:sz w:val="20"/>
          <w:szCs w:val="20"/>
          <w:color w:val="auto"/>
        </w:rPr>
      </w:pPr>
      <w:r>
        <w:rPr>
          <w:rFonts w:ascii="Arial" w:cs="Arial" w:eastAsia="Arial" w:hAnsi="Arial"/>
          <w:sz w:val="12"/>
          <w:szCs w:val="12"/>
          <w:u w:val="single" w:color="auto"/>
          <w:color w:val="auto"/>
        </w:rPr>
        <w:t>Section 1</w:t>
      </w:r>
      <w:r>
        <w:rPr>
          <w:rFonts w:ascii="Arial" w:cs="Arial" w:eastAsia="Arial" w:hAnsi="Arial"/>
          <w:sz w:val="12"/>
          <w:szCs w:val="12"/>
          <w:color w:val="auto"/>
        </w:rPr>
        <w:t xml:space="preserve">. </w:t>
      </w:r>
      <w:r>
        <w:rPr>
          <w:rFonts w:ascii="Arial" w:cs="Arial" w:eastAsia="Arial" w:hAnsi="Arial"/>
          <w:sz w:val="12"/>
          <w:szCs w:val="12"/>
          <w:u w:val="single" w:color="auto"/>
          <w:color w:val="auto"/>
        </w:rPr>
        <w:t>Notices</w:t>
      </w:r>
      <w:r>
        <w:rPr>
          <w:rFonts w:ascii="Arial" w:cs="Arial" w:eastAsia="Arial" w:hAnsi="Arial"/>
          <w:sz w:val="12"/>
          <w:szCs w:val="12"/>
          <w:color w:val="auto"/>
        </w:rPr>
        <w:t>. Whenever written notice is required by law, the Corporation’s Certificate of Incorporation or these By-laws, to be given to any director, member of a committee or stockholder, such notice may be given by mail, addressed to such director, member of a committee or stockholder, at his address as it appears on the records of the Corporation, with postage thereon prepaid, and such notice shall be deemed to be given at the time when the same shall be deposited in the United States mail. Written notice may also be given personally or by electronic facsimile, telegram, telex or cable.</w:t>
      </w:r>
    </w:p>
    <w:p>
      <w:pPr>
        <w:spacing w:after="0" w:line="31" w:lineRule="exact"/>
        <w:rPr>
          <w:sz w:val="20"/>
          <w:szCs w:val="20"/>
          <w:color w:val="auto"/>
        </w:rPr>
      </w:pPr>
    </w:p>
    <w:p>
      <w:pPr>
        <w:ind w:right="360" w:firstLine="168"/>
        <w:spacing w:after="0" w:line="294" w:lineRule="auto"/>
        <w:rPr>
          <w:sz w:val="20"/>
          <w:szCs w:val="20"/>
          <w:color w:val="auto"/>
        </w:rPr>
      </w:pPr>
      <w:r>
        <w:rPr>
          <w:rFonts w:ascii="Arial" w:cs="Arial" w:eastAsia="Arial" w:hAnsi="Arial"/>
          <w:sz w:val="13"/>
          <w:szCs w:val="13"/>
          <w:u w:val="single" w:color="auto"/>
          <w:color w:val="auto"/>
        </w:rPr>
        <w:t>Section 2</w:t>
      </w:r>
      <w:r>
        <w:rPr>
          <w:rFonts w:ascii="Arial" w:cs="Arial" w:eastAsia="Arial" w:hAnsi="Arial"/>
          <w:sz w:val="13"/>
          <w:szCs w:val="13"/>
          <w:color w:val="auto"/>
        </w:rPr>
        <w:t xml:space="preserve">. </w:t>
      </w:r>
      <w:r>
        <w:rPr>
          <w:rFonts w:ascii="Arial" w:cs="Arial" w:eastAsia="Arial" w:hAnsi="Arial"/>
          <w:sz w:val="13"/>
          <w:szCs w:val="13"/>
          <w:u w:val="single" w:color="auto"/>
          <w:color w:val="auto"/>
        </w:rPr>
        <w:t>Waivers of Notice</w:t>
      </w:r>
      <w:r>
        <w:rPr>
          <w:rFonts w:ascii="Arial" w:cs="Arial" w:eastAsia="Arial" w:hAnsi="Arial"/>
          <w:sz w:val="13"/>
          <w:szCs w:val="13"/>
          <w:color w:val="auto"/>
        </w:rPr>
        <w:t>. Whenever any notice is required by law, the Corporation’s Certificate of Incorporation or these By-laws, to be given to any director, member of a committee or stockholder, a waiver thereof in writing, signed, by the person or persons entitled to said notice, whether before or after the time stated therein, shall be deemed equivalent thereto.</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ARTICLE VII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GENERAL PROVISIONS</w:t>
      </w:r>
    </w:p>
    <w:p>
      <w:pPr>
        <w:spacing w:after="0" w:line="82" w:lineRule="exact"/>
        <w:rPr>
          <w:sz w:val="20"/>
          <w:szCs w:val="20"/>
          <w:color w:val="auto"/>
        </w:rPr>
      </w:pPr>
    </w:p>
    <w:p>
      <w:pPr>
        <w:ind w:right="40" w:firstLine="168"/>
        <w:spacing w:after="0" w:line="270" w:lineRule="auto"/>
        <w:rPr>
          <w:sz w:val="20"/>
          <w:szCs w:val="20"/>
          <w:color w:val="auto"/>
        </w:rPr>
      </w:pPr>
      <w:r>
        <w:rPr>
          <w:rFonts w:ascii="Arial" w:cs="Arial" w:eastAsia="Arial" w:hAnsi="Arial"/>
          <w:sz w:val="13"/>
          <w:szCs w:val="13"/>
          <w:u w:val="single" w:color="auto"/>
          <w:color w:val="auto"/>
        </w:rPr>
        <w:t>Section 1</w:t>
      </w:r>
      <w:r>
        <w:rPr>
          <w:rFonts w:ascii="Arial" w:cs="Arial" w:eastAsia="Arial" w:hAnsi="Arial"/>
          <w:sz w:val="13"/>
          <w:szCs w:val="13"/>
          <w:color w:val="auto"/>
        </w:rPr>
        <w:t xml:space="preserve">. </w:t>
      </w:r>
      <w:r>
        <w:rPr>
          <w:rFonts w:ascii="Arial" w:cs="Arial" w:eastAsia="Arial" w:hAnsi="Arial"/>
          <w:sz w:val="13"/>
          <w:szCs w:val="13"/>
          <w:u w:val="single" w:color="auto"/>
          <w:color w:val="auto"/>
        </w:rPr>
        <w:t>Dividends</w:t>
      </w:r>
      <w:r>
        <w:rPr>
          <w:rFonts w:ascii="Arial" w:cs="Arial" w:eastAsia="Arial" w:hAnsi="Arial"/>
          <w:sz w:val="13"/>
          <w:szCs w:val="13"/>
          <w:color w:val="auto"/>
        </w:rPr>
        <w:t>. Dividends upon the capital stock of the Corporation, subject to the provisions of the Corporation’s Certificate of Incorporation, if any, may be declared by the Board of Directors at any regular or special meeting, and may be paid in cash, in property, or in shares of the capital stock. Before payment of any dividend, there may be set aside out of any funds of the Corporation available for dividends such sum or sums as the Board of Directors from time to time, in its absolute discretion, deems proper as a reserve or reserves to meet contingencies, or for equalizing dividends, or for repairing or maintaining any property of the Corporation, or for any proper purpose, and the Board of Directors may modify or abolish any such reserve.</w:t>
      </w:r>
    </w:p>
    <w:p>
      <w:pPr>
        <w:spacing w:after="0" w:line="53" w:lineRule="exact"/>
        <w:rPr>
          <w:sz w:val="20"/>
          <w:szCs w:val="20"/>
          <w:color w:val="auto"/>
        </w:rPr>
      </w:pPr>
    </w:p>
    <w:p>
      <w:pPr>
        <w:ind w:right="140" w:firstLine="168"/>
        <w:spacing w:after="0" w:line="294" w:lineRule="auto"/>
        <w:rPr>
          <w:sz w:val="20"/>
          <w:szCs w:val="20"/>
          <w:color w:val="auto"/>
        </w:rPr>
      </w:pPr>
      <w:r>
        <w:rPr>
          <w:rFonts w:ascii="Arial" w:cs="Arial" w:eastAsia="Arial" w:hAnsi="Arial"/>
          <w:sz w:val="13"/>
          <w:szCs w:val="13"/>
          <w:u w:val="single" w:color="auto"/>
          <w:color w:val="auto"/>
        </w:rPr>
        <w:t>Section 2</w:t>
      </w:r>
      <w:r>
        <w:rPr>
          <w:rFonts w:ascii="Arial" w:cs="Arial" w:eastAsia="Arial" w:hAnsi="Arial"/>
          <w:sz w:val="13"/>
          <w:szCs w:val="13"/>
          <w:color w:val="auto"/>
        </w:rPr>
        <w:t xml:space="preserve">. </w:t>
      </w:r>
      <w:r>
        <w:rPr>
          <w:rFonts w:ascii="Arial" w:cs="Arial" w:eastAsia="Arial" w:hAnsi="Arial"/>
          <w:sz w:val="13"/>
          <w:szCs w:val="13"/>
          <w:u w:val="single" w:color="auto"/>
          <w:color w:val="auto"/>
        </w:rPr>
        <w:t>Disbursements</w:t>
      </w:r>
      <w:r>
        <w:rPr>
          <w:rFonts w:ascii="Arial" w:cs="Arial" w:eastAsia="Arial" w:hAnsi="Arial"/>
          <w:sz w:val="13"/>
          <w:szCs w:val="13"/>
          <w:color w:val="auto"/>
        </w:rPr>
        <w:t>. All checks or demands for money and notes of the Corporation shall be signed by such officer or officers or such other person or persons as the Board of Directors may from time to time designate.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460"/>
          </w:cols>
          <w:pgMar w:left="220" w:top="733" w:right="219" w:bottom="1440" w:gutter="0" w:footer="0" w:header="0"/>
        </w:sectPr>
      </w:pPr>
    </w:p>
    <w:bookmarkStart w:id="41" w:name="page42"/>
    <w:bookmarkEnd w:id="41"/>
    <w:p>
      <w:pPr>
        <w:ind w:left="160"/>
        <w:spacing w:after="0"/>
        <w:rPr>
          <w:sz w:val="20"/>
          <w:szCs w:val="20"/>
          <w:color w:val="auto"/>
        </w:rPr>
      </w:pPr>
      <w:r>
        <w:rPr>
          <w:rFonts w:ascii="Arial" w:cs="Arial" w:eastAsia="Arial" w:hAnsi="Arial"/>
          <w:sz w:val="13"/>
          <w:szCs w:val="13"/>
          <w:u w:val="single" w:color="auto"/>
          <w:color w:val="auto"/>
        </w:rPr>
        <w:t>Section 3</w:t>
      </w:r>
      <w:r>
        <w:rPr>
          <w:rFonts w:ascii="Arial" w:cs="Arial" w:eastAsia="Arial" w:hAnsi="Arial"/>
          <w:sz w:val="13"/>
          <w:szCs w:val="13"/>
          <w:color w:val="auto"/>
        </w:rPr>
        <w:t xml:space="preserve">. </w:t>
      </w:r>
      <w:r>
        <w:rPr>
          <w:rFonts w:ascii="Arial" w:cs="Arial" w:eastAsia="Arial" w:hAnsi="Arial"/>
          <w:sz w:val="13"/>
          <w:szCs w:val="13"/>
          <w:u w:val="single" w:color="auto"/>
          <w:color w:val="auto"/>
        </w:rPr>
        <w:t>Fiscal Year</w:t>
      </w:r>
      <w:r>
        <w:rPr>
          <w:rFonts w:ascii="Arial" w:cs="Arial" w:eastAsia="Arial" w:hAnsi="Arial"/>
          <w:sz w:val="13"/>
          <w:szCs w:val="13"/>
          <w:color w:val="auto"/>
        </w:rPr>
        <w:t>. The fiscal year of the Corporation shall be fixed by resolution of the Board of Directors.</w:t>
      </w:r>
    </w:p>
    <w:p>
      <w:pPr>
        <w:spacing w:after="0" w:line="92"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Section 4</w:t>
      </w:r>
      <w:r>
        <w:rPr>
          <w:rFonts w:ascii="Arial" w:cs="Arial" w:eastAsia="Arial" w:hAnsi="Arial"/>
          <w:sz w:val="13"/>
          <w:szCs w:val="13"/>
          <w:color w:val="auto"/>
        </w:rPr>
        <w:t xml:space="preserve">. </w:t>
      </w:r>
      <w:r>
        <w:rPr>
          <w:rFonts w:ascii="Arial" w:cs="Arial" w:eastAsia="Arial" w:hAnsi="Arial"/>
          <w:sz w:val="13"/>
          <w:szCs w:val="13"/>
          <w:u w:val="single" w:color="auto"/>
          <w:color w:val="auto"/>
        </w:rPr>
        <w:t>Corporate Seal</w:t>
      </w:r>
      <w:r>
        <w:rPr>
          <w:rFonts w:ascii="Arial" w:cs="Arial" w:eastAsia="Arial" w:hAnsi="Arial"/>
          <w:sz w:val="13"/>
          <w:szCs w:val="13"/>
          <w:color w:val="auto"/>
        </w:rPr>
        <w:t>. The corporate seal, if there shall be one, shall be in such form as the Board of Directors may prescribe.</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ARTICLE VIII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INDEMNIFICATION</w:t>
      </w:r>
    </w:p>
    <w:p>
      <w:pPr>
        <w:spacing w:after="0" w:line="82" w:lineRule="exact"/>
        <w:rPr>
          <w:sz w:val="20"/>
          <w:szCs w:val="20"/>
          <w:color w:val="auto"/>
        </w:rPr>
      </w:pPr>
    </w:p>
    <w:p>
      <w:pPr>
        <w:ind w:right="40" w:firstLine="168"/>
        <w:spacing w:after="0" w:line="288" w:lineRule="auto"/>
        <w:rPr>
          <w:sz w:val="20"/>
          <w:szCs w:val="20"/>
          <w:color w:val="auto"/>
        </w:rPr>
      </w:pPr>
      <w:r>
        <w:rPr>
          <w:rFonts w:ascii="Arial" w:cs="Arial" w:eastAsia="Arial" w:hAnsi="Arial"/>
          <w:sz w:val="12"/>
          <w:szCs w:val="12"/>
          <w:u w:val="single" w:color="auto"/>
          <w:color w:val="auto"/>
        </w:rPr>
        <w:t>Section 1</w:t>
      </w:r>
      <w:r>
        <w:rPr>
          <w:rFonts w:ascii="Arial" w:cs="Arial" w:eastAsia="Arial" w:hAnsi="Arial"/>
          <w:sz w:val="12"/>
          <w:szCs w:val="12"/>
          <w:color w:val="auto"/>
        </w:rPr>
        <w:t xml:space="preserve">. </w:t>
      </w:r>
      <w:r>
        <w:rPr>
          <w:rFonts w:ascii="Arial" w:cs="Arial" w:eastAsia="Arial" w:hAnsi="Arial"/>
          <w:sz w:val="12"/>
          <w:szCs w:val="12"/>
          <w:u w:val="single" w:color="auto"/>
          <w:color w:val="auto"/>
        </w:rPr>
        <w:t>Power to Indemnify in Actions, Suits or Proceedings Other than Those by or in the Right of the Corporation</w:t>
      </w:r>
      <w:r>
        <w:rPr>
          <w:rFonts w:ascii="Arial" w:cs="Arial" w:eastAsia="Arial" w:hAnsi="Arial"/>
          <w:sz w:val="12"/>
          <w:szCs w:val="12"/>
          <w:color w:val="auto"/>
        </w:rPr>
        <w:t xml:space="preserve">. Subject to Section 3 of this Article VIII, the Corporation shall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a director or officer of the Corporation, or is or was serving at the request of the Corporation as a director, officer, employee or agent of another corporation, partnership, joint venture, trust, employee benefit plan or other enterprise,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The termination of any action, suit or proceeding by judgment, order, settlement, conviction, or upon a plea of </w:t>
      </w:r>
      <w:r>
        <w:rPr>
          <w:rFonts w:ascii="Arial" w:cs="Arial" w:eastAsia="Arial" w:hAnsi="Arial"/>
          <w:sz w:val="12"/>
          <w:szCs w:val="12"/>
          <w:u w:val="single" w:color="auto"/>
          <w:color w:val="auto"/>
        </w:rPr>
        <w:t>nolo contendere</w:t>
      </w:r>
      <w:r>
        <w:rPr>
          <w:rFonts w:ascii="Arial" w:cs="Arial" w:eastAsia="Arial" w:hAnsi="Arial"/>
          <w:sz w:val="12"/>
          <w:szCs w:val="12"/>
          <w:color w:val="auto"/>
        </w:rPr>
        <w:t xml:space="preserve"> or its equivalent, shall not, of itself, create a presumption that such person did not act in good faith and in a manner which such person reasonably believed to be in or not opposed to the best interests of the Corporation, and, with respect to any criminal action or proceeding, had reasonable cause to believe that his conduct was unlawful.</w:t>
      </w:r>
    </w:p>
    <w:p>
      <w:pPr>
        <w:spacing w:after="0" w:line="46" w:lineRule="exact"/>
        <w:rPr>
          <w:sz w:val="20"/>
          <w:szCs w:val="20"/>
          <w:color w:val="auto"/>
        </w:rPr>
      </w:pPr>
    </w:p>
    <w:p>
      <w:pPr>
        <w:ind w:firstLine="168"/>
        <w:spacing w:after="0" w:line="263" w:lineRule="auto"/>
        <w:rPr>
          <w:sz w:val="20"/>
          <w:szCs w:val="20"/>
          <w:color w:val="auto"/>
        </w:rPr>
      </w:pPr>
      <w:r>
        <w:rPr>
          <w:rFonts w:ascii="Arial" w:cs="Arial" w:eastAsia="Arial" w:hAnsi="Arial"/>
          <w:sz w:val="13"/>
          <w:szCs w:val="13"/>
          <w:u w:val="single" w:color="auto"/>
          <w:color w:val="auto"/>
        </w:rPr>
        <w:t>Section 2</w:t>
      </w:r>
      <w:r>
        <w:rPr>
          <w:rFonts w:ascii="Arial" w:cs="Arial" w:eastAsia="Arial" w:hAnsi="Arial"/>
          <w:sz w:val="13"/>
          <w:szCs w:val="13"/>
          <w:color w:val="auto"/>
        </w:rPr>
        <w:t xml:space="preserve">. </w:t>
      </w:r>
      <w:r>
        <w:rPr>
          <w:rFonts w:ascii="Arial" w:cs="Arial" w:eastAsia="Arial" w:hAnsi="Arial"/>
          <w:sz w:val="13"/>
          <w:szCs w:val="13"/>
          <w:u w:val="single" w:color="auto"/>
          <w:color w:val="auto"/>
        </w:rPr>
        <w:t>Power to Indemnify in Actions, Suits or Proceedings by or in the Right of the Corporation</w:t>
      </w:r>
      <w:r>
        <w:rPr>
          <w:rFonts w:ascii="Arial" w:cs="Arial" w:eastAsia="Arial" w:hAnsi="Arial"/>
          <w:sz w:val="13"/>
          <w:szCs w:val="13"/>
          <w:color w:val="auto"/>
        </w:rPr>
        <w:t>. Subject to Section 3 of this Article VIII, the Corporation shall indemnify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is or was serving at the request of the Corporation as a director, officer, employee or agent of another corporation, partnership, joint venture, trust, employee benefit plan or other enterprise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460"/>
          </w:cols>
          <w:pgMar w:left="220" w:top="733" w:right="219" w:bottom="1440" w:gutter="0" w:footer="0" w:header="0"/>
        </w:sectPr>
      </w:pPr>
    </w:p>
    <w:bookmarkStart w:id="42" w:name="page43"/>
    <w:bookmarkEnd w:id="42"/>
    <w:p>
      <w:pPr>
        <w:ind w:right="120" w:firstLine="168"/>
        <w:spacing w:after="0" w:line="292" w:lineRule="auto"/>
        <w:rPr>
          <w:sz w:val="20"/>
          <w:szCs w:val="20"/>
          <w:color w:val="auto"/>
        </w:rPr>
      </w:pPr>
      <w:r>
        <w:rPr>
          <w:rFonts w:ascii="Arial" w:cs="Arial" w:eastAsia="Arial" w:hAnsi="Arial"/>
          <w:sz w:val="12"/>
          <w:szCs w:val="12"/>
          <w:u w:val="single" w:color="auto"/>
          <w:color w:val="auto"/>
        </w:rPr>
        <w:t>Section 3</w:t>
      </w:r>
      <w:r>
        <w:rPr>
          <w:rFonts w:ascii="Arial" w:cs="Arial" w:eastAsia="Arial" w:hAnsi="Arial"/>
          <w:sz w:val="12"/>
          <w:szCs w:val="12"/>
          <w:color w:val="auto"/>
        </w:rPr>
        <w:t xml:space="preserve">. </w:t>
      </w:r>
      <w:r>
        <w:rPr>
          <w:rFonts w:ascii="Arial" w:cs="Arial" w:eastAsia="Arial" w:hAnsi="Arial"/>
          <w:sz w:val="12"/>
          <w:szCs w:val="12"/>
          <w:u w:val="single" w:color="auto"/>
          <w:color w:val="auto"/>
        </w:rPr>
        <w:t>Authorization of Indemnification</w:t>
      </w:r>
      <w:r>
        <w:rPr>
          <w:rFonts w:ascii="Arial" w:cs="Arial" w:eastAsia="Arial" w:hAnsi="Arial"/>
          <w:sz w:val="12"/>
          <w:szCs w:val="12"/>
          <w:color w:val="auto"/>
        </w:rPr>
        <w:t>. Any indemnification under this Article VIII (unless ordered by a court) shall be made by the Corporation only as authorized in the specific case upon a determination that indemnification of the director or officer is proper in the circumstances because such person has met the applicable standard of conduct set forth in Section 1 or Section 2 of this Article VIII, as the case may be. Such determination shall be made (i) by the Board of Directors by a majority vote of the directors who are not parties to such action, suit or proceeding, even though less than a quorum, or (ii) if there are no such directors or if such directors so direct, by independent legal counsel in a written opinion, or (iii) by the stockholders. To the extent, however, that a director or officer of the Corporation has been successful on the merits or otherwise in defense of any action, suit or proceeding described above, or in defense of any claim, issue or matter therein, such person shall be indemnified against expenses (including attorneys’ fees) actually and reasonably incurred by him in connection therewith, without the necessity of authorization in the specific case.</w:t>
      </w:r>
    </w:p>
    <w:p>
      <w:pPr>
        <w:spacing w:after="0" w:line="41" w:lineRule="exact"/>
        <w:rPr>
          <w:sz w:val="20"/>
          <w:szCs w:val="20"/>
          <w:color w:val="auto"/>
        </w:rPr>
      </w:pPr>
    </w:p>
    <w:p>
      <w:pPr>
        <w:ind w:right="80" w:firstLine="168"/>
        <w:spacing w:after="0" w:line="263" w:lineRule="auto"/>
        <w:rPr>
          <w:sz w:val="20"/>
          <w:szCs w:val="20"/>
          <w:color w:val="auto"/>
        </w:rPr>
      </w:pPr>
      <w:r>
        <w:rPr>
          <w:rFonts w:ascii="Arial" w:cs="Arial" w:eastAsia="Arial" w:hAnsi="Arial"/>
          <w:sz w:val="13"/>
          <w:szCs w:val="13"/>
          <w:u w:val="single" w:color="auto"/>
          <w:color w:val="auto"/>
        </w:rPr>
        <w:t>Section 4</w:t>
      </w:r>
      <w:r>
        <w:rPr>
          <w:rFonts w:ascii="Arial" w:cs="Arial" w:eastAsia="Arial" w:hAnsi="Arial"/>
          <w:sz w:val="13"/>
          <w:szCs w:val="13"/>
          <w:color w:val="auto"/>
        </w:rPr>
        <w:t xml:space="preserve">. </w:t>
      </w:r>
      <w:r>
        <w:rPr>
          <w:rFonts w:ascii="Arial" w:cs="Arial" w:eastAsia="Arial" w:hAnsi="Arial"/>
          <w:sz w:val="13"/>
          <w:szCs w:val="13"/>
          <w:u w:val="single" w:color="auto"/>
          <w:color w:val="auto"/>
        </w:rPr>
        <w:t>Good Faith Defined</w:t>
      </w:r>
      <w:r>
        <w:rPr>
          <w:rFonts w:ascii="Arial" w:cs="Arial" w:eastAsia="Arial" w:hAnsi="Arial"/>
          <w:sz w:val="13"/>
          <w:szCs w:val="13"/>
          <w:color w:val="auto"/>
        </w:rPr>
        <w:t>. For purposes of any determination under Section 3 of this Article VIII, a person shall be deemed to have acted in good faith and in a manner such person reasonably believed to be in or not opposed to the best interests of the Corporation, or, with respect to any criminal action or proceeding, to have had no reasonable cause to believe such person’s conduct was unlawful, if such person’s action is based on the records or books of account of the Corporation or another enterprise, or on information supplied to such person by the officers of the Corporation or another enterprise in the course of their duties, or on the advice of legal counsel for the Corporation or another enterprise or on information or records given or reports made to the Corporation or another enterprise by an independent certified public accountant or by an appraiser or other expert selected with reasonable care by the Corporation or another enterprise. The term “another enterprise” as used in this Section 4 of this Article VIII shall mean any other corporation or any partnership, joint venture, trust, employee benefit plan or other enterprise of which such person is or was serving at the request of the Corporation as a director, officer, employee or agent. The provisions of this Section 4 of this Article VIII shall not be deemed to be exclusive or to limit in any way the circumstances in which a person may be deemed to have met the applicable standard of conduct set forth in Section 1 or Section 2 of this Article VIII, as the case may be.</w:t>
      </w:r>
    </w:p>
    <w:p>
      <w:pPr>
        <w:spacing w:after="0" w:line="60" w:lineRule="exact"/>
        <w:rPr>
          <w:sz w:val="20"/>
          <w:szCs w:val="20"/>
          <w:color w:val="auto"/>
        </w:rPr>
      </w:pPr>
    </w:p>
    <w:p>
      <w:pPr>
        <w:ind w:firstLine="168"/>
        <w:spacing w:after="0" w:line="292" w:lineRule="auto"/>
        <w:rPr>
          <w:sz w:val="20"/>
          <w:szCs w:val="20"/>
          <w:color w:val="auto"/>
        </w:rPr>
      </w:pPr>
      <w:r>
        <w:rPr>
          <w:rFonts w:ascii="Arial" w:cs="Arial" w:eastAsia="Arial" w:hAnsi="Arial"/>
          <w:sz w:val="12"/>
          <w:szCs w:val="12"/>
          <w:u w:val="single" w:color="auto"/>
          <w:color w:val="auto"/>
        </w:rPr>
        <w:t>Section 5</w:t>
      </w:r>
      <w:r>
        <w:rPr>
          <w:rFonts w:ascii="Arial" w:cs="Arial" w:eastAsia="Arial" w:hAnsi="Arial"/>
          <w:sz w:val="12"/>
          <w:szCs w:val="12"/>
          <w:color w:val="auto"/>
        </w:rPr>
        <w:t xml:space="preserve">. </w:t>
      </w:r>
      <w:r>
        <w:rPr>
          <w:rFonts w:ascii="Arial" w:cs="Arial" w:eastAsia="Arial" w:hAnsi="Arial"/>
          <w:sz w:val="12"/>
          <w:szCs w:val="12"/>
          <w:u w:val="single" w:color="auto"/>
          <w:color w:val="auto"/>
        </w:rPr>
        <w:t>Indemnification by a Court</w:t>
      </w:r>
      <w:r>
        <w:rPr>
          <w:rFonts w:ascii="Arial" w:cs="Arial" w:eastAsia="Arial" w:hAnsi="Arial"/>
          <w:sz w:val="12"/>
          <w:szCs w:val="12"/>
          <w:color w:val="auto"/>
        </w:rPr>
        <w:t>. Notwithstanding any contrary determination in the specific case under Section 3 of this Article VIII, and notwithstanding the absence of any determination thereunder, any director or officer may apply to any court of competent jurisdiction in the State of Delaware for indemnification to the extent otherwise permissible under Sections 1 and 2 of this Article VIII. The basis of such indemnification by a court shall be a determination by such court that indemnification of the director or officer is proper in the circumstances because such person has met the applicable standards of conduct set forth in Section 1 or Section 2 of this Article VIII, as the case may be. Neither a contrary determination in the specific case under Section 3 of this Article VIII nor the absence of any determination thereunder shall be a defense to such application or create a presumption that the director or officer seeking indemnification has not met any applicable standard of conduct. Notice of any application for indemnification pursuant to this Section 5 of this Article VIII shall be given to the Corporation promptly upon the filing of such application. If successful, in whole or in part, the</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460"/>
          </w:cols>
          <w:pgMar w:left="220" w:top="733" w:right="219" w:bottom="1440" w:gutter="0" w:footer="0" w:header="0"/>
        </w:sectPr>
      </w:pPr>
    </w:p>
    <w:bookmarkStart w:id="43" w:name="page44"/>
    <w:bookmarkEnd w:id="43"/>
    <w:p>
      <w:pPr>
        <w:spacing w:after="0"/>
        <w:rPr>
          <w:sz w:val="20"/>
          <w:szCs w:val="20"/>
          <w:color w:val="auto"/>
        </w:rPr>
      </w:pPr>
      <w:r>
        <w:rPr>
          <w:rFonts w:ascii="Arial" w:cs="Arial" w:eastAsia="Arial" w:hAnsi="Arial"/>
          <w:sz w:val="13"/>
          <w:szCs w:val="13"/>
          <w:color w:val="auto"/>
        </w:rPr>
        <w:t>director or officer seeking indemnification shall also be entitled to be paid the expense of prosecuting such application.</w:t>
      </w:r>
    </w:p>
    <w:p>
      <w:pPr>
        <w:spacing w:after="0" w:line="92" w:lineRule="exact"/>
        <w:rPr>
          <w:sz w:val="20"/>
          <w:szCs w:val="20"/>
          <w:color w:val="auto"/>
        </w:rPr>
      </w:pPr>
    </w:p>
    <w:p>
      <w:pPr>
        <w:ind w:right="40" w:firstLine="168"/>
        <w:spacing w:after="0" w:line="309" w:lineRule="auto"/>
        <w:rPr>
          <w:sz w:val="20"/>
          <w:szCs w:val="20"/>
          <w:color w:val="auto"/>
        </w:rPr>
      </w:pPr>
      <w:r>
        <w:rPr>
          <w:rFonts w:ascii="Arial" w:cs="Arial" w:eastAsia="Arial" w:hAnsi="Arial"/>
          <w:sz w:val="12"/>
          <w:szCs w:val="12"/>
          <w:u w:val="single" w:color="auto"/>
          <w:color w:val="auto"/>
        </w:rPr>
        <w:t>Section 6</w:t>
      </w:r>
      <w:r>
        <w:rPr>
          <w:rFonts w:ascii="Arial" w:cs="Arial" w:eastAsia="Arial" w:hAnsi="Arial"/>
          <w:sz w:val="12"/>
          <w:szCs w:val="12"/>
          <w:color w:val="auto"/>
        </w:rPr>
        <w:t xml:space="preserve">. </w:t>
      </w:r>
      <w:r>
        <w:rPr>
          <w:rFonts w:ascii="Arial" w:cs="Arial" w:eastAsia="Arial" w:hAnsi="Arial"/>
          <w:sz w:val="12"/>
          <w:szCs w:val="12"/>
          <w:u w:val="single" w:color="auto"/>
          <w:color w:val="auto"/>
        </w:rPr>
        <w:t>Expenses Payable in Advance</w:t>
      </w:r>
      <w:r>
        <w:rPr>
          <w:rFonts w:ascii="Arial" w:cs="Arial" w:eastAsia="Arial" w:hAnsi="Arial"/>
          <w:sz w:val="12"/>
          <w:szCs w:val="12"/>
          <w:color w:val="auto"/>
        </w:rPr>
        <w:t>. Expenses incurred by a director or officer in defending or investigating a threatened or pending action, suit or proceeding may be required by the Board of Directors to be paid (upon such terms and conditions, if any, as the Board deems appropriate)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Article VIII.</w:t>
      </w:r>
    </w:p>
    <w:p>
      <w:pPr>
        <w:spacing w:after="0" w:line="31" w:lineRule="exact"/>
        <w:rPr>
          <w:sz w:val="20"/>
          <w:szCs w:val="20"/>
          <w:color w:val="auto"/>
        </w:rPr>
      </w:pPr>
    </w:p>
    <w:p>
      <w:pPr>
        <w:ind w:firstLine="168"/>
        <w:spacing w:after="0" w:line="265" w:lineRule="auto"/>
        <w:rPr>
          <w:sz w:val="20"/>
          <w:szCs w:val="20"/>
          <w:color w:val="auto"/>
        </w:rPr>
      </w:pPr>
      <w:r>
        <w:rPr>
          <w:rFonts w:ascii="Arial" w:cs="Arial" w:eastAsia="Arial" w:hAnsi="Arial"/>
          <w:sz w:val="13"/>
          <w:szCs w:val="13"/>
          <w:u w:val="single" w:color="auto"/>
          <w:color w:val="auto"/>
        </w:rPr>
        <w:t>Section 7</w:t>
      </w:r>
      <w:r>
        <w:rPr>
          <w:rFonts w:ascii="Arial" w:cs="Arial" w:eastAsia="Arial" w:hAnsi="Arial"/>
          <w:sz w:val="13"/>
          <w:szCs w:val="13"/>
          <w:color w:val="auto"/>
        </w:rPr>
        <w:t xml:space="preserve">. </w:t>
      </w:r>
      <w:r>
        <w:rPr>
          <w:rFonts w:ascii="Arial" w:cs="Arial" w:eastAsia="Arial" w:hAnsi="Arial"/>
          <w:sz w:val="13"/>
          <w:szCs w:val="13"/>
          <w:u w:val="single" w:color="auto"/>
          <w:color w:val="auto"/>
        </w:rPr>
        <w:t>Nonexclusivity of Indemnification and Advancement of Expenses</w:t>
      </w:r>
      <w:r>
        <w:rPr>
          <w:rFonts w:ascii="Arial" w:cs="Arial" w:eastAsia="Arial" w:hAnsi="Arial"/>
          <w:sz w:val="13"/>
          <w:szCs w:val="13"/>
          <w:color w:val="auto"/>
        </w:rPr>
        <w:t>. The indemnification and advancement of expenses provided by, or granted pursuant to, this Article VIII shall not be deemed exclusive of any other rights to which those seeking indemnification or advancement of expenses may be entitled under any By-Law, agreement, contract, vote of stockholders or disinterested directors or pursuant to the direction (howsoever embodied) of any court of competent jurisdiction or otherwise, both as to action in a person’s official capacity and as to action in another capacity while holding such office, it being the policy of the Corporation that indemnification of the persons specified in Sections 1 and 2 of this Article VIII shall be made to the fullest extent permitted by law. The provisions of this Article VIII shall not be deemed to preclude the indemnification of any person who is not specified in Section 1 of Section 2 of this Article VIII but whom the Corporation has the power or obligation to indemnify under the provisions of the General Corporation Law of the State of Delaware, or otherwise.</w:t>
      </w:r>
    </w:p>
    <w:p>
      <w:pPr>
        <w:spacing w:after="0" w:line="58" w:lineRule="exact"/>
        <w:rPr>
          <w:sz w:val="20"/>
          <w:szCs w:val="20"/>
          <w:color w:val="auto"/>
        </w:rPr>
      </w:pPr>
    </w:p>
    <w:p>
      <w:pPr>
        <w:ind w:right="60" w:firstLine="168"/>
        <w:spacing w:after="0" w:line="270" w:lineRule="auto"/>
        <w:rPr>
          <w:sz w:val="20"/>
          <w:szCs w:val="20"/>
          <w:color w:val="auto"/>
        </w:rPr>
      </w:pPr>
      <w:r>
        <w:rPr>
          <w:rFonts w:ascii="Arial" w:cs="Arial" w:eastAsia="Arial" w:hAnsi="Arial"/>
          <w:sz w:val="13"/>
          <w:szCs w:val="13"/>
          <w:u w:val="single" w:color="auto"/>
          <w:color w:val="auto"/>
        </w:rPr>
        <w:t>Section 8</w:t>
      </w:r>
      <w:r>
        <w:rPr>
          <w:rFonts w:ascii="Arial" w:cs="Arial" w:eastAsia="Arial" w:hAnsi="Arial"/>
          <w:sz w:val="13"/>
          <w:szCs w:val="13"/>
          <w:color w:val="auto"/>
        </w:rPr>
        <w:t xml:space="preserve">. </w:t>
      </w:r>
      <w:r>
        <w:rPr>
          <w:rFonts w:ascii="Arial" w:cs="Arial" w:eastAsia="Arial" w:hAnsi="Arial"/>
          <w:sz w:val="13"/>
          <w:szCs w:val="13"/>
          <w:u w:val="single" w:color="auto"/>
          <w:color w:val="auto"/>
        </w:rPr>
        <w:t>Insurance</w:t>
      </w:r>
      <w:r>
        <w:rPr>
          <w:rFonts w:ascii="Arial" w:cs="Arial" w:eastAsia="Arial" w:hAnsi="Arial"/>
          <w:sz w:val="13"/>
          <w:szCs w:val="13"/>
          <w:color w:val="auto"/>
        </w:rPr>
        <w:t>. The Corporation may purchase and maintain insurance on behalf of any person who is or was a director or officer of the Corporation, or is or was serving at the request of the Corporation as a director, officer, employee or agent of another corporation, partnership, joint venture, trust, employee benefit plan or other enterprise against any liability asserted against such person and incurred by him in any such capacity, or arising out of such person’s status as such, whether or not the Corporation would have the power or the obligation to indemnify such person against such liability under the provisions of this Article VIII.</w:t>
      </w:r>
    </w:p>
    <w:p>
      <w:pPr>
        <w:spacing w:after="0" w:line="53" w:lineRule="exact"/>
        <w:rPr>
          <w:sz w:val="20"/>
          <w:szCs w:val="20"/>
          <w:color w:val="auto"/>
        </w:rPr>
      </w:pPr>
    </w:p>
    <w:p>
      <w:pPr>
        <w:ind w:right="20" w:firstLine="168"/>
        <w:spacing w:after="0" w:line="264" w:lineRule="auto"/>
        <w:rPr>
          <w:sz w:val="20"/>
          <w:szCs w:val="20"/>
          <w:color w:val="auto"/>
        </w:rPr>
      </w:pPr>
      <w:r>
        <w:rPr>
          <w:rFonts w:ascii="Arial" w:cs="Arial" w:eastAsia="Arial" w:hAnsi="Arial"/>
          <w:sz w:val="13"/>
          <w:szCs w:val="13"/>
          <w:u w:val="single" w:color="auto"/>
          <w:color w:val="auto"/>
        </w:rPr>
        <w:t>Section 9</w:t>
      </w:r>
      <w:r>
        <w:rPr>
          <w:rFonts w:ascii="Arial" w:cs="Arial" w:eastAsia="Arial" w:hAnsi="Arial"/>
          <w:sz w:val="13"/>
          <w:szCs w:val="13"/>
          <w:color w:val="auto"/>
        </w:rPr>
        <w:t xml:space="preserve">. </w:t>
      </w:r>
      <w:r>
        <w:rPr>
          <w:rFonts w:ascii="Arial" w:cs="Arial" w:eastAsia="Arial" w:hAnsi="Arial"/>
          <w:sz w:val="13"/>
          <w:szCs w:val="13"/>
          <w:u w:val="single" w:color="auto"/>
          <w:color w:val="auto"/>
        </w:rPr>
        <w:t>Certain Definitions</w:t>
      </w:r>
      <w:r>
        <w:rPr>
          <w:rFonts w:ascii="Arial" w:cs="Arial" w:eastAsia="Arial" w:hAnsi="Arial"/>
          <w:sz w:val="13"/>
          <w:szCs w:val="13"/>
          <w:color w:val="auto"/>
        </w:rPr>
        <w:t>. For purposes of this Article VIII,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and officers, so that any person who is or was a director or officer of such constituent corporation, or is or was a director or officer of such constituent corporation serving at the request of such constituent corporation as a director, officer, employee or agent of another corporation, partnership, joint venture, trust, employee benefit plan or other enterprise, shall stand in the same position under the provisions of this Article VIII with respect to the resulting or surviving corporation as such indemnification relates to such person’s acts while serving in any of the foregoing capacities, of such constituent corporation, as such person would have with respect to such constituent corporation if its separate existence had continued. For purposes of this Article VIII, references to “fines” shall include any excise taxes assessed on a person with respect to an employee benefit plan; and references to “serving at the request of the Corporation”</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420"/>
          </w:cols>
          <w:pgMar w:left="220" w:top="733" w:right="259" w:bottom="1440" w:gutter="0" w:footer="0" w:header="0"/>
        </w:sectPr>
      </w:pPr>
    </w:p>
    <w:bookmarkStart w:id="44" w:name="page45"/>
    <w:bookmarkEnd w:id="44"/>
    <w:p>
      <w:pPr>
        <w:ind w:right="120"/>
        <w:spacing w:after="0" w:line="276" w:lineRule="auto"/>
        <w:rPr>
          <w:sz w:val="20"/>
          <w:szCs w:val="20"/>
          <w:color w:val="auto"/>
        </w:rPr>
      </w:pPr>
      <w:r>
        <w:rPr>
          <w:rFonts w:ascii="Arial" w:cs="Arial" w:eastAsia="Arial" w:hAnsi="Arial"/>
          <w:sz w:val="13"/>
          <w:szCs w:val="13"/>
          <w:color w:val="auto"/>
        </w:rPr>
        <w:t>shall include any service as a director or officer of the Corporation which imposes duties on, or involves services by, such director or officer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Article VIII.</w:t>
      </w:r>
    </w:p>
    <w:p>
      <w:pPr>
        <w:spacing w:after="0" w:line="49" w:lineRule="exact"/>
        <w:rPr>
          <w:sz w:val="20"/>
          <w:szCs w:val="20"/>
          <w:color w:val="auto"/>
        </w:rPr>
      </w:pPr>
    </w:p>
    <w:p>
      <w:pPr>
        <w:ind w:firstLine="168"/>
        <w:spacing w:after="0" w:line="338" w:lineRule="auto"/>
        <w:rPr>
          <w:sz w:val="20"/>
          <w:szCs w:val="20"/>
          <w:color w:val="auto"/>
        </w:rPr>
      </w:pPr>
      <w:r>
        <w:rPr>
          <w:rFonts w:ascii="Arial" w:cs="Arial" w:eastAsia="Arial" w:hAnsi="Arial"/>
          <w:sz w:val="12"/>
          <w:szCs w:val="12"/>
          <w:u w:val="single" w:color="auto"/>
          <w:color w:val="auto"/>
        </w:rPr>
        <w:t>Section 10</w:t>
      </w:r>
      <w:r>
        <w:rPr>
          <w:rFonts w:ascii="Arial" w:cs="Arial" w:eastAsia="Arial" w:hAnsi="Arial"/>
          <w:sz w:val="12"/>
          <w:szCs w:val="12"/>
          <w:color w:val="auto"/>
        </w:rPr>
        <w:t xml:space="preserve">. </w:t>
      </w:r>
      <w:r>
        <w:rPr>
          <w:rFonts w:ascii="Arial" w:cs="Arial" w:eastAsia="Arial" w:hAnsi="Arial"/>
          <w:sz w:val="12"/>
          <w:szCs w:val="12"/>
          <w:u w:val="single" w:color="auto"/>
          <w:color w:val="auto"/>
        </w:rPr>
        <w:t>Survival of Indemnification and Advancement of Expenses</w:t>
      </w:r>
      <w:r>
        <w:rPr>
          <w:rFonts w:ascii="Arial" w:cs="Arial" w:eastAsia="Arial" w:hAnsi="Arial"/>
          <w:sz w:val="12"/>
          <w:szCs w:val="12"/>
          <w:color w:val="auto"/>
        </w:rPr>
        <w:t>. The indemnification and advancement of expenses provided by, or granted pursuant to, this Article VIII shall, unless otherwise provided when authorized or ratified, continue as to a person who has ceased to be a director or officer and shall inure to the benefit of the heirs, executors and administrators of such a person.</w:t>
      </w:r>
    </w:p>
    <w:p>
      <w:pPr>
        <w:spacing w:after="0" w:line="14" w:lineRule="exact"/>
        <w:rPr>
          <w:sz w:val="20"/>
          <w:szCs w:val="20"/>
          <w:color w:val="auto"/>
        </w:rPr>
      </w:pPr>
    </w:p>
    <w:p>
      <w:pPr>
        <w:ind w:right="100" w:firstLine="168"/>
        <w:spacing w:after="0" w:line="276" w:lineRule="auto"/>
        <w:rPr>
          <w:sz w:val="20"/>
          <w:szCs w:val="20"/>
          <w:color w:val="auto"/>
        </w:rPr>
      </w:pPr>
      <w:r>
        <w:rPr>
          <w:rFonts w:ascii="Arial" w:cs="Arial" w:eastAsia="Arial" w:hAnsi="Arial"/>
          <w:sz w:val="13"/>
          <w:szCs w:val="13"/>
          <w:u w:val="single" w:color="auto"/>
          <w:color w:val="auto"/>
        </w:rPr>
        <w:t>Section 11</w:t>
      </w:r>
      <w:r>
        <w:rPr>
          <w:rFonts w:ascii="Arial" w:cs="Arial" w:eastAsia="Arial" w:hAnsi="Arial"/>
          <w:sz w:val="13"/>
          <w:szCs w:val="13"/>
          <w:color w:val="auto"/>
        </w:rPr>
        <w:t xml:space="preserve">. </w:t>
      </w:r>
      <w:r>
        <w:rPr>
          <w:rFonts w:ascii="Arial" w:cs="Arial" w:eastAsia="Arial" w:hAnsi="Arial"/>
          <w:sz w:val="13"/>
          <w:szCs w:val="13"/>
          <w:u w:val="single" w:color="auto"/>
          <w:color w:val="auto"/>
        </w:rPr>
        <w:t>Limitation on Indemnification</w:t>
      </w:r>
      <w:r>
        <w:rPr>
          <w:rFonts w:ascii="Arial" w:cs="Arial" w:eastAsia="Arial" w:hAnsi="Arial"/>
          <w:sz w:val="13"/>
          <w:szCs w:val="13"/>
          <w:color w:val="auto"/>
        </w:rPr>
        <w:t>. Notwithstanding anything contained in this Article VIII to the contrary, except for proceedings to enforce rights to indemnification (which shall be governed by Section 5 of this Article VIII), the Corporation shall not be obligated to indemnify any director or officer in connection with a proceeding (or part thereof) initiated by such person unless such proceeding (or part thereof) was authorized or consented to by the Board of Directors of the Corporation.</w:t>
      </w:r>
    </w:p>
    <w:p>
      <w:pPr>
        <w:spacing w:after="0" w:line="49" w:lineRule="exact"/>
        <w:rPr>
          <w:sz w:val="20"/>
          <w:szCs w:val="20"/>
          <w:color w:val="auto"/>
        </w:rPr>
      </w:pPr>
    </w:p>
    <w:p>
      <w:pPr>
        <w:ind w:right="100" w:firstLine="168"/>
        <w:spacing w:after="0" w:line="294" w:lineRule="auto"/>
        <w:rPr>
          <w:sz w:val="20"/>
          <w:szCs w:val="20"/>
          <w:color w:val="auto"/>
        </w:rPr>
      </w:pPr>
      <w:r>
        <w:rPr>
          <w:rFonts w:ascii="Arial" w:cs="Arial" w:eastAsia="Arial" w:hAnsi="Arial"/>
          <w:sz w:val="13"/>
          <w:szCs w:val="13"/>
          <w:u w:val="single" w:color="auto"/>
          <w:color w:val="auto"/>
        </w:rPr>
        <w:t>Section 12</w:t>
      </w:r>
      <w:r>
        <w:rPr>
          <w:rFonts w:ascii="Arial" w:cs="Arial" w:eastAsia="Arial" w:hAnsi="Arial"/>
          <w:sz w:val="13"/>
          <w:szCs w:val="13"/>
          <w:color w:val="auto"/>
        </w:rPr>
        <w:t xml:space="preserve">. </w:t>
      </w:r>
      <w:r>
        <w:rPr>
          <w:rFonts w:ascii="Arial" w:cs="Arial" w:eastAsia="Arial" w:hAnsi="Arial"/>
          <w:sz w:val="13"/>
          <w:szCs w:val="13"/>
          <w:u w:val="single" w:color="auto"/>
          <w:color w:val="auto"/>
        </w:rPr>
        <w:t>Indemnification of Employees and Agents</w:t>
      </w:r>
      <w:r>
        <w:rPr>
          <w:rFonts w:ascii="Arial" w:cs="Arial" w:eastAsia="Arial" w:hAnsi="Arial"/>
          <w:sz w:val="13"/>
          <w:szCs w:val="13"/>
          <w:color w:val="auto"/>
        </w:rPr>
        <w:t>. The Corporation may, to the extent authorized from time to time by the Board of Directors, provide rights to indemnification and to the advancement of expenses to employees and agents of the Corporation similar to those conferred in this Article VIII to directors and officers of the Corporation.</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ARTICLE IX</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3"/>
          <w:szCs w:val="13"/>
          <w:u w:val="single" w:color="auto"/>
          <w:color w:val="auto"/>
        </w:rPr>
        <w:t>AMENDMENTS</w:t>
      </w:r>
    </w:p>
    <w:p>
      <w:pPr>
        <w:spacing w:after="0" w:line="82" w:lineRule="exact"/>
        <w:rPr>
          <w:sz w:val="20"/>
          <w:szCs w:val="20"/>
          <w:color w:val="auto"/>
        </w:rPr>
      </w:pPr>
    </w:p>
    <w:p>
      <w:pPr>
        <w:ind w:right="60" w:firstLine="168"/>
        <w:spacing w:after="0" w:line="270" w:lineRule="auto"/>
        <w:rPr>
          <w:sz w:val="20"/>
          <w:szCs w:val="20"/>
          <w:color w:val="auto"/>
        </w:rPr>
      </w:pPr>
      <w:r>
        <w:rPr>
          <w:rFonts w:ascii="Arial" w:cs="Arial" w:eastAsia="Arial" w:hAnsi="Arial"/>
          <w:sz w:val="13"/>
          <w:szCs w:val="13"/>
          <w:u w:val="single" w:color="auto"/>
          <w:color w:val="auto"/>
        </w:rPr>
        <w:t>Section 1</w:t>
      </w:r>
      <w:r>
        <w:rPr>
          <w:rFonts w:ascii="Arial" w:cs="Arial" w:eastAsia="Arial" w:hAnsi="Arial"/>
          <w:sz w:val="13"/>
          <w:szCs w:val="13"/>
          <w:color w:val="auto"/>
        </w:rPr>
        <w:t>. Except as otherwise provided in the Corporation’s Certificate of Incorporation, these By-laws may be altered, amended or repealed, in whole or in part, or new By-laws may be adopted by the stockholders or by the Board of Directors, provided, however, that notice of such alteration, amendment, repeal or adoption of new By-laws be contained in the notice of such meeting of stockholders or Board of Directors as the case may be. Except as otherwise provided in the Corporation’s Certificate of Incorporation, all such amendments must be approved by either the holders of a majority of the outstanding capital stock entitled to vote thereon or by a majority of the entire Board of Directors then in office.</w:t>
      </w:r>
    </w:p>
    <w:p>
      <w:pPr>
        <w:spacing w:after="0" w:line="113"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- 12 -</w:t>
      </w:r>
    </w:p>
    <w:p>
      <w:pPr>
        <w:sectPr>
          <w:pgSz w:w="11900" w:h="16838" w:orient="portrait"/>
          <w:cols w:equalWidth="0" w:num="1">
            <w:col w:w="11400"/>
          </w:cols>
          <w:pgMar w:left="220" w:top="733" w:right="279" w:bottom="1440" w:gutter="0" w:footer="0" w:header="0"/>
        </w:sectPr>
      </w:pPr>
    </w:p>
    <w:bookmarkStart w:id="45" w:name="page46"/>
    <w:bookmarkEnd w:id="45"/>
    <w:p>
      <w:pPr>
        <w:ind w:left="9660"/>
        <w:spacing w:after="0"/>
        <w:rPr>
          <w:sz w:val="20"/>
          <w:szCs w:val="20"/>
          <w:color w:val="auto"/>
        </w:rPr>
      </w:pPr>
      <w:r>
        <w:rPr>
          <w:rFonts w:ascii="Arial" w:cs="Arial" w:eastAsia="Arial" w:hAnsi="Arial"/>
          <w:sz w:val="12"/>
          <w:szCs w:val="12"/>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175260</wp:posOffset>
            </wp:positionV>
            <wp:extent cx="7287895" cy="36760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7895" cy="3676015"/>
                    </a:xfrm>
                    <a:prstGeom prst="rect">
                      <a:avLst/>
                    </a:prstGeom>
                    <a:noFill/>
                  </pic:spPr>
                </pic:pic>
              </a:graphicData>
            </a:graphic>
          </wp:anchor>
        </w:drawing>
      </w:r>
    </w:p>
    <w:p>
      <w:pPr>
        <w:sectPr>
          <w:pgSz w:w="11900" w:h="16838" w:orient="portrait"/>
          <w:cols w:equalWidth="0" w:num="1">
            <w:col w:w="10240"/>
          </w:cols>
          <w:pgMar w:left="1440" w:top="129" w:right="219" w:bottom="1440"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1477645</wp:posOffset>
            </wp:positionH>
            <wp:positionV relativeFrom="page">
              <wp:posOffset>485775</wp:posOffset>
            </wp:positionV>
            <wp:extent cx="4606925" cy="55600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4606925" cy="55600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jc w:val="right"/>
        <w:spacing w:after="0"/>
        <w:rPr>
          <w:sz w:val="20"/>
          <w:szCs w:val="20"/>
          <w:color w:val="auto"/>
        </w:rPr>
      </w:pPr>
      <w:r>
        <w:rPr>
          <w:rFonts w:ascii="Arial" w:cs="Arial" w:eastAsia="Arial" w:hAnsi="Arial"/>
          <w:sz w:val="13"/>
          <w:szCs w:val="13"/>
          <w:color w:val="auto"/>
        </w:rPr>
        <w:t>Exhibit 5.1</w:t>
      </w:r>
    </w:p>
    <w:p>
      <w:pPr>
        <w:spacing w:after="0" w:line="92" w:lineRule="exact"/>
        <w:rPr>
          <w:sz w:val="20"/>
          <w:szCs w:val="20"/>
          <w:color w:val="auto"/>
        </w:rPr>
      </w:pPr>
    </w:p>
    <w:p>
      <w:pPr>
        <w:ind w:left="5180"/>
        <w:spacing w:after="0"/>
        <w:rPr>
          <w:sz w:val="20"/>
          <w:szCs w:val="20"/>
          <w:color w:val="auto"/>
        </w:rPr>
      </w:pPr>
      <w:r>
        <w:rPr>
          <w:rFonts w:ascii="Arial" w:cs="Arial" w:eastAsia="Arial" w:hAnsi="Arial"/>
          <w:sz w:val="13"/>
          <w:szCs w:val="13"/>
          <w:color w:val="auto"/>
        </w:rPr>
        <w:t>[Letterhead of WM]</w:t>
      </w:r>
    </w:p>
    <w:p>
      <w:pPr>
        <w:spacing w:after="0" w:line="92" w:lineRule="exact"/>
        <w:rPr>
          <w:sz w:val="20"/>
          <w:szCs w:val="20"/>
          <w:color w:val="auto"/>
        </w:rPr>
      </w:pPr>
    </w:p>
    <w:p>
      <w:pPr>
        <w:ind w:left="5200"/>
        <w:spacing w:after="0"/>
        <w:rPr>
          <w:sz w:val="20"/>
          <w:szCs w:val="20"/>
          <w:color w:val="auto"/>
        </w:rPr>
      </w:pPr>
      <w:r>
        <w:rPr>
          <w:rFonts w:ascii="Arial" w:cs="Arial" w:eastAsia="Arial" w:hAnsi="Arial"/>
          <w:sz w:val="13"/>
          <w:szCs w:val="13"/>
          <w:color w:val="auto"/>
        </w:rPr>
        <w:t>September 22, 2009</w:t>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color w:val="auto"/>
        </w:rPr>
        <w:t>Waste Management, Inc.</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1001 Fannin Street, Suite 4000</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Houston, Texas 77002</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color w:val="auto"/>
        </w:rPr>
        <w:t>Waste Management Holdings, Inc.</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1001 Fannin Street, Suite 4000</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Houston, Texas 77002</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Waste Management, Inc. and Waste Management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Registration Statement on Form S-3</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(filed September 22, 2009)</w:t>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color w:val="auto"/>
        </w:rPr>
        <w:t>Gentlemen:</w:t>
      </w:r>
    </w:p>
    <w:p>
      <w:pPr>
        <w:spacing w:after="0" w:line="92" w:lineRule="exact"/>
        <w:rPr>
          <w:sz w:val="20"/>
          <w:szCs w:val="20"/>
          <w:color w:val="auto"/>
        </w:rPr>
      </w:pPr>
    </w:p>
    <w:p>
      <w:pPr>
        <w:ind w:right="300" w:firstLine="168"/>
        <w:spacing w:after="0" w:line="284" w:lineRule="auto"/>
        <w:rPr>
          <w:sz w:val="20"/>
          <w:szCs w:val="20"/>
          <w:color w:val="auto"/>
        </w:rPr>
      </w:pPr>
      <w:r>
        <w:rPr>
          <w:rFonts w:ascii="Arial" w:cs="Arial" w:eastAsia="Arial" w:hAnsi="Arial"/>
          <w:sz w:val="12"/>
          <w:szCs w:val="12"/>
          <w:color w:val="auto"/>
        </w:rPr>
        <w:t>I am Senior Counsel — Corporate &amp; Securities of Waste Management, Inc., a Delaware corporation (“WMI”) and have acted as counsel to Waste Management Holdings, Inc., a Delaware corporation (“Holdings”), and as such I am delivering this opinion in connection with the preparation and filing with the Securities and Exchange Commission (the “Commission”) under the Securities Act of 1933, as amended (the “Act”), of a Registration Statement (filed September 22, 2009) on Form S-3 (the “Registration Statement”). The Registration Statement relates to (a) securities of WMI (the “WMI Securities”), including (i) debt securities of WMI (“Debt Securities”); (ii) common stock of WMI, par value $0.01 per share (“Common Stock”); (iii) preferred stock of WMI, par value $0.01 per share (“Preferred Stock”);</w:t>
      </w:r>
    </w:p>
    <w:p>
      <w:pPr>
        <w:spacing w:after="0" w:line="2" w:lineRule="exact"/>
        <w:rPr>
          <w:sz w:val="20"/>
          <w:szCs w:val="20"/>
          <w:color w:val="auto"/>
        </w:rPr>
      </w:pPr>
    </w:p>
    <w:p>
      <w:pPr>
        <w:ind w:firstLine="1"/>
        <w:spacing w:after="0" w:line="290" w:lineRule="auto"/>
        <w:tabs>
          <w:tab w:leader="none" w:pos="227" w:val="left"/>
        </w:tabs>
        <w:numPr>
          <w:ilvl w:val="0"/>
          <w:numId w:val="42"/>
        </w:numPr>
        <w:rPr>
          <w:rFonts w:ascii="Arial" w:cs="Arial" w:eastAsia="Arial" w:hAnsi="Arial"/>
          <w:sz w:val="12"/>
          <w:szCs w:val="12"/>
          <w:color w:val="auto"/>
        </w:rPr>
      </w:pPr>
      <w:r>
        <w:rPr>
          <w:rFonts w:ascii="Arial" w:cs="Arial" w:eastAsia="Arial" w:hAnsi="Arial"/>
          <w:sz w:val="12"/>
          <w:szCs w:val="12"/>
          <w:color w:val="auto"/>
        </w:rPr>
        <w:t>warrants of WMI (“Warrants”), representing rights to purchase Debt Securities, Preferred Stock, Common Stock or other securities, property, or assets pursuant to one or more warrant agreements (“Warrant Agreements”); and (v) units of WMI (“Units”) representing rights to, ownership of, or undivided beneficial ownership interests in, Debt Securities, shares of Common Stock, shares of Preferred Stock, debt obligations of third parties or Warrants relating to any of the foregoing; and (b) guarantees Holdings may issue with respect to Debt Securities (“Holdings Guarantees,” and collectively with the WMI Securities, the “Securities”), all of which may be issued and sold from time to time in one or more series. WMI has advised me that the Securities will be offered in amounts, at prices and on terms to be determined in light of market conditions at the time of sale and to be set forth in supplements to the prospectus contained in the Registration Statement to which this opinion is an exhibit.</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 have examined originals or copies, certified or otherwise identified to my satisfaction, of (i) the Certificate of Incorporation and Bylaws of WMI and Holdings, each as amended to the date hereof;</w:t>
      </w:r>
    </w:p>
    <w:p>
      <w:pPr>
        <w:spacing w:after="0" w:line="22" w:lineRule="exact"/>
        <w:rPr>
          <w:sz w:val="20"/>
          <w:szCs w:val="20"/>
          <w:color w:val="auto"/>
        </w:rPr>
      </w:pPr>
    </w:p>
    <w:p>
      <w:pPr>
        <w:ind w:right="40" w:firstLine="1"/>
        <w:spacing w:after="0" w:line="277" w:lineRule="auto"/>
        <w:tabs>
          <w:tab w:leader="none" w:pos="198" w:val="left"/>
        </w:tabs>
        <w:numPr>
          <w:ilvl w:val="0"/>
          <w:numId w:val="43"/>
        </w:numPr>
        <w:rPr>
          <w:rFonts w:ascii="Arial" w:cs="Arial" w:eastAsia="Arial" w:hAnsi="Arial"/>
          <w:sz w:val="13"/>
          <w:szCs w:val="13"/>
          <w:color w:val="auto"/>
        </w:rPr>
      </w:pPr>
      <w:r>
        <w:rPr>
          <w:rFonts w:ascii="Arial" w:cs="Arial" w:eastAsia="Arial" w:hAnsi="Arial"/>
          <w:sz w:val="13"/>
          <w:szCs w:val="13"/>
          <w:color w:val="auto"/>
        </w:rPr>
        <w:t>resolutions adopted by the Board of Directors of WMI and Holdings; (iii) the Registration Statement; (iv) the Senior Debt Indenture between WMI and The Bank of New York Mellon Trust Company, National Association (as successor in interest to Texas Commerce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270510</wp:posOffset>
            </wp:positionV>
            <wp:extent cx="7287895"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sectPr>
      </w:pPr>
    </w:p>
    <w:bookmarkStart w:id="48" w:name="page49"/>
    <w:bookmarkEnd w:id="48"/>
    <w:p>
      <w:pPr>
        <w:spacing w:after="0"/>
        <w:rPr>
          <w:sz w:val="20"/>
          <w:szCs w:val="20"/>
          <w:color w:val="auto"/>
        </w:rPr>
      </w:pPr>
      <w:r>
        <w:rPr>
          <w:rFonts w:ascii="Arial" w:cs="Arial" w:eastAsia="Arial" w:hAnsi="Arial"/>
          <w:sz w:val="13"/>
          <w:szCs w:val="13"/>
          <w:color w:val="auto"/>
        </w:rPr>
        <w:t>Waste Management, Inc.</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Waste Management Holdings, Inc.</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September 22, 2009</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Page 2 of 5</w:t>
      </w:r>
    </w:p>
    <w:p>
      <w:pPr>
        <w:spacing w:after="0" w:line="82" w:lineRule="exact"/>
        <w:rPr>
          <w:sz w:val="20"/>
          <w:szCs w:val="20"/>
          <w:color w:val="auto"/>
        </w:rPr>
      </w:pPr>
    </w:p>
    <w:p>
      <w:pPr>
        <w:spacing w:after="0" w:line="267" w:lineRule="auto"/>
        <w:rPr>
          <w:sz w:val="20"/>
          <w:szCs w:val="20"/>
          <w:color w:val="auto"/>
        </w:rPr>
      </w:pPr>
      <w:r>
        <w:rPr>
          <w:rFonts w:ascii="Arial" w:cs="Arial" w:eastAsia="Arial" w:hAnsi="Arial"/>
          <w:sz w:val="13"/>
          <w:szCs w:val="13"/>
          <w:color w:val="auto"/>
        </w:rPr>
        <w:t>Bank National Association), as trustee, dated September 10, 1997 (the “Senior Indenture”) relating to the senior Debt Securities, in the form incorporated as an exhibit to the Registration Statement; (v) the Subordinated Debt Indenture Company between WMI and The Bank of New York Mellon Trust Company, National Association (as successor in interest to Texas Commerce Bank National Association), as trustee, dated February 1, 1997 (the “Subordinated Indenture”, and together with the Senior Indenture, the “Indentures”) relating to the subordinated Debt Securities, in the form incorporated as an exhibit to the Registration Statement; and (vi) such other certificates, statutes and other instruments and documents as I considered appropriate for purposes of the opinions hereafter expressed. In addition, I reviewed such questions of law as I considered appropriate.</w:t>
      </w:r>
    </w:p>
    <w:p>
      <w:pPr>
        <w:spacing w:after="0" w:line="55" w:lineRule="exact"/>
        <w:rPr>
          <w:sz w:val="20"/>
          <w:szCs w:val="20"/>
          <w:color w:val="auto"/>
        </w:rPr>
      </w:pPr>
    </w:p>
    <w:p>
      <w:pPr>
        <w:ind w:right="280" w:firstLine="160"/>
        <w:spacing w:after="0" w:line="294" w:lineRule="auto"/>
        <w:rPr>
          <w:sz w:val="20"/>
          <w:szCs w:val="20"/>
          <w:color w:val="auto"/>
        </w:rPr>
      </w:pPr>
      <w:r>
        <w:rPr>
          <w:rFonts w:ascii="Arial" w:cs="Arial" w:eastAsia="Arial" w:hAnsi="Arial"/>
          <w:sz w:val="13"/>
          <w:szCs w:val="13"/>
          <w:color w:val="auto"/>
        </w:rPr>
        <w:t>As to any facts material to the opinions contained herein, I have made no independent investigation of such facts and have relied, to the extent that I deemed such reliance proper, upon certificates of public officials and officers or other representatives of WMI and Holdings.</w:t>
      </w:r>
    </w:p>
    <w:p>
      <w:pPr>
        <w:spacing w:after="0" w:line="37" w:lineRule="exact"/>
        <w:rPr>
          <w:sz w:val="20"/>
          <w:szCs w:val="20"/>
          <w:color w:val="auto"/>
        </w:rPr>
      </w:pPr>
    </w:p>
    <w:p>
      <w:pPr>
        <w:ind w:left="160"/>
        <w:spacing w:after="0"/>
        <w:rPr>
          <w:sz w:val="20"/>
          <w:szCs w:val="20"/>
          <w:color w:val="auto"/>
        </w:rPr>
      </w:pPr>
      <w:r>
        <w:rPr>
          <w:rFonts w:ascii="Arial" w:cs="Arial" w:eastAsia="Arial" w:hAnsi="Arial"/>
          <w:sz w:val="12"/>
          <w:szCs w:val="12"/>
          <w:color w:val="auto"/>
        </w:rPr>
        <w:t>In rendering the opinions set forth below, I have assumed that (i) all information contained in all documents reviewed by me is true and correct; (ii) all signatures on all documents examined by me are genuine;</w:t>
      </w:r>
    </w:p>
    <w:p>
      <w:pPr>
        <w:spacing w:after="0" w:line="34" w:lineRule="exact"/>
        <w:rPr>
          <w:sz w:val="20"/>
          <w:szCs w:val="20"/>
          <w:color w:val="auto"/>
        </w:rPr>
      </w:pPr>
    </w:p>
    <w:p>
      <w:pPr>
        <w:ind w:firstLine="1"/>
        <w:spacing w:after="0" w:line="284" w:lineRule="auto"/>
        <w:tabs>
          <w:tab w:leader="none" w:pos="235" w:val="left"/>
        </w:tabs>
        <w:numPr>
          <w:ilvl w:val="0"/>
          <w:numId w:val="44"/>
        </w:numPr>
        <w:rPr>
          <w:rFonts w:ascii="Arial" w:cs="Arial" w:eastAsia="Arial" w:hAnsi="Arial"/>
          <w:sz w:val="12"/>
          <w:szCs w:val="12"/>
          <w:color w:val="auto"/>
        </w:rPr>
      </w:pPr>
      <w:r>
        <w:rPr>
          <w:rFonts w:ascii="Arial" w:cs="Arial" w:eastAsia="Arial" w:hAnsi="Arial"/>
          <w:sz w:val="12"/>
          <w:szCs w:val="12"/>
          <w:color w:val="auto"/>
        </w:rPr>
        <w:t>all documents submitted to me as originals are authentic and all documents submitted to us as copies conform to the originals of those documents; (iv) each natural person signing any document reviewed by me had the legal capacity to do so; (v) each person signing in a representative capacity (other than on behalf of WMI or Holdings) any document reviewed by me had authority to sign in such capacity; (vi) the Registration Statement, and any post-effective amendments thereto, will be effective and comply with all applicable laws; (vii) one or more prospectus supplements will have been prepared and filed with the Commission describing the Securities offered thereby; (viii) all Securities will be issued and sold in compliance with applicable federal and state securities laws and in the manner stated in the Registration Statement and an applicable prospectus supplement; (ix) each of the Senior Indenture and the Subordinated Indenture, together with any supplemental indenture or other instruments establishing a series of Debt Securities to be issued under either of the Indentures, has been or will be duly authorized, executed and delivered by the parties thereto in substantially the form reviewed by me or with changes that do not affect the opinions given hereunder; (x) at the time of any offering or sale of any shares of Common Stock or Preferred Stock, that WMI will have at least such number of shares of Common Stock or Preferred Stock authorized, created and, if appropriate, reserved for issuance; (xi) a definitive purchase, underwriting or similar agreement with respect to any Securities offered will have been duly authorized and validly executed and delivered by WMI and the other parties thereto; and (xii) any Securities issuable upon conversion, exchange or exercise of any Security being offered or sold will at the time of such offering or sale have been duly authorized, created and, if appropriate, reserved for issuance upon such conversion, exchange or exercise.</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Based on the foregoing, and subject to the assumptions, qualifications, limitations and exceptions set forth herein, I am of the opinion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305435</wp:posOffset>
            </wp:positionV>
            <wp:extent cx="7287895"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440"/>
          </w:cols>
          <w:pgMar w:left="220" w:top="733" w:right="239" w:bottom="1440" w:gutter="0" w:footer="0" w:header="0"/>
        </w:sectPr>
      </w:pPr>
    </w:p>
    <w:bookmarkStart w:id="49" w:name="page50"/>
    <w:bookmarkEnd w:id="49"/>
    <w:p>
      <w:pPr>
        <w:spacing w:after="0"/>
        <w:rPr>
          <w:sz w:val="20"/>
          <w:szCs w:val="20"/>
          <w:color w:val="auto"/>
        </w:rPr>
      </w:pPr>
      <w:r>
        <w:rPr>
          <w:rFonts w:ascii="Arial" w:cs="Arial" w:eastAsia="Arial" w:hAnsi="Arial"/>
          <w:sz w:val="13"/>
          <w:szCs w:val="13"/>
          <w:color w:val="auto"/>
        </w:rPr>
        <w:t>Waste Management, Inc.</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Waste Management Holdings, Inc.</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September 22, 2009</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Page 3 of 5</w:t>
      </w:r>
    </w:p>
    <w:p>
      <w:pPr>
        <w:spacing w:after="0" w:line="82" w:lineRule="exact"/>
        <w:rPr>
          <w:sz w:val="20"/>
          <w:szCs w:val="20"/>
          <w:color w:val="auto"/>
        </w:rPr>
      </w:pPr>
    </w:p>
    <w:p>
      <w:pPr>
        <w:ind w:right="80" w:firstLine="168"/>
        <w:spacing w:after="0" w:line="264" w:lineRule="auto"/>
        <w:tabs>
          <w:tab w:leader="none" w:pos="348" w:val="left"/>
        </w:tabs>
        <w:numPr>
          <w:ilvl w:val="0"/>
          <w:numId w:val="45"/>
        </w:numPr>
        <w:rPr>
          <w:rFonts w:ascii="Arial" w:cs="Arial" w:eastAsia="Arial" w:hAnsi="Arial"/>
          <w:sz w:val="13"/>
          <w:szCs w:val="13"/>
          <w:color w:val="auto"/>
        </w:rPr>
      </w:pPr>
      <w:r>
        <w:rPr>
          <w:rFonts w:ascii="Arial" w:cs="Arial" w:eastAsia="Arial" w:hAnsi="Arial"/>
          <w:sz w:val="13"/>
          <w:szCs w:val="13"/>
          <w:color w:val="auto"/>
        </w:rPr>
        <w:t>With respect to Debt Securities, when (i) the applicable Indenture has been duly qualified under the Trust Indenture Act of 1939 (the “TIA”); (ii) the Board of Directors of WMI (the “Board”) has taken all necessary corporate action to approve the issuance and terms of such Debt Securities, the terms of the offering thereof and related matters; (iii) the terms of such Debt Securities and of their issuance and sale have been established so as not to violate any applicable law or result in a default under or breach of any agreement or instrument binding upon WMI or any of its assets or properties and so as to comply with any requirement or restriction imposed by any court or governmental body having jurisdiction over WMI or any of its assets or properties; and (iv) such Debt Securities have been duly executed, authenticated, issued and delivered in accordance with the provisions of the Senior Indenture and in accordance with the applicable definitive purchase, underwriting or similar agreement approved by the Board or persons duly authorized thereby, then upon payment of the consideration provided for therein, such Debt Securities will be legally issued and will constitute valid and binding obligations of WMI, enforceable against WMI in accordance with their terms and will be entitled to the benefits of the applicable Indenture.</w:t>
      </w:r>
    </w:p>
    <w:p>
      <w:pPr>
        <w:spacing w:after="0" w:line="58" w:lineRule="exact"/>
        <w:rPr>
          <w:rFonts w:ascii="Arial" w:cs="Arial" w:eastAsia="Arial" w:hAnsi="Arial"/>
          <w:sz w:val="13"/>
          <w:szCs w:val="13"/>
          <w:color w:val="auto"/>
        </w:rPr>
      </w:pPr>
    </w:p>
    <w:p>
      <w:pPr>
        <w:ind w:right="80" w:firstLine="168"/>
        <w:spacing w:after="0" w:line="295" w:lineRule="auto"/>
        <w:tabs>
          <w:tab w:leader="none" w:pos="356" w:val="left"/>
        </w:tabs>
        <w:numPr>
          <w:ilvl w:val="0"/>
          <w:numId w:val="45"/>
        </w:numPr>
        <w:rPr>
          <w:rFonts w:ascii="Arial" w:cs="Arial" w:eastAsia="Arial" w:hAnsi="Arial"/>
          <w:sz w:val="12"/>
          <w:szCs w:val="12"/>
          <w:color w:val="auto"/>
        </w:rPr>
      </w:pPr>
      <w:r>
        <w:rPr>
          <w:rFonts w:ascii="Arial" w:cs="Arial" w:eastAsia="Arial" w:hAnsi="Arial"/>
          <w:sz w:val="12"/>
          <w:szCs w:val="12"/>
          <w:color w:val="auto"/>
        </w:rPr>
        <w:t>With respect to shares of Common Stock, when (i) the Board has taken all necessary corporate action to approve the issuance and terms of the offering thereof and related matters; and (ii) certificates representing the shares of Common Stock have been duly executed, countersigned, registered and delivered either (A) in accordance with the applicable definitive purchase, underwriting or similar agreement approved by the Board, then upon payment of the consideration therefor (not less than the par value of the Common Stock) provided for therein; or (B) upon conversion, exchange or exercise of any other security in accordance with the terms of the security or the instrument governing the security providing for the conversion, exchange or exercise as approved by the Board, for the consideration approved by the Board (not less than the par value of the Common Stock) or persons duly authorized thereby, such shares of Common Stock will be validly issued, fully paid and non-assessable.</w:t>
      </w:r>
    </w:p>
    <w:p>
      <w:pPr>
        <w:spacing w:after="0" w:line="38" w:lineRule="exact"/>
        <w:rPr>
          <w:rFonts w:ascii="Arial" w:cs="Arial" w:eastAsia="Arial" w:hAnsi="Arial"/>
          <w:sz w:val="12"/>
          <w:szCs w:val="12"/>
          <w:color w:val="auto"/>
        </w:rPr>
      </w:pPr>
    </w:p>
    <w:p>
      <w:pPr>
        <w:ind w:firstLine="168"/>
        <w:spacing w:after="0" w:line="263" w:lineRule="auto"/>
        <w:tabs>
          <w:tab w:leader="none" w:pos="348" w:val="left"/>
        </w:tabs>
        <w:numPr>
          <w:ilvl w:val="0"/>
          <w:numId w:val="45"/>
        </w:numPr>
        <w:rPr>
          <w:rFonts w:ascii="Arial" w:cs="Arial" w:eastAsia="Arial" w:hAnsi="Arial"/>
          <w:sz w:val="13"/>
          <w:szCs w:val="13"/>
          <w:color w:val="auto"/>
        </w:rPr>
      </w:pPr>
      <w:r>
        <w:rPr>
          <w:rFonts w:ascii="Arial" w:cs="Arial" w:eastAsia="Arial" w:hAnsi="Arial"/>
          <w:sz w:val="13"/>
          <w:szCs w:val="13"/>
          <w:color w:val="auto"/>
        </w:rPr>
        <w:t>With respect to shares of any series of Preferred Stock, when (i) the Board has taken all necessary corporate action to approve the issuance and terms of the shares of the series, the terms of the offering thereof and related matters, including the adoption of a resolution establishing and designating the series and fixing and determining the preferences, limitations and relative rights thereof and the filing of a statement with respect to the series with the Secretary of State of the State of Delaware as required under Section 151 of the General Corporation law of the State of Delaware (the “DGCL”) (the “Certificate of Designation”); and (ii) certificates representing the shares of the series of Preferred Stock have been duly executed, countersigned, registered and delivered either (A) in accordance with the applicable definitive purchase, underwriting or similar agreement approved by the Board, then upon payment of the consideration therefor (not less than the par value of the Preferred Stock) provided for therein; or (B) upon conversion, exchange or exercise of any other Security in accordance with the terms of the Security or the instrument governing the Security providing for the conversion, exchange or exercise as approved by the Board, for the consideration approved by the Board (not less than the par value of the Preferred Stock) or persons duly authorized thereby, the shares of the series of Preferred Stock will be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285115</wp:posOffset>
            </wp:positionV>
            <wp:extent cx="7287895"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460"/>
          </w:cols>
          <w:pgMar w:left="220" w:top="733" w:right="219" w:bottom="1440" w:gutter="0" w:footer="0" w:header="0"/>
        </w:sectPr>
      </w:pPr>
    </w:p>
    <w:bookmarkStart w:id="50" w:name="page51"/>
    <w:bookmarkEnd w:id="50"/>
    <w:p>
      <w:pPr>
        <w:spacing w:after="0"/>
        <w:rPr>
          <w:sz w:val="20"/>
          <w:szCs w:val="20"/>
          <w:color w:val="auto"/>
        </w:rPr>
      </w:pPr>
      <w:r>
        <w:rPr>
          <w:rFonts w:ascii="Arial" w:cs="Arial" w:eastAsia="Arial" w:hAnsi="Arial"/>
          <w:sz w:val="13"/>
          <w:szCs w:val="13"/>
          <w:color w:val="auto"/>
        </w:rPr>
        <w:t>Waste Management, Inc.</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Waste Management Holdings, Inc.</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September 22, 2009</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Page 4 of 5</w:t>
      </w:r>
    </w:p>
    <w:p>
      <w:pPr>
        <w:spacing w:after="0" w:line="82" w:lineRule="exact"/>
        <w:rPr>
          <w:sz w:val="20"/>
          <w:szCs w:val="20"/>
          <w:color w:val="auto"/>
        </w:rPr>
      </w:pPr>
    </w:p>
    <w:p>
      <w:pPr>
        <w:ind w:right="40" w:firstLine="168"/>
        <w:spacing w:after="0" w:line="299" w:lineRule="auto"/>
        <w:tabs>
          <w:tab w:leader="none" w:pos="356" w:val="left"/>
        </w:tabs>
        <w:numPr>
          <w:ilvl w:val="0"/>
          <w:numId w:val="46"/>
        </w:numPr>
        <w:rPr>
          <w:rFonts w:ascii="Arial" w:cs="Arial" w:eastAsia="Arial" w:hAnsi="Arial"/>
          <w:sz w:val="12"/>
          <w:szCs w:val="12"/>
          <w:color w:val="auto"/>
        </w:rPr>
      </w:pPr>
      <w:r>
        <w:rPr>
          <w:rFonts w:ascii="Arial" w:cs="Arial" w:eastAsia="Arial" w:hAnsi="Arial"/>
          <w:sz w:val="12"/>
          <w:szCs w:val="12"/>
          <w:color w:val="auto"/>
        </w:rPr>
        <w:t>With respect to the Warrants, when (i) the Board has taken all necessary corporate action to approve the creation of and the issuance and terms of the Warrants, the terms of the offering thereof and related matters; (ii) the warrant agreement or agreements relating to the Warrants have been duly authorized and validly executed and delivered by WMI and the warrant agent appointed by WMI; and (iii) the Warrants or certificates representing the Warrants have been duly executed, countersigned, registered and delivered in accordance with the appropriate warrant agreement or agreements and the applicable definitive purchase, underwriting or similar agreement approved by the Board or persons duly authorized thereby, then upon payment of the consideration provided for therein, the Warrants will be legally issued.</w:t>
      </w:r>
    </w:p>
    <w:p>
      <w:pPr>
        <w:spacing w:after="0" w:line="37" w:lineRule="exact"/>
        <w:rPr>
          <w:rFonts w:ascii="Arial" w:cs="Arial" w:eastAsia="Arial" w:hAnsi="Arial"/>
          <w:sz w:val="12"/>
          <w:szCs w:val="12"/>
          <w:color w:val="auto"/>
        </w:rPr>
      </w:pPr>
    </w:p>
    <w:p>
      <w:pPr>
        <w:ind w:right="40" w:firstLine="168"/>
        <w:spacing w:after="0" w:line="270" w:lineRule="auto"/>
        <w:tabs>
          <w:tab w:leader="none" w:pos="348" w:val="left"/>
        </w:tabs>
        <w:numPr>
          <w:ilvl w:val="0"/>
          <w:numId w:val="46"/>
        </w:numPr>
        <w:rPr>
          <w:rFonts w:ascii="Arial" w:cs="Arial" w:eastAsia="Arial" w:hAnsi="Arial"/>
          <w:sz w:val="13"/>
          <w:szCs w:val="13"/>
          <w:color w:val="auto"/>
        </w:rPr>
      </w:pPr>
      <w:r>
        <w:rPr>
          <w:rFonts w:ascii="Arial" w:cs="Arial" w:eastAsia="Arial" w:hAnsi="Arial"/>
          <w:sz w:val="13"/>
          <w:szCs w:val="13"/>
          <w:color w:val="auto"/>
        </w:rPr>
        <w:t>With respect to Units, when (i) the purchase agreement for the Units has been duly authorized and validly executed by the parties thereto, (ii) the Board has taken all necessary corporate action to approve and establish the terms of the Units and to authorize and approve the issuance thereof, the terms of the offering and related matters; and (iii) the Units have been duly executed and delivered in accordance with the purchase agreement and the applicable definitive purchase, underwriting or similar agreement approved by or on behalf of the Board or persons duly authorized thereby, then upon payment of the consideration therefor provided therein, the Units will be legally issued.</w:t>
      </w:r>
    </w:p>
    <w:p>
      <w:pPr>
        <w:spacing w:after="0" w:line="52" w:lineRule="exact"/>
        <w:rPr>
          <w:rFonts w:ascii="Arial" w:cs="Arial" w:eastAsia="Arial" w:hAnsi="Arial"/>
          <w:sz w:val="13"/>
          <w:szCs w:val="13"/>
          <w:color w:val="auto"/>
        </w:rPr>
      </w:pPr>
    </w:p>
    <w:p>
      <w:pPr>
        <w:ind w:right="120" w:firstLine="168"/>
        <w:spacing w:after="0" w:line="270" w:lineRule="auto"/>
        <w:tabs>
          <w:tab w:leader="none" w:pos="333" w:val="left"/>
        </w:tabs>
        <w:numPr>
          <w:ilvl w:val="0"/>
          <w:numId w:val="46"/>
        </w:numPr>
        <w:rPr>
          <w:rFonts w:ascii="Arial" w:cs="Arial" w:eastAsia="Arial" w:hAnsi="Arial"/>
          <w:sz w:val="13"/>
          <w:szCs w:val="13"/>
          <w:color w:val="auto"/>
        </w:rPr>
      </w:pPr>
      <w:r>
        <w:rPr>
          <w:rFonts w:ascii="Arial" w:cs="Arial" w:eastAsia="Arial" w:hAnsi="Arial"/>
          <w:sz w:val="13"/>
          <w:szCs w:val="13"/>
          <w:color w:val="auto"/>
        </w:rPr>
        <w:t>With respect to the Holdings Guarantees, when (i) the terms of the Holdings Guarantees and of their issuance, sale and related matters have been duly authorized and approved by all necessary action of Holdings’ Board of Directors or persons duly authorized thereby; and (ii) the Holdings Guarantees have been duly executed and delivered in accordance with the purchase agreement and the applicable definitive purchase, underwriting or similar agreement approved by or on behalf of the Holdings’ Board of Directors, then upon payment of the consideration therefor provided therein, the Holdings Guarantees will be legally issued and constitute the valid and binding obligation of Holdings.</w:t>
      </w:r>
    </w:p>
    <w:p>
      <w:pPr>
        <w:spacing w:after="0" w:line="53" w:lineRule="exact"/>
        <w:rPr>
          <w:sz w:val="20"/>
          <w:szCs w:val="20"/>
          <w:color w:val="auto"/>
        </w:rPr>
      </w:pPr>
    </w:p>
    <w:p>
      <w:pPr>
        <w:ind w:right="60" w:firstLine="165"/>
        <w:spacing w:after="0" w:line="299" w:lineRule="auto"/>
        <w:rPr>
          <w:sz w:val="20"/>
          <w:szCs w:val="20"/>
          <w:color w:val="auto"/>
        </w:rPr>
      </w:pPr>
      <w:r>
        <w:rPr>
          <w:rFonts w:ascii="Arial" w:cs="Arial" w:eastAsia="Arial" w:hAnsi="Arial"/>
          <w:sz w:val="12"/>
          <w:szCs w:val="12"/>
          <w:color w:val="auto"/>
        </w:rPr>
        <w:t>The foregoing opinions are qualified to the extent that the enforceability of any document, instrument or Security may be limited by or subject to (i) bankruptcy, insolvency, fraudulent transfer or conveyance, reorganization, moratorium or other similar laws relating to or affecting creditors’ rights generally, and general equitable or public policy principles (regardless of whether enforcement is sought in a proceeding in equity or law), and (ii) with respect to any Debt Securities denominated in a currency other than United States dollars, the requirement that a claim (or a foreign currency judgment in respect of such a claim) with respect to such Securities be converted to United States dollars at a rate of exchange prevailing on a date determined pursuant to applicable law or governmental authority.</w:t>
      </w:r>
    </w:p>
    <w:p>
      <w:pPr>
        <w:spacing w:after="0" w:line="38" w:lineRule="exact"/>
        <w:rPr>
          <w:sz w:val="20"/>
          <w:szCs w:val="20"/>
          <w:color w:val="auto"/>
        </w:rPr>
      </w:pPr>
    </w:p>
    <w:p>
      <w:pPr>
        <w:ind w:firstLine="168"/>
        <w:spacing w:after="0" w:line="294" w:lineRule="auto"/>
        <w:rPr>
          <w:sz w:val="20"/>
          <w:szCs w:val="20"/>
          <w:color w:val="auto"/>
        </w:rPr>
      </w:pPr>
      <w:r>
        <w:rPr>
          <w:rFonts w:ascii="Arial" w:cs="Arial" w:eastAsia="Arial" w:hAnsi="Arial"/>
          <w:sz w:val="13"/>
          <w:szCs w:val="13"/>
          <w:color w:val="auto"/>
        </w:rPr>
        <w:t>I express no opinions concerning (i) the validity or enforceability of any provisions contained in either of the Indentures that purport to waive or not give effect to rights to notices, defenses, subrogation or other rights or benefits that cannot be effectively waived under applicable law or (ii) the enforceability of indemnification provisions to the extent they purport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269875</wp:posOffset>
            </wp:positionV>
            <wp:extent cx="7287895"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440"/>
          </w:cols>
          <w:pgMar w:left="220" w:top="733" w:right="239" w:bottom="1440" w:gutter="0" w:footer="0" w:header="0"/>
        </w:sectPr>
      </w:pPr>
    </w:p>
    <w:bookmarkStart w:id="51" w:name="page52"/>
    <w:bookmarkEnd w:id="51"/>
    <w:p>
      <w:pPr>
        <w:spacing w:after="0"/>
        <w:rPr>
          <w:sz w:val="20"/>
          <w:szCs w:val="20"/>
          <w:color w:val="auto"/>
        </w:rPr>
      </w:pPr>
      <w:r>
        <w:rPr>
          <w:rFonts w:ascii="Arial" w:cs="Arial" w:eastAsia="Arial" w:hAnsi="Arial"/>
          <w:sz w:val="13"/>
          <w:szCs w:val="13"/>
          <w:color w:val="auto"/>
        </w:rPr>
        <w:t>Waste Management, Inc.</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Waste Management Holdings, Inc.</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September 22, 2009</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Page 5 of 5</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color w:val="auto"/>
        </w:rPr>
        <w:t>to relate to liabilities resulting from or based upon negligence or any violation of federal or state securities or blue sky laws.</w:t>
      </w:r>
    </w:p>
    <w:p>
      <w:pPr>
        <w:spacing w:after="0" w:line="92" w:lineRule="exact"/>
        <w:rPr>
          <w:sz w:val="20"/>
          <w:szCs w:val="20"/>
          <w:color w:val="auto"/>
        </w:rPr>
      </w:pPr>
    </w:p>
    <w:p>
      <w:pPr>
        <w:ind w:firstLine="168"/>
        <w:spacing w:after="0" w:line="264" w:lineRule="auto"/>
        <w:rPr>
          <w:sz w:val="20"/>
          <w:szCs w:val="20"/>
          <w:color w:val="auto"/>
        </w:rPr>
      </w:pPr>
      <w:r>
        <w:rPr>
          <w:rFonts w:ascii="Arial" w:cs="Arial" w:eastAsia="Arial" w:hAnsi="Arial"/>
          <w:sz w:val="13"/>
          <w:szCs w:val="13"/>
          <w:color w:val="auto"/>
        </w:rPr>
        <w:t>My opinions above are limited to the laws of the State of Texas, the DGCL and the federal laws of the United States (except that I express no opinion with respect to any state securities laws or “blue sky” laws), and I do not express any opinion herein concerning any other law. I am licensed to practice law only in the State of Texas but I am generally familiar with the DGCL and the Texas Business Corporation Act (“Applicable Law”), and those laws, rules and regulations of the United States necessary for me to give the opinions expressed herein. I have not examined any laws, regulations or other governmental proceedings other than laws and regulations of general application. For purposes of the opinions expressed herein, I have assumed that the laws of the State of New York are not different from the laws of the State of Texas as they pertain to the legality, validity and binding effect of any of the Indentures and any supplemental indentures thereto, the WMI Debt Securities, the WMI Warrants, the WMI Warrant Agreements, the Units, and the Holdings Guarantees that are governed by New York law. I assume no, and hereby specifically disclaim any, obligation to supplement this opinion if any Applicable Law changes after the date of this opinion, or if I become aware of any facts that might change the opinions expressed above after the date of this opinion.</w:t>
      </w:r>
    </w:p>
    <w:p>
      <w:pPr>
        <w:spacing w:after="0" w:line="58" w:lineRule="exact"/>
        <w:rPr>
          <w:sz w:val="20"/>
          <w:szCs w:val="20"/>
          <w:color w:val="auto"/>
        </w:rPr>
      </w:pPr>
    </w:p>
    <w:p>
      <w:pPr>
        <w:jc w:val="both"/>
        <w:ind w:right="440" w:firstLine="168"/>
        <w:spacing w:after="0" w:line="338" w:lineRule="auto"/>
        <w:rPr>
          <w:sz w:val="20"/>
          <w:szCs w:val="20"/>
          <w:color w:val="auto"/>
        </w:rPr>
      </w:pPr>
      <w:r>
        <w:rPr>
          <w:rFonts w:ascii="Arial" w:cs="Arial" w:eastAsia="Arial" w:hAnsi="Arial"/>
          <w:sz w:val="12"/>
          <w:szCs w:val="12"/>
          <w:color w:val="auto"/>
        </w:rPr>
        <w:t>I hereby consent to the filing of this opinion as an exhibit to the Registration Statement and to the use of my name in the prospectus forming a part of the Registration Statement under the caption “Legal Matters.” By giving such consent, I do not admit that I am within the category of persons whose consent is required under Section 7 of the Act or the rules and regulations of Commission issued thereunder.</w:t>
      </w:r>
    </w:p>
    <w:p>
      <w:pPr>
        <w:spacing w:after="0" w:line="14"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Very truly yours,</w:t>
      </w:r>
    </w:p>
    <w:p>
      <w:pPr>
        <w:spacing w:after="0" w:line="92"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/s/ Amanda K. Maki</w:t>
      </w:r>
    </w:p>
    <w:p>
      <w:pPr>
        <w:spacing w:after="0" w:line="92"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Amanda K. Maki</w:t>
      </w:r>
    </w:p>
    <w:p>
      <w:pPr>
        <w:spacing w:after="0" w:line="22"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Waste Management, Inc.</w:t>
      </w:r>
    </w:p>
    <w:p>
      <w:pPr>
        <w:spacing w:after="0" w:line="12"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Senior Counsel — Corporate &amp; Securities</w:t>
      </w:r>
    </w:p>
    <w:p>
      <w:pPr>
        <w:sectPr>
          <w:pgSz w:w="11900" w:h="16838" w:orient="portrait"/>
          <w:cols w:equalWidth="0" w:num="1">
            <w:col w:w="11460"/>
          </w:cols>
          <w:pgMar w:left="220" w:top="733" w:right="219" w:bottom="1440" w:gutter="0" w:footer="0" w:header="0"/>
        </w:sectPr>
      </w:pPr>
    </w:p>
    <w:bookmarkStart w:id="52" w:name="page53"/>
    <w:bookmarkEnd w:id="52"/>
    <w:p>
      <w:pPr>
        <w:jc w:val="right"/>
        <w:spacing w:after="0"/>
        <w:rPr>
          <w:sz w:val="20"/>
          <w:szCs w:val="20"/>
          <w:color w:val="auto"/>
        </w:rPr>
      </w:pPr>
      <w:r>
        <w:rPr>
          <w:rFonts w:ascii="Arial" w:cs="Arial" w:eastAsia="Arial" w:hAnsi="Arial"/>
          <w:sz w:val="13"/>
          <w:szCs w:val="13"/>
          <w:color w:val="auto"/>
        </w:rPr>
        <w:t>Exhibit 23.2</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Consent of Independent Registered Public Accounting Firm</w:t>
      </w:r>
    </w:p>
    <w:p>
      <w:pPr>
        <w:spacing w:after="0" w:line="92" w:lineRule="exact"/>
        <w:rPr>
          <w:sz w:val="20"/>
          <w:szCs w:val="20"/>
          <w:color w:val="auto"/>
        </w:rPr>
      </w:pPr>
    </w:p>
    <w:p>
      <w:pPr>
        <w:ind w:right="60"/>
        <w:spacing w:after="0" w:line="270" w:lineRule="auto"/>
        <w:rPr>
          <w:sz w:val="20"/>
          <w:szCs w:val="20"/>
          <w:color w:val="auto"/>
        </w:rPr>
      </w:pPr>
      <w:r>
        <w:rPr>
          <w:rFonts w:ascii="Arial" w:cs="Arial" w:eastAsia="Arial" w:hAnsi="Arial"/>
          <w:sz w:val="13"/>
          <w:szCs w:val="13"/>
          <w:color w:val="auto"/>
        </w:rPr>
        <w:t>We consent to the reference to our firm under the caption “Experts” in this Registration Statement on Form S-3 and related Prospectus of Waste Management, Inc. for the registration of debt securities, common stock, preferred stock, warrants, guarantees and units and to the incorporation by reference therein of our reports dated February 17, 2009, with respect to the consolidated financial statements and schedule of Waste Management, Inc., and the effectiveness of internal control over financial reporting of Waste Management, Inc., included in its Annual Report (Form 10-K) for the year ended December 31, 2008, filed with the Securities and Exchange Commission.</w:t>
      </w:r>
    </w:p>
    <w:p>
      <w:pPr>
        <w:spacing w:after="0" w:line="53"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ERNST &amp; YOUNG LLP</w:t>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color w:val="auto"/>
        </w:rPr>
        <w:t>Houston, Texas</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September 21, 2009</w:t>
      </w:r>
    </w:p>
    <w:p>
      <w:pPr>
        <w:sectPr>
          <w:pgSz w:w="11900" w:h="16838" w:orient="portrait"/>
          <w:cols w:equalWidth="0" w:num="1">
            <w:col w:w="11460"/>
          </w:cols>
          <w:pgMar w:left="220" w:top="129" w:right="219" w:bottom="1440" w:gutter="0" w:footer="0" w:header="0"/>
        </w:sectPr>
      </w:pPr>
    </w:p>
    <w:bookmarkStart w:id="53" w:name="page54"/>
    <w:bookmarkEnd w:id="53"/>
    <w:p>
      <w:pPr>
        <w:jc w:val="right"/>
        <w:spacing w:after="0"/>
        <w:rPr>
          <w:sz w:val="20"/>
          <w:szCs w:val="20"/>
          <w:color w:val="auto"/>
        </w:rPr>
      </w:pPr>
      <w:r>
        <w:rPr>
          <w:rFonts w:ascii="Arial" w:cs="Arial" w:eastAsia="Arial" w:hAnsi="Arial"/>
          <w:sz w:val="13"/>
          <w:szCs w:val="13"/>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173990</wp:posOffset>
            </wp:positionV>
            <wp:extent cx="7281545" cy="63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1545" cy="63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187325</wp:posOffset>
            </wp:positionV>
            <wp:extent cx="7281545" cy="63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1545" cy="635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20" w:type="dxa"/>
            <w:vAlign w:val="bottom"/>
            <w:gridSpan w:val="2"/>
          </w:tcPr>
          <w:p>
            <w:pPr>
              <w:jc w:val="center"/>
              <w:ind w:right="4153"/>
              <w:spacing w:after="0"/>
              <w:rPr>
                <w:sz w:val="20"/>
                <w:szCs w:val="20"/>
                <w:color w:val="auto"/>
              </w:rPr>
            </w:pPr>
            <w:r>
              <w:rPr>
                <w:rFonts w:ascii="Arial" w:cs="Arial" w:eastAsia="Arial" w:hAnsi="Arial"/>
                <w:sz w:val="13"/>
                <w:szCs w:val="13"/>
                <w:color w:val="auto"/>
                <w:w w:val="97"/>
              </w:rPr>
              <w:t>FORM T-1</w:t>
            </w:r>
          </w:p>
        </w:tc>
      </w:tr>
      <w:tr>
        <w:trPr>
          <w:trHeight w:val="231"/>
        </w:trPr>
        <w:tc>
          <w:tcPr>
            <w:tcW w:w="3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20" w:type="dxa"/>
            <w:vAlign w:val="bottom"/>
            <w:gridSpan w:val="2"/>
          </w:tcPr>
          <w:p>
            <w:pPr>
              <w:jc w:val="center"/>
              <w:ind w:right="4153"/>
              <w:spacing w:after="0"/>
              <w:rPr>
                <w:sz w:val="20"/>
                <w:szCs w:val="20"/>
                <w:color w:val="auto"/>
              </w:rPr>
            </w:pPr>
            <w:r>
              <w:rPr>
                <w:rFonts w:ascii="Arial" w:cs="Arial" w:eastAsia="Arial" w:hAnsi="Arial"/>
                <w:sz w:val="13"/>
                <w:szCs w:val="13"/>
                <w:color w:val="auto"/>
                <w:w w:val="97"/>
              </w:rPr>
              <w:t>UNITED STATES</w:t>
            </w:r>
          </w:p>
        </w:tc>
      </w:tr>
      <w:tr>
        <w:trPr>
          <w:trHeight w:val="161"/>
        </w:trPr>
        <w:tc>
          <w:tcPr>
            <w:tcW w:w="3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20" w:type="dxa"/>
            <w:vAlign w:val="bottom"/>
            <w:gridSpan w:val="2"/>
          </w:tcPr>
          <w:p>
            <w:pPr>
              <w:jc w:val="center"/>
              <w:ind w:right="4173"/>
              <w:spacing w:after="0"/>
              <w:rPr>
                <w:sz w:val="20"/>
                <w:szCs w:val="20"/>
                <w:color w:val="auto"/>
              </w:rPr>
            </w:pPr>
            <w:r>
              <w:rPr>
                <w:rFonts w:ascii="Arial" w:cs="Arial" w:eastAsia="Arial" w:hAnsi="Arial"/>
                <w:sz w:val="13"/>
                <w:szCs w:val="13"/>
                <w:color w:val="auto"/>
                <w:w w:val="99"/>
              </w:rPr>
              <w:t>SECURITIES AND EXCHANGE COMMISSION</w:t>
            </w:r>
          </w:p>
        </w:tc>
      </w:tr>
      <w:tr>
        <w:trPr>
          <w:trHeight w:val="172"/>
        </w:trPr>
        <w:tc>
          <w:tcPr>
            <w:tcW w:w="3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20" w:type="dxa"/>
            <w:vAlign w:val="bottom"/>
            <w:gridSpan w:val="2"/>
          </w:tcPr>
          <w:p>
            <w:pPr>
              <w:jc w:val="center"/>
              <w:ind w:right="4173"/>
              <w:spacing w:after="0"/>
              <w:rPr>
                <w:sz w:val="20"/>
                <w:szCs w:val="20"/>
                <w:color w:val="auto"/>
              </w:rPr>
            </w:pPr>
            <w:r>
              <w:rPr>
                <w:rFonts w:ascii="Arial" w:cs="Arial" w:eastAsia="Arial" w:hAnsi="Arial"/>
                <w:sz w:val="13"/>
                <w:szCs w:val="13"/>
                <w:color w:val="auto"/>
                <w:w w:val="94"/>
              </w:rPr>
              <w:t>Washington, D.C. 20549</w:t>
            </w:r>
          </w:p>
        </w:tc>
      </w:tr>
      <w:tr>
        <w:trPr>
          <w:trHeight w:val="231"/>
        </w:trPr>
        <w:tc>
          <w:tcPr>
            <w:tcW w:w="3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20" w:type="dxa"/>
            <w:vAlign w:val="bottom"/>
            <w:gridSpan w:val="2"/>
          </w:tcPr>
          <w:p>
            <w:pPr>
              <w:jc w:val="center"/>
              <w:ind w:right="4153"/>
              <w:spacing w:after="0"/>
              <w:rPr>
                <w:sz w:val="20"/>
                <w:szCs w:val="20"/>
                <w:color w:val="auto"/>
              </w:rPr>
            </w:pPr>
            <w:r>
              <w:rPr>
                <w:rFonts w:ascii="Arial" w:cs="Arial" w:eastAsia="Arial" w:hAnsi="Arial"/>
                <w:sz w:val="13"/>
                <w:szCs w:val="13"/>
                <w:color w:val="auto"/>
              </w:rPr>
              <w:t>STATEMENT OF ELIGIBILITY</w:t>
            </w:r>
          </w:p>
        </w:tc>
      </w:tr>
      <w:tr>
        <w:trPr>
          <w:trHeight w:val="161"/>
        </w:trPr>
        <w:tc>
          <w:tcPr>
            <w:tcW w:w="3800" w:type="dxa"/>
            <w:vAlign w:val="bottom"/>
          </w:tcPr>
          <w:p>
            <w:pPr>
              <w:spacing w:after="0"/>
              <w:rPr>
                <w:sz w:val="14"/>
                <w:szCs w:val="14"/>
                <w:color w:val="auto"/>
              </w:rPr>
            </w:pPr>
          </w:p>
        </w:tc>
        <w:tc>
          <w:tcPr>
            <w:tcW w:w="7660" w:type="dxa"/>
            <w:vAlign w:val="bottom"/>
            <w:gridSpan w:val="3"/>
          </w:tcPr>
          <w:p>
            <w:pPr>
              <w:jc w:val="center"/>
              <w:ind w:right="3713"/>
              <w:spacing w:after="0"/>
              <w:rPr>
                <w:sz w:val="20"/>
                <w:szCs w:val="20"/>
                <w:color w:val="auto"/>
              </w:rPr>
            </w:pPr>
            <w:r>
              <w:rPr>
                <w:rFonts w:ascii="Arial" w:cs="Arial" w:eastAsia="Arial" w:hAnsi="Arial"/>
                <w:sz w:val="13"/>
                <w:szCs w:val="13"/>
                <w:color w:val="auto"/>
                <w:w w:val="98"/>
              </w:rPr>
              <w:t>UNDER THE TRUST INDENTURE ACT OF 1939 OF A</w:t>
            </w:r>
          </w:p>
        </w:tc>
      </w:tr>
      <w:tr>
        <w:trPr>
          <w:trHeight w:val="172"/>
        </w:trPr>
        <w:tc>
          <w:tcPr>
            <w:tcW w:w="3800" w:type="dxa"/>
            <w:vAlign w:val="bottom"/>
          </w:tcPr>
          <w:p>
            <w:pPr>
              <w:spacing w:after="0"/>
              <w:rPr>
                <w:sz w:val="14"/>
                <w:szCs w:val="14"/>
                <w:color w:val="auto"/>
              </w:rPr>
            </w:pPr>
          </w:p>
        </w:tc>
        <w:tc>
          <w:tcPr>
            <w:tcW w:w="7660" w:type="dxa"/>
            <w:vAlign w:val="bottom"/>
            <w:gridSpan w:val="3"/>
          </w:tcPr>
          <w:p>
            <w:pPr>
              <w:jc w:val="center"/>
              <w:ind w:right="3733"/>
              <w:spacing w:after="0"/>
              <w:rPr>
                <w:sz w:val="20"/>
                <w:szCs w:val="20"/>
                <w:color w:val="auto"/>
              </w:rPr>
            </w:pPr>
            <w:r>
              <w:rPr>
                <w:rFonts w:ascii="Arial" w:cs="Arial" w:eastAsia="Arial" w:hAnsi="Arial"/>
                <w:sz w:val="13"/>
                <w:szCs w:val="13"/>
                <w:color w:val="auto"/>
                <w:w w:val="97"/>
              </w:rPr>
              <w:t>CORPORATION DESIGNATED TO ACT AS TRUSTEE</w:t>
            </w:r>
          </w:p>
        </w:tc>
      </w:tr>
      <w:tr>
        <w:trPr>
          <w:trHeight w:val="231"/>
        </w:trPr>
        <w:tc>
          <w:tcPr>
            <w:tcW w:w="3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20" w:type="dxa"/>
            <w:vAlign w:val="bottom"/>
            <w:gridSpan w:val="2"/>
          </w:tcPr>
          <w:p>
            <w:pPr>
              <w:jc w:val="center"/>
              <w:ind w:right="4153"/>
              <w:spacing w:after="0"/>
              <w:rPr>
                <w:sz w:val="20"/>
                <w:szCs w:val="20"/>
                <w:color w:val="auto"/>
              </w:rPr>
            </w:pPr>
            <w:r>
              <w:rPr>
                <w:rFonts w:ascii="Arial" w:cs="Arial" w:eastAsia="Arial" w:hAnsi="Arial"/>
                <w:sz w:val="13"/>
                <w:szCs w:val="13"/>
                <w:color w:val="auto"/>
              </w:rPr>
              <w:t>CHECK IF AN APPLICATION TO DETERMINE</w:t>
            </w:r>
          </w:p>
        </w:tc>
      </w:tr>
      <w:tr>
        <w:trPr>
          <w:trHeight w:val="161"/>
        </w:trPr>
        <w:tc>
          <w:tcPr>
            <w:tcW w:w="3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20" w:type="dxa"/>
            <w:vAlign w:val="bottom"/>
            <w:gridSpan w:val="2"/>
          </w:tcPr>
          <w:p>
            <w:pPr>
              <w:jc w:val="center"/>
              <w:ind w:right="4173"/>
              <w:spacing w:after="0"/>
              <w:rPr>
                <w:sz w:val="20"/>
                <w:szCs w:val="20"/>
                <w:color w:val="auto"/>
              </w:rPr>
            </w:pPr>
            <w:r>
              <w:rPr>
                <w:rFonts w:ascii="Arial" w:cs="Arial" w:eastAsia="Arial" w:hAnsi="Arial"/>
                <w:sz w:val="13"/>
                <w:szCs w:val="13"/>
                <w:color w:val="auto"/>
              </w:rPr>
              <w:t>ELIGIBILITY OF A TRUSTEE PURSUANT TO</w:t>
            </w:r>
          </w:p>
        </w:tc>
      </w:tr>
      <w:tr>
        <w:trPr>
          <w:trHeight w:val="172"/>
        </w:trPr>
        <w:tc>
          <w:tcPr>
            <w:tcW w:w="3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20" w:type="dxa"/>
            <w:vAlign w:val="bottom"/>
            <w:gridSpan w:val="2"/>
          </w:tcPr>
          <w:p>
            <w:pPr>
              <w:jc w:val="center"/>
              <w:ind w:right="4153"/>
              <w:spacing w:after="0"/>
              <w:rPr>
                <w:sz w:val="20"/>
                <w:szCs w:val="20"/>
                <w:color w:val="auto"/>
              </w:rPr>
            </w:pPr>
            <w:r>
              <w:rPr>
                <w:rFonts w:ascii="Arial" w:cs="Arial" w:eastAsia="Arial" w:hAnsi="Arial"/>
                <w:sz w:val="13"/>
                <w:szCs w:val="13"/>
                <w:color w:val="auto"/>
                <w:w w:val="95"/>
              </w:rPr>
              <w:t>SECTION 305(b)(2) |___|</w:t>
            </w:r>
          </w:p>
        </w:tc>
      </w:tr>
      <w:tr>
        <w:trPr>
          <w:trHeight w:val="212"/>
        </w:trPr>
        <w:tc>
          <w:tcPr>
            <w:tcW w:w="3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980" w:type="dxa"/>
            <w:vAlign w:val="bottom"/>
            <w:tcBorders>
              <w:bottom w:val="single" w:sz="8" w:color="auto"/>
            </w:tcBorders>
          </w:tcPr>
          <w:p>
            <w:pPr>
              <w:spacing w:after="0"/>
              <w:rPr>
                <w:sz w:val="18"/>
                <w:szCs w:val="18"/>
                <w:color w:val="auto"/>
              </w:rPr>
            </w:pPr>
          </w:p>
        </w:tc>
        <w:tc>
          <w:tcPr>
            <w:tcW w:w="4240" w:type="dxa"/>
            <w:vAlign w:val="bottom"/>
          </w:tcPr>
          <w:p>
            <w:pPr>
              <w:spacing w:after="0"/>
              <w:rPr>
                <w:sz w:val="18"/>
                <w:szCs w:val="18"/>
                <w:color w:val="auto"/>
              </w:rPr>
            </w:pPr>
          </w:p>
        </w:tc>
      </w:tr>
      <w:tr>
        <w:trPr>
          <w:trHeight w:val="272"/>
        </w:trPr>
        <w:tc>
          <w:tcPr>
            <w:tcW w:w="3800" w:type="dxa"/>
            <w:vAlign w:val="bottom"/>
          </w:tcPr>
          <w:p>
            <w:pPr>
              <w:spacing w:after="0"/>
              <w:rPr>
                <w:sz w:val="23"/>
                <w:szCs w:val="23"/>
                <w:color w:val="auto"/>
              </w:rPr>
            </w:pPr>
          </w:p>
        </w:tc>
        <w:tc>
          <w:tcPr>
            <w:tcW w:w="7660" w:type="dxa"/>
            <w:vAlign w:val="bottom"/>
            <w:gridSpan w:val="3"/>
          </w:tcPr>
          <w:p>
            <w:pPr>
              <w:jc w:val="center"/>
              <w:ind w:right="3733"/>
              <w:spacing w:after="0"/>
              <w:rPr>
                <w:sz w:val="20"/>
                <w:szCs w:val="20"/>
                <w:color w:val="auto"/>
              </w:rPr>
            </w:pPr>
            <w:r>
              <w:rPr>
                <w:rFonts w:ascii="Arial" w:cs="Arial" w:eastAsia="Arial" w:hAnsi="Arial"/>
                <w:sz w:val="13"/>
                <w:szCs w:val="13"/>
                <w:b w:val="1"/>
                <w:bCs w:val="1"/>
                <w:color w:val="auto"/>
              </w:rPr>
              <w:t>THE BANK OF NEW YORK MELLON TRUST COMPANY, N.A.</w:t>
            </w:r>
          </w:p>
        </w:tc>
      </w:tr>
      <w:tr>
        <w:trPr>
          <w:trHeight w:val="172"/>
        </w:trPr>
        <w:tc>
          <w:tcPr>
            <w:tcW w:w="3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20" w:type="dxa"/>
            <w:vAlign w:val="bottom"/>
            <w:gridSpan w:val="2"/>
          </w:tcPr>
          <w:p>
            <w:pPr>
              <w:jc w:val="center"/>
              <w:ind w:right="4173"/>
              <w:spacing w:after="0"/>
              <w:rPr>
                <w:sz w:val="20"/>
                <w:szCs w:val="20"/>
                <w:color w:val="auto"/>
              </w:rPr>
            </w:pPr>
            <w:r>
              <w:rPr>
                <w:rFonts w:ascii="Arial" w:cs="Arial" w:eastAsia="Arial" w:hAnsi="Arial"/>
                <w:sz w:val="13"/>
                <w:szCs w:val="13"/>
                <w:color w:val="auto"/>
                <w:w w:val="92"/>
              </w:rPr>
              <w:t>(Exact name of trustee as specified in its charter)</w:t>
            </w:r>
          </w:p>
        </w:tc>
      </w:tr>
      <w:tr>
        <w:trPr>
          <w:trHeight w:val="312"/>
        </w:trPr>
        <w:tc>
          <w:tcPr>
            <w:tcW w:w="3800" w:type="dxa"/>
            <w:vAlign w:val="bottom"/>
          </w:tcPr>
          <w:p>
            <w:pPr>
              <w:spacing w:after="0"/>
              <w:rPr>
                <w:sz w:val="24"/>
                <w:szCs w:val="24"/>
                <w:color w:val="auto"/>
              </w:rPr>
            </w:pPr>
          </w:p>
        </w:tc>
        <w:tc>
          <w:tcPr>
            <w:tcW w:w="7660" w:type="dxa"/>
            <w:vAlign w:val="bottom"/>
            <w:gridSpan w:val="3"/>
          </w:tcPr>
          <w:p>
            <w:pPr>
              <w:jc w:val="center"/>
              <w:ind w:left="2153"/>
              <w:spacing w:after="0"/>
              <w:rPr>
                <w:sz w:val="20"/>
                <w:szCs w:val="20"/>
                <w:color w:val="auto"/>
              </w:rPr>
            </w:pPr>
            <w:r>
              <w:rPr>
                <w:rFonts w:ascii="Arial" w:cs="Arial" w:eastAsia="Arial" w:hAnsi="Arial"/>
                <w:sz w:val="13"/>
                <w:szCs w:val="13"/>
                <w:b w:val="1"/>
                <w:bCs w:val="1"/>
                <w:color w:val="auto"/>
                <w:w w:val="92"/>
              </w:rPr>
              <w:t>95-3571558</w:t>
            </w:r>
          </w:p>
        </w:tc>
      </w:tr>
      <w:tr>
        <w:trPr>
          <w:trHeight w:val="161"/>
        </w:trPr>
        <w:tc>
          <w:tcPr>
            <w:tcW w:w="3800" w:type="dxa"/>
            <w:vAlign w:val="bottom"/>
          </w:tcPr>
          <w:p>
            <w:pPr>
              <w:jc w:val="center"/>
              <w:ind w:left="1573"/>
              <w:spacing w:after="0"/>
              <w:rPr>
                <w:sz w:val="20"/>
                <w:szCs w:val="20"/>
                <w:color w:val="auto"/>
              </w:rPr>
            </w:pPr>
            <w:r>
              <w:rPr>
                <w:rFonts w:ascii="Arial" w:cs="Arial" w:eastAsia="Arial" w:hAnsi="Arial"/>
                <w:sz w:val="13"/>
                <w:szCs w:val="13"/>
                <w:color w:val="auto"/>
                <w:w w:val="93"/>
              </w:rPr>
              <w:t>(State of incorporation</w:t>
            </w:r>
          </w:p>
        </w:tc>
        <w:tc>
          <w:tcPr>
            <w:tcW w:w="4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4240" w:type="dxa"/>
            <w:vAlign w:val="bottom"/>
          </w:tcPr>
          <w:p>
            <w:pPr>
              <w:jc w:val="center"/>
              <w:ind w:right="1153"/>
              <w:spacing w:after="0"/>
              <w:rPr>
                <w:sz w:val="20"/>
                <w:szCs w:val="20"/>
                <w:color w:val="auto"/>
              </w:rPr>
            </w:pPr>
            <w:r>
              <w:rPr>
                <w:rFonts w:ascii="Arial" w:cs="Arial" w:eastAsia="Arial" w:hAnsi="Arial"/>
                <w:sz w:val="13"/>
                <w:szCs w:val="13"/>
                <w:color w:val="auto"/>
                <w:w w:val="95"/>
              </w:rPr>
              <w:t>(I.R.S. employer</w:t>
            </w:r>
          </w:p>
        </w:tc>
      </w:tr>
      <w:tr>
        <w:trPr>
          <w:trHeight w:val="172"/>
        </w:trPr>
        <w:tc>
          <w:tcPr>
            <w:tcW w:w="3800" w:type="dxa"/>
            <w:vAlign w:val="bottom"/>
          </w:tcPr>
          <w:p>
            <w:pPr>
              <w:jc w:val="center"/>
              <w:ind w:left="1593"/>
              <w:spacing w:after="0"/>
              <w:rPr>
                <w:sz w:val="20"/>
                <w:szCs w:val="20"/>
                <w:color w:val="auto"/>
              </w:rPr>
            </w:pPr>
            <w:r>
              <w:rPr>
                <w:rFonts w:ascii="Arial" w:cs="Arial" w:eastAsia="Arial" w:hAnsi="Arial"/>
                <w:sz w:val="13"/>
                <w:szCs w:val="13"/>
                <w:color w:val="auto"/>
                <w:w w:val="95"/>
              </w:rPr>
              <w:t>if not a U.S. national bank)</w:t>
            </w:r>
          </w:p>
        </w:tc>
        <w:tc>
          <w:tcPr>
            <w:tcW w:w="4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4240" w:type="dxa"/>
            <w:vAlign w:val="bottom"/>
          </w:tcPr>
          <w:p>
            <w:pPr>
              <w:jc w:val="center"/>
              <w:ind w:right="1133"/>
              <w:spacing w:after="0"/>
              <w:rPr>
                <w:sz w:val="20"/>
                <w:szCs w:val="20"/>
                <w:color w:val="auto"/>
              </w:rPr>
            </w:pPr>
            <w:r>
              <w:rPr>
                <w:rFonts w:ascii="Arial" w:cs="Arial" w:eastAsia="Arial" w:hAnsi="Arial"/>
                <w:sz w:val="13"/>
                <w:szCs w:val="13"/>
                <w:color w:val="auto"/>
                <w:w w:val="97"/>
              </w:rPr>
              <w:t>identification no.)</w:t>
            </w:r>
          </w:p>
        </w:tc>
      </w:tr>
      <w:tr>
        <w:trPr>
          <w:trHeight w:val="310"/>
        </w:trPr>
        <w:tc>
          <w:tcPr>
            <w:tcW w:w="3800" w:type="dxa"/>
            <w:vAlign w:val="bottom"/>
          </w:tcPr>
          <w:p>
            <w:pPr>
              <w:jc w:val="center"/>
              <w:ind w:left="1593"/>
              <w:spacing w:after="0"/>
              <w:rPr>
                <w:sz w:val="20"/>
                <w:szCs w:val="20"/>
                <w:color w:val="auto"/>
              </w:rPr>
            </w:pPr>
            <w:r>
              <w:rPr>
                <w:rFonts w:ascii="Arial" w:cs="Arial" w:eastAsia="Arial" w:hAnsi="Arial"/>
                <w:sz w:val="13"/>
                <w:szCs w:val="13"/>
                <w:b w:val="1"/>
                <w:bCs w:val="1"/>
                <w:color w:val="auto"/>
                <w:w w:val="93"/>
              </w:rPr>
              <w:t>700 South Flower Street</w:t>
            </w:r>
          </w:p>
        </w:tc>
        <w:tc>
          <w:tcPr>
            <w:tcW w:w="4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240" w:type="dxa"/>
            <w:vAlign w:val="bottom"/>
          </w:tcPr>
          <w:p>
            <w:pPr>
              <w:spacing w:after="0"/>
              <w:rPr>
                <w:sz w:val="24"/>
                <w:szCs w:val="24"/>
                <w:color w:val="auto"/>
              </w:rPr>
            </w:pPr>
          </w:p>
        </w:tc>
      </w:tr>
      <w:tr>
        <w:trPr>
          <w:trHeight w:val="161"/>
        </w:trPr>
        <w:tc>
          <w:tcPr>
            <w:tcW w:w="3800" w:type="dxa"/>
            <w:vAlign w:val="bottom"/>
          </w:tcPr>
          <w:p>
            <w:pPr>
              <w:jc w:val="center"/>
              <w:ind w:left="1573"/>
              <w:spacing w:after="0"/>
              <w:rPr>
                <w:sz w:val="20"/>
                <w:szCs w:val="20"/>
                <w:color w:val="auto"/>
              </w:rPr>
            </w:pPr>
            <w:r>
              <w:rPr>
                <w:rFonts w:ascii="Arial" w:cs="Arial" w:eastAsia="Arial" w:hAnsi="Arial"/>
                <w:sz w:val="13"/>
                <w:szCs w:val="13"/>
                <w:b w:val="1"/>
                <w:bCs w:val="1"/>
                <w:color w:val="auto"/>
                <w:w w:val="91"/>
              </w:rPr>
              <w:t>Suite 500</w:t>
            </w:r>
          </w:p>
        </w:tc>
        <w:tc>
          <w:tcPr>
            <w:tcW w:w="4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4240" w:type="dxa"/>
            <w:vAlign w:val="bottom"/>
          </w:tcPr>
          <w:p>
            <w:pPr>
              <w:spacing w:after="0"/>
              <w:rPr>
                <w:sz w:val="14"/>
                <w:szCs w:val="14"/>
                <w:color w:val="auto"/>
              </w:rPr>
            </w:pPr>
          </w:p>
        </w:tc>
      </w:tr>
      <w:tr>
        <w:trPr>
          <w:trHeight w:val="163"/>
        </w:trPr>
        <w:tc>
          <w:tcPr>
            <w:tcW w:w="3800" w:type="dxa"/>
            <w:vAlign w:val="bottom"/>
          </w:tcPr>
          <w:p>
            <w:pPr>
              <w:jc w:val="center"/>
              <w:ind w:left="1573"/>
              <w:spacing w:after="0"/>
              <w:rPr>
                <w:sz w:val="20"/>
                <w:szCs w:val="20"/>
                <w:color w:val="auto"/>
              </w:rPr>
            </w:pPr>
            <w:r>
              <w:rPr>
                <w:rFonts w:ascii="Arial" w:cs="Arial" w:eastAsia="Arial" w:hAnsi="Arial"/>
                <w:sz w:val="13"/>
                <w:szCs w:val="13"/>
                <w:b w:val="1"/>
                <w:bCs w:val="1"/>
                <w:color w:val="auto"/>
                <w:w w:val="94"/>
              </w:rPr>
              <w:t>Los Angeles, California</w:t>
            </w:r>
          </w:p>
        </w:tc>
        <w:tc>
          <w:tcPr>
            <w:tcW w:w="7660" w:type="dxa"/>
            <w:vAlign w:val="bottom"/>
            <w:gridSpan w:val="3"/>
          </w:tcPr>
          <w:p>
            <w:pPr>
              <w:jc w:val="center"/>
              <w:ind w:left="2133"/>
              <w:spacing w:after="0"/>
              <w:rPr>
                <w:sz w:val="20"/>
                <w:szCs w:val="20"/>
                <w:color w:val="auto"/>
              </w:rPr>
            </w:pPr>
            <w:r>
              <w:rPr>
                <w:rFonts w:ascii="Arial" w:cs="Arial" w:eastAsia="Arial" w:hAnsi="Arial"/>
                <w:sz w:val="13"/>
                <w:szCs w:val="13"/>
                <w:b w:val="1"/>
                <w:bCs w:val="1"/>
                <w:color w:val="auto"/>
                <w:w w:val="93"/>
              </w:rPr>
              <w:t>90017</w:t>
            </w:r>
          </w:p>
        </w:tc>
      </w:tr>
      <w:tr>
        <w:trPr>
          <w:trHeight w:val="172"/>
        </w:trPr>
        <w:tc>
          <w:tcPr>
            <w:tcW w:w="3800" w:type="dxa"/>
            <w:vAlign w:val="bottom"/>
          </w:tcPr>
          <w:p>
            <w:pPr>
              <w:jc w:val="center"/>
              <w:ind w:left="1573"/>
              <w:spacing w:after="0"/>
              <w:rPr>
                <w:sz w:val="20"/>
                <w:szCs w:val="20"/>
                <w:color w:val="auto"/>
              </w:rPr>
            </w:pPr>
            <w:r>
              <w:rPr>
                <w:rFonts w:ascii="Arial" w:cs="Arial" w:eastAsia="Arial" w:hAnsi="Arial"/>
                <w:sz w:val="13"/>
                <w:szCs w:val="13"/>
                <w:color w:val="auto"/>
                <w:w w:val="95"/>
              </w:rPr>
              <w:t>(Address of principal executive offices)</w:t>
            </w:r>
          </w:p>
        </w:tc>
        <w:tc>
          <w:tcPr>
            <w:tcW w:w="4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4240" w:type="dxa"/>
            <w:vAlign w:val="bottom"/>
          </w:tcPr>
          <w:p>
            <w:pPr>
              <w:jc w:val="center"/>
              <w:ind w:right="1133"/>
              <w:spacing w:after="0"/>
              <w:rPr>
                <w:sz w:val="20"/>
                <w:szCs w:val="20"/>
                <w:color w:val="auto"/>
              </w:rPr>
            </w:pPr>
            <w:r>
              <w:rPr>
                <w:rFonts w:ascii="Arial" w:cs="Arial" w:eastAsia="Arial" w:hAnsi="Arial"/>
                <w:sz w:val="13"/>
                <w:szCs w:val="13"/>
                <w:color w:val="auto"/>
                <w:w w:val="95"/>
              </w:rPr>
              <w:t>(Zip code)</w:t>
            </w:r>
          </w:p>
        </w:tc>
      </w:tr>
      <w:tr>
        <w:trPr>
          <w:trHeight w:val="222"/>
        </w:trPr>
        <w:tc>
          <w:tcPr>
            <w:tcW w:w="3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980" w:type="dxa"/>
            <w:vAlign w:val="bottom"/>
            <w:tcBorders>
              <w:bottom w:val="single" w:sz="8" w:color="auto"/>
            </w:tcBorders>
          </w:tcPr>
          <w:p>
            <w:pPr>
              <w:spacing w:after="0"/>
              <w:rPr>
                <w:sz w:val="19"/>
                <w:szCs w:val="19"/>
                <w:color w:val="auto"/>
              </w:rPr>
            </w:pPr>
          </w:p>
        </w:tc>
        <w:tc>
          <w:tcPr>
            <w:tcW w:w="4240" w:type="dxa"/>
            <w:vAlign w:val="bottom"/>
          </w:tcPr>
          <w:p>
            <w:pPr>
              <w:spacing w:after="0"/>
              <w:rPr>
                <w:sz w:val="19"/>
                <w:szCs w:val="19"/>
                <w:color w:val="auto"/>
              </w:rPr>
            </w:pPr>
          </w:p>
        </w:tc>
      </w:tr>
      <w:tr>
        <w:trPr>
          <w:trHeight w:val="270"/>
        </w:trPr>
        <w:tc>
          <w:tcPr>
            <w:tcW w:w="3800" w:type="dxa"/>
            <w:vAlign w:val="bottom"/>
          </w:tcPr>
          <w:p>
            <w:pPr>
              <w:spacing w:after="0"/>
              <w:rPr>
                <w:sz w:val="23"/>
                <w:szCs w:val="23"/>
                <w:color w:val="auto"/>
              </w:rPr>
            </w:pPr>
          </w:p>
        </w:tc>
        <w:tc>
          <w:tcPr>
            <w:tcW w:w="7660" w:type="dxa"/>
            <w:vAlign w:val="bottom"/>
            <w:gridSpan w:val="3"/>
          </w:tcPr>
          <w:p>
            <w:pPr>
              <w:jc w:val="center"/>
              <w:ind w:right="3733"/>
              <w:spacing w:after="0"/>
              <w:rPr>
                <w:sz w:val="20"/>
                <w:szCs w:val="20"/>
                <w:color w:val="auto"/>
              </w:rPr>
            </w:pPr>
            <w:r>
              <w:rPr>
                <w:rFonts w:ascii="Arial" w:cs="Arial" w:eastAsia="Arial" w:hAnsi="Arial"/>
                <w:sz w:val="13"/>
                <w:szCs w:val="13"/>
                <w:b w:val="1"/>
                <w:bCs w:val="1"/>
                <w:color w:val="auto"/>
                <w:w w:val="96"/>
              </w:rPr>
              <w:t>The Bank of New York Mellon Trust Company, N.A.</w:t>
            </w:r>
          </w:p>
        </w:tc>
      </w:tr>
      <w:tr>
        <w:trPr>
          <w:trHeight w:val="161"/>
        </w:trPr>
        <w:tc>
          <w:tcPr>
            <w:tcW w:w="3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20" w:type="dxa"/>
            <w:vAlign w:val="bottom"/>
            <w:gridSpan w:val="2"/>
          </w:tcPr>
          <w:p>
            <w:pPr>
              <w:jc w:val="center"/>
              <w:ind w:right="4173"/>
              <w:spacing w:after="0"/>
              <w:rPr>
                <w:sz w:val="20"/>
                <w:szCs w:val="20"/>
                <w:color w:val="auto"/>
              </w:rPr>
            </w:pPr>
            <w:r>
              <w:rPr>
                <w:rFonts w:ascii="Arial" w:cs="Arial" w:eastAsia="Arial" w:hAnsi="Arial"/>
                <w:sz w:val="13"/>
                <w:szCs w:val="13"/>
                <w:b w:val="1"/>
                <w:bCs w:val="1"/>
                <w:color w:val="auto"/>
                <w:w w:val="93"/>
              </w:rPr>
              <w:t>700 South Flower Street, Suite 500</w:t>
            </w:r>
          </w:p>
        </w:tc>
      </w:tr>
      <w:tr>
        <w:trPr>
          <w:trHeight w:val="161"/>
        </w:trPr>
        <w:tc>
          <w:tcPr>
            <w:tcW w:w="3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20" w:type="dxa"/>
            <w:vAlign w:val="bottom"/>
            <w:gridSpan w:val="2"/>
          </w:tcPr>
          <w:p>
            <w:pPr>
              <w:jc w:val="center"/>
              <w:ind w:right="4153"/>
              <w:spacing w:after="0"/>
              <w:rPr>
                <w:sz w:val="20"/>
                <w:szCs w:val="20"/>
                <w:color w:val="auto"/>
              </w:rPr>
            </w:pPr>
            <w:r>
              <w:rPr>
                <w:rFonts w:ascii="Arial" w:cs="Arial" w:eastAsia="Arial" w:hAnsi="Arial"/>
                <w:sz w:val="13"/>
                <w:szCs w:val="13"/>
                <w:b w:val="1"/>
                <w:bCs w:val="1"/>
                <w:color w:val="auto"/>
                <w:w w:val="93"/>
              </w:rPr>
              <w:t>Los Angeles, California 90017</w:t>
            </w:r>
          </w:p>
        </w:tc>
      </w:tr>
      <w:tr>
        <w:trPr>
          <w:trHeight w:val="161"/>
        </w:trPr>
        <w:tc>
          <w:tcPr>
            <w:tcW w:w="3800" w:type="dxa"/>
            <w:vAlign w:val="bottom"/>
          </w:tcPr>
          <w:p>
            <w:pPr>
              <w:spacing w:after="0"/>
              <w:rPr>
                <w:sz w:val="14"/>
                <w:szCs w:val="14"/>
                <w:color w:val="auto"/>
              </w:rPr>
            </w:pPr>
          </w:p>
        </w:tc>
        <w:tc>
          <w:tcPr>
            <w:tcW w:w="7660" w:type="dxa"/>
            <w:vAlign w:val="bottom"/>
            <w:gridSpan w:val="3"/>
          </w:tcPr>
          <w:p>
            <w:pPr>
              <w:jc w:val="center"/>
              <w:ind w:right="3733"/>
              <w:spacing w:after="0"/>
              <w:rPr>
                <w:sz w:val="20"/>
                <w:szCs w:val="20"/>
                <w:color w:val="auto"/>
              </w:rPr>
            </w:pPr>
            <w:r>
              <w:rPr>
                <w:rFonts w:ascii="Arial" w:cs="Arial" w:eastAsia="Arial" w:hAnsi="Arial"/>
                <w:sz w:val="13"/>
                <w:szCs w:val="13"/>
                <w:b w:val="1"/>
                <w:bCs w:val="1"/>
                <w:color w:val="auto"/>
                <w:w w:val="95"/>
              </w:rPr>
              <w:t>Attn: The Bank of New York Mellon Trust Company, N.A.</w:t>
            </w:r>
          </w:p>
        </w:tc>
      </w:tr>
      <w:tr>
        <w:trPr>
          <w:trHeight w:val="163"/>
        </w:trPr>
        <w:tc>
          <w:tcPr>
            <w:tcW w:w="3800" w:type="dxa"/>
            <w:vAlign w:val="bottom"/>
          </w:tcPr>
          <w:p>
            <w:pPr>
              <w:spacing w:after="0"/>
              <w:rPr>
                <w:sz w:val="14"/>
                <w:szCs w:val="14"/>
                <w:color w:val="auto"/>
              </w:rPr>
            </w:pPr>
          </w:p>
        </w:tc>
        <w:tc>
          <w:tcPr>
            <w:tcW w:w="3420" w:type="dxa"/>
            <w:vAlign w:val="bottom"/>
            <w:gridSpan w:val="2"/>
          </w:tcPr>
          <w:p>
            <w:pPr>
              <w:jc w:val="center"/>
              <w:ind w:left="393"/>
              <w:spacing w:after="0"/>
              <w:rPr>
                <w:sz w:val="20"/>
                <w:szCs w:val="20"/>
                <w:color w:val="auto"/>
              </w:rPr>
            </w:pPr>
            <w:r>
              <w:rPr>
                <w:rFonts w:ascii="Arial" w:cs="Arial" w:eastAsia="Arial" w:hAnsi="Arial"/>
                <w:sz w:val="13"/>
                <w:szCs w:val="13"/>
                <w:b w:val="1"/>
                <w:bCs w:val="1"/>
                <w:color w:val="auto"/>
                <w:w w:val="93"/>
              </w:rPr>
              <w:t>213-630-6205</w:t>
            </w:r>
          </w:p>
        </w:tc>
        <w:tc>
          <w:tcPr>
            <w:tcW w:w="4240" w:type="dxa"/>
            <w:vAlign w:val="bottom"/>
          </w:tcPr>
          <w:p>
            <w:pPr>
              <w:spacing w:after="0"/>
              <w:rPr>
                <w:sz w:val="14"/>
                <w:szCs w:val="14"/>
                <w:color w:val="auto"/>
              </w:rPr>
            </w:pPr>
          </w:p>
        </w:tc>
      </w:tr>
      <w:tr>
        <w:trPr>
          <w:trHeight w:val="172"/>
        </w:trPr>
        <w:tc>
          <w:tcPr>
            <w:tcW w:w="3800" w:type="dxa"/>
            <w:vAlign w:val="bottom"/>
          </w:tcPr>
          <w:p>
            <w:pPr>
              <w:spacing w:after="0"/>
              <w:rPr>
                <w:sz w:val="14"/>
                <w:szCs w:val="14"/>
                <w:color w:val="auto"/>
              </w:rPr>
            </w:pPr>
          </w:p>
        </w:tc>
        <w:tc>
          <w:tcPr>
            <w:tcW w:w="7660" w:type="dxa"/>
            <w:vAlign w:val="bottom"/>
            <w:gridSpan w:val="3"/>
          </w:tcPr>
          <w:p>
            <w:pPr>
              <w:jc w:val="center"/>
              <w:ind w:right="3733"/>
              <w:spacing w:after="0"/>
              <w:rPr>
                <w:sz w:val="20"/>
                <w:szCs w:val="20"/>
                <w:color w:val="auto"/>
              </w:rPr>
            </w:pPr>
            <w:r>
              <w:rPr>
                <w:rFonts w:ascii="Arial" w:cs="Arial" w:eastAsia="Arial" w:hAnsi="Arial"/>
                <w:sz w:val="13"/>
                <w:szCs w:val="13"/>
                <w:color w:val="auto"/>
                <w:w w:val="92"/>
              </w:rPr>
              <w:t>(Name, address and telephone number of agent for service)</w:t>
            </w:r>
          </w:p>
        </w:tc>
      </w:tr>
      <w:tr>
        <w:trPr>
          <w:trHeight w:val="212"/>
        </w:trPr>
        <w:tc>
          <w:tcPr>
            <w:tcW w:w="3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980" w:type="dxa"/>
            <w:vAlign w:val="bottom"/>
            <w:tcBorders>
              <w:bottom w:val="single" w:sz="8" w:color="auto"/>
            </w:tcBorders>
          </w:tcPr>
          <w:p>
            <w:pPr>
              <w:spacing w:after="0"/>
              <w:rPr>
                <w:sz w:val="18"/>
                <w:szCs w:val="18"/>
                <w:color w:val="auto"/>
              </w:rPr>
            </w:pPr>
          </w:p>
        </w:tc>
        <w:tc>
          <w:tcPr>
            <w:tcW w:w="4240" w:type="dxa"/>
            <w:vAlign w:val="bottom"/>
          </w:tcPr>
          <w:p>
            <w:pPr>
              <w:spacing w:after="0"/>
              <w:rPr>
                <w:sz w:val="18"/>
                <w:szCs w:val="18"/>
                <w:color w:val="auto"/>
              </w:rPr>
            </w:pPr>
          </w:p>
        </w:tc>
      </w:tr>
      <w:tr>
        <w:trPr>
          <w:trHeight w:val="272"/>
        </w:trPr>
        <w:tc>
          <w:tcPr>
            <w:tcW w:w="38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220" w:type="dxa"/>
            <w:vAlign w:val="bottom"/>
            <w:gridSpan w:val="2"/>
          </w:tcPr>
          <w:p>
            <w:pPr>
              <w:jc w:val="center"/>
              <w:ind w:right="4173"/>
              <w:spacing w:after="0"/>
              <w:rPr>
                <w:sz w:val="20"/>
                <w:szCs w:val="20"/>
                <w:color w:val="auto"/>
              </w:rPr>
            </w:pPr>
            <w:r>
              <w:rPr>
                <w:rFonts w:ascii="Arial" w:cs="Arial" w:eastAsia="Arial" w:hAnsi="Arial"/>
                <w:sz w:val="13"/>
                <w:szCs w:val="13"/>
                <w:b w:val="1"/>
                <w:bCs w:val="1"/>
                <w:color w:val="auto"/>
                <w:w w:val="94"/>
              </w:rPr>
              <w:t>Waste Management, Inc.</w:t>
            </w:r>
          </w:p>
        </w:tc>
      </w:tr>
      <w:tr>
        <w:trPr>
          <w:trHeight w:val="172"/>
        </w:trPr>
        <w:tc>
          <w:tcPr>
            <w:tcW w:w="3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20" w:type="dxa"/>
            <w:vAlign w:val="bottom"/>
            <w:gridSpan w:val="2"/>
          </w:tcPr>
          <w:p>
            <w:pPr>
              <w:jc w:val="center"/>
              <w:ind w:right="4173"/>
              <w:spacing w:after="0"/>
              <w:rPr>
                <w:sz w:val="20"/>
                <w:szCs w:val="20"/>
                <w:color w:val="auto"/>
              </w:rPr>
            </w:pPr>
            <w:r>
              <w:rPr>
                <w:rFonts w:ascii="Arial" w:cs="Arial" w:eastAsia="Arial" w:hAnsi="Arial"/>
                <w:sz w:val="13"/>
                <w:szCs w:val="13"/>
                <w:color w:val="auto"/>
                <w:w w:val="94"/>
              </w:rPr>
              <w:t>(Exact name of obligor as specified in its charter)</w:t>
            </w:r>
          </w:p>
        </w:tc>
      </w:tr>
      <w:tr>
        <w:trPr>
          <w:trHeight w:val="312"/>
        </w:trPr>
        <w:tc>
          <w:tcPr>
            <w:tcW w:w="3800" w:type="dxa"/>
            <w:vAlign w:val="bottom"/>
          </w:tcPr>
          <w:p>
            <w:pPr>
              <w:jc w:val="center"/>
              <w:ind w:left="1593"/>
              <w:spacing w:after="0"/>
              <w:rPr>
                <w:sz w:val="20"/>
                <w:szCs w:val="20"/>
                <w:color w:val="auto"/>
              </w:rPr>
            </w:pPr>
            <w:r>
              <w:rPr>
                <w:rFonts w:ascii="Arial" w:cs="Arial" w:eastAsia="Arial" w:hAnsi="Arial"/>
                <w:sz w:val="13"/>
                <w:szCs w:val="13"/>
                <w:b w:val="1"/>
                <w:bCs w:val="1"/>
                <w:color w:val="auto"/>
                <w:w w:val="94"/>
              </w:rPr>
              <w:t>Delaware</w:t>
            </w:r>
          </w:p>
        </w:tc>
        <w:tc>
          <w:tcPr>
            <w:tcW w:w="7660" w:type="dxa"/>
            <w:vAlign w:val="bottom"/>
            <w:gridSpan w:val="3"/>
          </w:tcPr>
          <w:p>
            <w:pPr>
              <w:jc w:val="center"/>
              <w:ind w:left="2153"/>
              <w:spacing w:after="0"/>
              <w:rPr>
                <w:sz w:val="20"/>
                <w:szCs w:val="20"/>
                <w:color w:val="auto"/>
              </w:rPr>
            </w:pPr>
            <w:r>
              <w:rPr>
                <w:rFonts w:ascii="Arial" w:cs="Arial" w:eastAsia="Arial" w:hAnsi="Arial"/>
                <w:sz w:val="13"/>
                <w:szCs w:val="13"/>
                <w:b w:val="1"/>
                <w:bCs w:val="1"/>
                <w:color w:val="auto"/>
                <w:w w:val="92"/>
              </w:rPr>
              <w:t>73-1309529</w:t>
            </w:r>
          </w:p>
        </w:tc>
      </w:tr>
      <w:tr>
        <w:trPr>
          <w:trHeight w:val="161"/>
        </w:trPr>
        <w:tc>
          <w:tcPr>
            <w:tcW w:w="3800" w:type="dxa"/>
            <w:vAlign w:val="bottom"/>
          </w:tcPr>
          <w:p>
            <w:pPr>
              <w:jc w:val="center"/>
              <w:ind w:left="1533"/>
              <w:spacing w:after="0"/>
              <w:rPr>
                <w:sz w:val="20"/>
                <w:szCs w:val="20"/>
                <w:color w:val="auto"/>
              </w:rPr>
            </w:pPr>
            <w:r>
              <w:rPr>
                <w:rFonts w:ascii="Arial" w:cs="Arial" w:eastAsia="Arial" w:hAnsi="Arial"/>
                <w:sz w:val="13"/>
                <w:szCs w:val="13"/>
                <w:color w:val="auto"/>
                <w:w w:val="95"/>
              </w:rPr>
              <w:t>(State or other jurisdiction of</w:t>
            </w:r>
          </w:p>
        </w:tc>
        <w:tc>
          <w:tcPr>
            <w:tcW w:w="4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4240" w:type="dxa"/>
            <w:vAlign w:val="bottom"/>
          </w:tcPr>
          <w:p>
            <w:pPr>
              <w:jc w:val="center"/>
              <w:ind w:right="1153"/>
              <w:spacing w:after="0"/>
              <w:rPr>
                <w:sz w:val="20"/>
                <w:szCs w:val="20"/>
                <w:color w:val="auto"/>
              </w:rPr>
            </w:pPr>
            <w:r>
              <w:rPr>
                <w:rFonts w:ascii="Arial" w:cs="Arial" w:eastAsia="Arial" w:hAnsi="Arial"/>
                <w:sz w:val="13"/>
                <w:szCs w:val="13"/>
                <w:color w:val="auto"/>
                <w:w w:val="95"/>
              </w:rPr>
              <w:t>(I.R.S. employer</w:t>
            </w:r>
          </w:p>
        </w:tc>
      </w:tr>
      <w:tr>
        <w:trPr>
          <w:trHeight w:val="172"/>
        </w:trPr>
        <w:tc>
          <w:tcPr>
            <w:tcW w:w="3800" w:type="dxa"/>
            <w:vAlign w:val="bottom"/>
          </w:tcPr>
          <w:p>
            <w:pPr>
              <w:jc w:val="center"/>
              <w:ind w:left="1573"/>
              <w:spacing w:after="0"/>
              <w:rPr>
                <w:sz w:val="20"/>
                <w:szCs w:val="20"/>
                <w:color w:val="auto"/>
              </w:rPr>
            </w:pPr>
            <w:r>
              <w:rPr>
                <w:rFonts w:ascii="Arial" w:cs="Arial" w:eastAsia="Arial" w:hAnsi="Arial"/>
                <w:sz w:val="13"/>
                <w:szCs w:val="13"/>
                <w:color w:val="auto"/>
                <w:w w:val="94"/>
              </w:rPr>
              <w:t>incorporation or organization)</w:t>
            </w:r>
          </w:p>
        </w:tc>
        <w:tc>
          <w:tcPr>
            <w:tcW w:w="4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4240" w:type="dxa"/>
            <w:vAlign w:val="bottom"/>
          </w:tcPr>
          <w:p>
            <w:pPr>
              <w:jc w:val="center"/>
              <w:ind w:right="1133"/>
              <w:spacing w:after="0"/>
              <w:rPr>
                <w:sz w:val="20"/>
                <w:szCs w:val="20"/>
                <w:color w:val="auto"/>
              </w:rPr>
            </w:pPr>
            <w:r>
              <w:rPr>
                <w:rFonts w:ascii="Arial" w:cs="Arial" w:eastAsia="Arial" w:hAnsi="Arial"/>
                <w:sz w:val="13"/>
                <w:szCs w:val="13"/>
                <w:color w:val="auto"/>
                <w:w w:val="97"/>
              </w:rPr>
              <w:t>identification no.)</w:t>
            </w:r>
          </w:p>
        </w:tc>
      </w:tr>
      <w:tr>
        <w:trPr>
          <w:trHeight w:val="310"/>
        </w:trPr>
        <w:tc>
          <w:tcPr>
            <w:tcW w:w="3800" w:type="dxa"/>
            <w:vAlign w:val="bottom"/>
          </w:tcPr>
          <w:p>
            <w:pPr>
              <w:jc w:val="center"/>
              <w:ind w:left="1573"/>
              <w:spacing w:after="0"/>
              <w:rPr>
                <w:sz w:val="20"/>
                <w:szCs w:val="20"/>
                <w:color w:val="auto"/>
              </w:rPr>
            </w:pPr>
            <w:r>
              <w:rPr>
                <w:rFonts w:ascii="Arial" w:cs="Arial" w:eastAsia="Arial" w:hAnsi="Arial"/>
                <w:sz w:val="13"/>
                <w:szCs w:val="13"/>
                <w:b w:val="1"/>
                <w:bCs w:val="1"/>
                <w:color w:val="auto"/>
                <w:w w:val="94"/>
              </w:rPr>
              <w:t>1001 Fannin Street, Suite 4000</w:t>
            </w:r>
          </w:p>
        </w:tc>
        <w:tc>
          <w:tcPr>
            <w:tcW w:w="7660" w:type="dxa"/>
            <w:vAlign w:val="bottom"/>
            <w:gridSpan w:val="3"/>
          </w:tcPr>
          <w:p>
            <w:pPr>
              <w:jc w:val="center"/>
              <w:ind w:left="2133"/>
              <w:spacing w:after="0"/>
              <w:rPr>
                <w:sz w:val="20"/>
                <w:szCs w:val="20"/>
                <w:color w:val="auto"/>
              </w:rPr>
            </w:pPr>
            <w:r>
              <w:rPr>
                <w:rFonts w:ascii="Arial" w:cs="Arial" w:eastAsia="Arial" w:hAnsi="Arial"/>
                <w:sz w:val="13"/>
                <w:szCs w:val="13"/>
                <w:b w:val="1"/>
                <w:bCs w:val="1"/>
                <w:color w:val="auto"/>
                <w:w w:val="93"/>
              </w:rPr>
              <w:t>77002</w:t>
            </w:r>
          </w:p>
        </w:tc>
      </w:tr>
      <w:tr>
        <w:trPr>
          <w:trHeight w:val="163"/>
        </w:trPr>
        <w:tc>
          <w:tcPr>
            <w:tcW w:w="3800" w:type="dxa"/>
            <w:vAlign w:val="bottom"/>
          </w:tcPr>
          <w:p>
            <w:pPr>
              <w:jc w:val="center"/>
              <w:ind w:left="1573"/>
              <w:spacing w:after="0"/>
              <w:rPr>
                <w:sz w:val="20"/>
                <w:szCs w:val="20"/>
                <w:color w:val="auto"/>
              </w:rPr>
            </w:pPr>
            <w:r>
              <w:rPr>
                <w:rFonts w:ascii="Arial" w:cs="Arial" w:eastAsia="Arial" w:hAnsi="Arial"/>
                <w:sz w:val="13"/>
                <w:szCs w:val="13"/>
                <w:b w:val="1"/>
                <w:bCs w:val="1"/>
                <w:color w:val="auto"/>
                <w:w w:val="90"/>
              </w:rPr>
              <w:t>Houston, Texas</w:t>
            </w:r>
          </w:p>
        </w:tc>
        <w:tc>
          <w:tcPr>
            <w:tcW w:w="4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4240" w:type="dxa"/>
            <w:vAlign w:val="bottom"/>
          </w:tcPr>
          <w:p>
            <w:pPr>
              <w:jc w:val="center"/>
              <w:ind w:right="1133"/>
              <w:spacing w:after="0"/>
              <w:rPr>
                <w:sz w:val="20"/>
                <w:szCs w:val="20"/>
                <w:color w:val="auto"/>
              </w:rPr>
            </w:pPr>
            <w:r>
              <w:rPr>
                <w:rFonts w:ascii="Arial" w:cs="Arial" w:eastAsia="Arial" w:hAnsi="Arial"/>
                <w:sz w:val="13"/>
                <w:szCs w:val="13"/>
                <w:color w:val="auto"/>
                <w:w w:val="97"/>
              </w:rPr>
              <w:t>(Zip Code)</w:t>
            </w:r>
          </w:p>
        </w:tc>
      </w:tr>
      <w:tr>
        <w:trPr>
          <w:trHeight w:val="172"/>
        </w:trPr>
        <w:tc>
          <w:tcPr>
            <w:tcW w:w="3800" w:type="dxa"/>
            <w:vAlign w:val="bottom"/>
          </w:tcPr>
          <w:p>
            <w:pPr>
              <w:jc w:val="center"/>
              <w:ind w:left="1573"/>
              <w:spacing w:after="0"/>
              <w:rPr>
                <w:sz w:val="20"/>
                <w:szCs w:val="20"/>
                <w:color w:val="auto"/>
              </w:rPr>
            </w:pPr>
            <w:r>
              <w:rPr>
                <w:rFonts w:ascii="Arial" w:cs="Arial" w:eastAsia="Arial" w:hAnsi="Arial"/>
                <w:sz w:val="13"/>
                <w:szCs w:val="13"/>
                <w:color w:val="auto"/>
                <w:w w:val="95"/>
              </w:rPr>
              <w:t>(Address of principal executive offices)</w:t>
            </w:r>
          </w:p>
        </w:tc>
        <w:tc>
          <w:tcPr>
            <w:tcW w:w="4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4240" w:type="dxa"/>
            <w:vAlign w:val="bottom"/>
          </w:tcPr>
          <w:p>
            <w:pPr>
              <w:spacing w:after="0"/>
              <w:rPr>
                <w:sz w:val="14"/>
                <w:szCs w:val="14"/>
                <w:color w:val="auto"/>
              </w:rPr>
            </w:pPr>
          </w:p>
        </w:tc>
      </w:tr>
      <w:tr>
        <w:trPr>
          <w:trHeight w:val="212"/>
        </w:trPr>
        <w:tc>
          <w:tcPr>
            <w:tcW w:w="3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980" w:type="dxa"/>
            <w:vAlign w:val="bottom"/>
            <w:tcBorders>
              <w:bottom w:val="single" w:sz="8" w:color="auto"/>
            </w:tcBorders>
          </w:tcPr>
          <w:p>
            <w:pPr>
              <w:spacing w:after="0"/>
              <w:rPr>
                <w:sz w:val="18"/>
                <w:szCs w:val="18"/>
                <w:color w:val="auto"/>
              </w:rPr>
            </w:pPr>
          </w:p>
        </w:tc>
        <w:tc>
          <w:tcPr>
            <w:tcW w:w="4240" w:type="dxa"/>
            <w:vAlign w:val="bottom"/>
          </w:tcPr>
          <w:p>
            <w:pPr>
              <w:spacing w:after="0"/>
              <w:rPr>
                <w:sz w:val="18"/>
                <w:szCs w:val="18"/>
                <w:color w:val="auto"/>
              </w:rPr>
            </w:pPr>
          </w:p>
        </w:tc>
      </w:tr>
      <w:tr>
        <w:trPr>
          <w:trHeight w:val="201"/>
        </w:trPr>
        <w:tc>
          <w:tcPr>
            <w:tcW w:w="3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20" w:type="dxa"/>
            <w:vAlign w:val="bottom"/>
            <w:gridSpan w:val="2"/>
          </w:tcPr>
          <w:p>
            <w:pPr>
              <w:jc w:val="center"/>
              <w:ind w:right="4153"/>
              <w:spacing w:after="0"/>
              <w:rPr>
                <w:sz w:val="20"/>
                <w:szCs w:val="20"/>
                <w:color w:val="auto"/>
              </w:rPr>
            </w:pPr>
            <w:r>
              <w:rPr>
                <w:rFonts w:ascii="Arial" w:cs="Arial" w:eastAsia="Arial" w:hAnsi="Arial"/>
                <w:sz w:val="13"/>
                <w:szCs w:val="13"/>
                <w:b w:val="1"/>
                <w:bCs w:val="1"/>
                <w:color w:val="auto"/>
                <w:w w:val="92"/>
              </w:rPr>
              <w:t>Senior Debt Securities</w:t>
            </w:r>
          </w:p>
        </w:tc>
      </w:tr>
      <w:tr>
        <w:trPr>
          <w:trHeight w:val="252"/>
        </w:trPr>
        <w:tc>
          <w:tcPr>
            <w:tcW w:w="38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2980" w:type="dxa"/>
            <w:vAlign w:val="bottom"/>
            <w:tcBorders>
              <w:bottom w:val="single" w:sz="8" w:color="auto"/>
            </w:tcBorders>
          </w:tcPr>
          <w:p>
            <w:pPr>
              <w:spacing w:after="0"/>
              <w:rPr>
                <w:sz w:val="21"/>
                <w:szCs w:val="21"/>
                <w:color w:val="auto"/>
              </w:rPr>
            </w:pPr>
          </w:p>
        </w:tc>
        <w:tc>
          <w:tcPr>
            <w:tcW w:w="4240" w:type="dxa"/>
            <w:vAlign w:val="bottom"/>
            <w:tcBorders>
              <w:bottom w:val="single" w:sz="8" w:color="auto"/>
            </w:tcBorders>
          </w:tcPr>
          <w:p>
            <w:pPr>
              <w:spacing w:after="0"/>
              <w:rPr>
                <w:sz w:val="21"/>
                <w:szCs w:val="21"/>
                <w:color w:val="auto"/>
              </w:rPr>
            </w:pPr>
          </w:p>
        </w:tc>
      </w:tr>
      <w:tr>
        <w:trPr>
          <w:trHeight w:val="20"/>
        </w:trPr>
        <w:tc>
          <w:tcPr>
            <w:tcW w:w="3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c>
          <w:tcPr>
            <w:tcW w:w="4240" w:type="dxa"/>
            <w:vAlign w:val="bottom"/>
            <w:tcBorders>
              <w:bottom w:val="single" w:sz="8" w:color="auto"/>
            </w:tcBorders>
          </w:tcPr>
          <w:p>
            <w:pPr>
              <w:spacing w:after="0" w:line="20" w:lineRule="exact"/>
              <w:rPr>
                <w:sz w:val="1"/>
                <w:szCs w:val="1"/>
                <w:color w:val="auto"/>
              </w:rPr>
            </w:pPr>
          </w:p>
        </w:tc>
      </w:tr>
      <w:tr>
        <w:trPr>
          <w:trHeight w:val="439"/>
        </w:trPr>
        <w:tc>
          <w:tcPr>
            <w:tcW w:w="380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2980" w:type="dxa"/>
            <w:vAlign w:val="bottom"/>
            <w:tcBorders>
              <w:bottom w:val="single" w:sz="8" w:color="808080"/>
            </w:tcBorders>
          </w:tcPr>
          <w:p>
            <w:pPr>
              <w:spacing w:after="0"/>
              <w:rPr>
                <w:sz w:val="24"/>
                <w:szCs w:val="24"/>
                <w:color w:val="auto"/>
              </w:rPr>
            </w:pPr>
          </w:p>
        </w:tc>
        <w:tc>
          <w:tcPr>
            <w:tcW w:w="42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sectPr>
      </w:pPr>
    </w:p>
    <w:bookmarkStart w:id="54" w:name="page55"/>
    <w:bookmarkEnd w:id="54"/>
    <w:p>
      <w:pPr>
        <w:ind w:left="460" w:hanging="459"/>
        <w:spacing w:after="0"/>
        <w:tabs>
          <w:tab w:leader="none" w:pos="460" w:val="left"/>
        </w:tabs>
        <w:numPr>
          <w:ilvl w:val="0"/>
          <w:numId w:val="47"/>
        </w:numPr>
        <w:rPr>
          <w:rFonts w:ascii="Arial" w:cs="Arial" w:eastAsia="Arial" w:hAnsi="Arial"/>
          <w:sz w:val="13"/>
          <w:szCs w:val="13"/>
          <w:b w:val="1"/>
          <w:bCs w:val="1"/>
          <w:color w:val="auto"/>
        </w:rPr>
      </w:pPr>
      <w:r>
        <w:rPr>
          <w:rFonts w:ascii="Arial" w:cs="Arial" w:eastAsia="Arial" w:hAnsi="Arial"/>
          <w:sz w:val="13"/>
          <w:szCs w:val="13"/>
          <w:b w:val="1"/>
          <w:bCs w:val="1"/>
          <w:color w:val="auto"/>
        </w:rPr>
        <w:t>General information. Furnish the following information as to the trustee:</w:t>
      </w:r>
    </w:p>
    <w:p>
      <w:pPr>
        <w:spacing w:after="0" w:line="92" w:lineRule="exact"/>
        <w:rPr>
          <w:rFonts w:ascii="Arial" w:cs="Arial" w:eastAsia="Arial" w:hAnsi="Arial"/>
          <w:sz w:val="13"/>
          <w:szCs w:val="13"/>
          <w:b w:val="1"/>
          <w:bCs w:val="1"/>
          <w:color w:val="auto"/>
        </w:rPr>
      </w:pPr>
    </w:p>
    <w:p>
      <w:pPr>
        <w:ind w:left="900" w:hanging="446"/>
        <w:spacing w:after="0"/>
        <w:tabs>
          <w:tab w:leader="none" w:pos="900" w:val="left"/>
        </w:tabs>
        <w:numPr>
          <w:ilvl w:val="1"/>
          <w:numId w:val="47"/>
        </w:numPr>
        <w:rPr>
          <w:rFonts w:ascii="Arial" w:cs="Arial" w:eastAsia="Arial" w:hAnsi="Arial"/>
          <w:sz w:val="13"/>
          <w:szCs w:val="13"/>
          <w:b w:val="1"/>
          <w:bCs w:val="1"/>
          <w:color w:val="auto"/>
        </w:rPr>
      </w:pPr>
      <w:r>
        <w:rPr>
          <w:rFonts w:ascii="Arial" w:cs="Arial" w:eastAsia="Arial" w:hAnsi="Arial"/>
          <w:sz w:val="13"/>
          <w:szCs w:val="13"/>
          <w:b w:val="1"/>
          <w:bCs w:val="1"/>
          <w:color w:val="auto"/>
        </w:rPr>
        <w:t>Name and address of each examining or supervising authority to which it is subject.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5720" w:type="dxa"/>
            <w:vAlign w:val="bottom"/>
            <w:tcBorders>
              <w:bottom w:val="single" w:sz="8" w:color="auto"/>
            </w:tcBorders>
          </w:tcPr>
          <w:p>
            <w:pPr>
              <w:ind w:left="2720"/>
              <w:spacing w:after="0"/>
              <w:rPr>
                <w:sz w:val="20"/>
                <w:szCs w:val="20"/>
                <w:color w:val="auto"/>
              </w:rPr>
            </w:pPr>
            <w:r>
              <w:rPr>
                <w:rFonts w:ascii="Arial" w:cs="Arial" w:eastAsia="Arial" w:hAnsi="Arial"/>
                <w:sz w:val="11"/>
                <w:szCs w:val="11"/>
                <w:color w:val="auto"/>
              </w:rPr>
              <w:t>Name</w:t>
            </w:r>
          </w:p>
        </w:tc>
        <w:tc>
          <w:tcPr>
            <w:tcW w:w="680" w:type="dxa"/>
            <w:vAlign w:val="bottom"/>
          </w:tcPr>
          <w:p>
            <w:pPr>
              <w:spacing w:after="0"/>
              <w:rPr>
                <w:sz w:val="10"/>
                <w:szCs w:val="10"/>
                <w:color w:val="auto"/>
              </w:rPr>
            </w:pPr>
          </w:p>
        </w:tc>
        <w:tc>
          <w:tcPr>
            <w:tcW w:w="5040" w:type="dxa"/>
            <w:vAlign w:val="bottom"/>
            <w:tcBorders>
              <w:bottom w:val="single" w:sz="8" w:color="auto"/>
            </w:tcBorders>
          </w:tcPr>
          <w:p>
            <w:pPr>
              <w:ind w:left="2360"/>
              <w:spacing w:after="0"/>
              <w:rPr>
                <w:sz w:val="20"/>
                <w:szCs w:val="20"/>
                <w:color w:val="auto"/>
              </w:rPr>
            </w:pPr>
            <w:r>
              <w:rPr>
                <w:rFonts w:ascii="Arial" w:cs="Arial" w:eastAsia="Arial" w:hAnsi="Arial"/>
                <w:sz w:val="11"/>
                <w:szCs w:val="11"/>
                <w:color w:val="auto"/>
              </w:rPr>
              <w:t>Address</w:t>
            </w:r>
          </w:p>
        </w:tc>
      </w:tr>
      <w:tr>
        <w:trPr>
          <w:trHeight w:val="162"/>
        </w:trPr>
        <w:tc>
          <w:tcPr>
            <w:tcW w:w="20" w:type="dxa"/>
            <w:vAlign w:val="bottom"/>
          </w:tcPr>
          <w:p>
            <w:pPr>
              <w:spacing w:after="0"/>
              <w:rPr>
                <w:sz w:val="14"/>
                <w:szCs w:val="14"/>
                <w:color w:val="auto"/>
              </w:rPr>
            </w:pPr>
          </w:p>
        </w:tc>
        <w:tc>
          <w:tcPr>
            <w:tcW w:w="5720" w:type="dxa"/>
            <w:vAlign w:val="bottom"/>
          </w:tcPr>
          <w:p>
            <w:pPr>
              <w:spacing w:after="0"/>
              <w:rPr>
                <w:sz w:val="20"/>
                <w:szCs w:val="20"/>
                <w:color w:val="auto"/>
              </w:rPr>
            </w:pPr>
            <w:r>
              <w:rPr>
                <w:rFonts w:ascii="Arial" w:cs="Arial" w:eastAsia="Arial" w:hAnsi="Arial"/>
                <w:sz w:val="13"/>
                <w:szCs w:val="13"/>
                <w:color w:val="auto"/>
              </w:rPr>
              <w:t>Comptroller of the Currency United States Department of the Treasury</w:t>
            </w:r>
          </w:p>
        </w:tc>
        <w:tc>
          <w:tcPr>
            <w:tcW w:w="680" w:type="dxa"/>
            <w:vAlign w:val="bottom"/>
          </w:tcPr>
          <w:p>
            <w:pPr>
              <w:spacing w:after="0"/>
              <w:rPr>
                <w:sz w:val="14"/>
                <w:szCs w:val="14"/>
                <w:color w:val="auto"/>
              </w:rPr>
            </w:pPr>
          </w:p>
        </w:tc>
        <w:tc>
          <w:tcPr>
            <w:tcW w:w="5040" w:type="dxa"/>
            <w:vAlign w:val="bottom"/>
          </w:tcPr>
          <w:p>
            <w:pPr>
              <w:spacing w:after="0"/>
              <w:rPr>
                <w:sz w:val="20"/>
                <w:szCs w:val="20"/>
                <w:color w:val="auto"/>
              </w:rPr>
            </w:pPr>
            <w:r>
              <w:rPr>
                <w:rFonts w:ascii="Arial" w:cs="Arial" w:eastAsia="Arial" w:hAnsi="Arial"/>
                <w:sz w:val="13"/>
                <w:szCs w:val="13"/>
                <w:color w:val="auto"/>
              </w:rPr>
              <w:t>Washington, D.C. 20219</w:t>
            </w:r>
          </w:p>
        </w:tc>
      </w:tr>
      <w:tr>
        <w:trPr>
          <w:trHeight w:val="312"/>
        </w:trPr>
        <w:tc>
          <w:tcPr>
            <w:tcW w:w="5740" w:type="dxa"/>
            <w:vAlign w:val="bottom"/>
            <w:gridSpan w:val="2"/>
          </w:tcPr>
          <w:p>
            <w:pPr>
              <w:spacing w:after="0"/>
              <w:rPr>
                <w:sz w:val="20"/>
                <w:szCs w:val="20"/>
                <w:color w:val="auto"/>
              </w:rPr>
            </w:pPr>
            <w:r>
              <w:rPr>
                <w:rFonts w:ascii="Arial" w:cs="Arial" w:eastAsia="Arial" w:hAnsi="Arial"/>
                <w:sz w:val="13"/>
                <w:szCs w:val="13"/>
                <w:color w:val="auto"/>
              </w:rPr>
              <w:t>Federal Reserve Bank</w:t>
            </w:r>
          </w:p>
        </w:tc>
        <w:tc>
          <w:tcPr>
            <w:tcW w:w="5720" w:type="dxa"/>
            <w:vAlign w:val="bottom"/>
            <w:gridSpan w:val="2"/>
          </w:tcPr>
          <w:p>
            <w:pPr>
              <w:ind w:left="680"/>
              <w:spacing w:after="0"/>
              <w:rPr>
                <w:sz w:val="20"/>
                <w:szCs w:val="20"/>
                <w:color w:val="auto"/>
              </w:rPr>
            </w:pPr>
            <w:r>
              <w:rPr>
                <w:rFonts w:ascii="Arial" w:cs="Arial" w:eastAsia="Arial" w:hAnsi="Arial"/>
                <w:sz w:val="13"/>
                <w:szCs w:val="13"/>
                <w:color w:val="auto"/>
              </w:rPr>
              <w:t>San Francisco, California 94105</w:t>
            </w:r>
          </w:p>
        </w:tc>
      </w:tr>
      <w:tr>
        <w:trPr>
          <w:trHeight w:val="322"/>
        </w:trPr>
        <w:tc>
          <w:tcPr>
            <w:tcW w:w="5740" w:type="dxa"/>
            <w:vAlign w:val="bottom"/>
            <w:gridSpan w:val="2"/>
          </w:tcPr>
          <w:p>
            <w:pPr>
              <w:spacing w:after="0"/>
              <w:rPr>
                <w:sz w:val="20"/>
                <w:szCs w:val="20"/>
                <w:color w:val="auto"/>
              </w:rPr>
            </w:pPr>
            <w:r>
              <w:rPr>
                <w:rFonts w:ascii="Arial" w:cs="Arial" w:eastAsia="Arial" w:hAnsi="Arial"/>
                <w:sz w:val="13"/>
                <w:szCs w:val="13"/>
                <w:color w:val="auto"/>
              </w:rPr>
              <w:t>Federal Deposit Insurance Corporation</w:t>
            </w:r>
          </w:p>
        </w:tc>
        <w:tc>
          <w:tcPr>
            <w:tcW w:w="5720" w:type="dxa"/>
            <w:vAlign w:val="bottom"/>
            <w:gridSpan w:val="2"/>
          </w:tcPr>
          <w:p>
            <w:pPr>
              <w:ind w:left="680"/>
              <w:spacing w:after="0"/>
              <w:rPr>
                <w:sz w:val="20"/>
                <w:szCs w:val="20"/>
                <w:color w:val="auto"/>
              </w:rPr>
            </w:pPr>
            <w:r>
              <w:rPr>
                <w:rFonts w:ascii="Arial" w:cs="Arial" w:eastAsia="Arial" w:hAnsi="Arial"/>
                <w:sz w:val="13"/>
                <w:szCs w:val="13"/>
                <w:color w:val="auto"/>
              </w:rPr>
              <w:t>Washington, D.C. 20429</w:t>
            </w:r>
          </w:p>
        </w:tc>
      </w:tr>
    </w:tbl>
    <w:p>
      <w:pPr>
        <w:spacing w:after="0" w:line="68" w:lineRule="exact"/>
        <w:rPr>
          <w:sz w:val="20"/>
          <w:szCs w:val="20"/>
          <w:color w:val="auto"/>
        </w:rPr>
      </w:pPr>
    </w:p>
    <w:p>
      <w:pPr>
        <w:ind w:left="900" w:hanging="446"/>
        <w:spacing w:after="0"/>
        <w:tabs>
          <w:tab w:leader="none" w:pos="900" w:val="left"/>
        </w:tabs>
        <w:numPr>
          <w:ilvl w:val="0"/>
          <w:numId w:val="48"/>
        </w:numPr>
        <w:rPr>
          <w:rFonts w:ascii="Arial" w:cs="Arial" w:eastAsia="Arial" w:hAnsi="Arial"/>
          <w:sz w:val="13"/>
          <w:szCs w:val="13"/>
          <w:b w:val="1"/>
          <w:bCs w:val="1"/>
          <w:color w:val="auto"/>
        </w:rPr>
      </w:pPr>
      <w:r>
        <w:rPr>
          <w:rFonts w:ascii="Arial" w:cs="Arial" w:eastAsia="Arial" w:hAnsi="Arial"/>
          <w:sz w:val="13"/>
          <w:szCs w:val="13"/>
          <w:b w:val="1"/>
          <w:bCs w:val="1"/>
          <w:color w:val="auto"/>
        </w:rPr>
        <w:t>Whether it is authorized to exercise corporate trust powers.</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3"/>
          <w:szCs w:val="13"/>
          <w:color w:val="auto"/>
        </w:rPr>
        <w:t>Yes.</w:t>
      </w:r>
    </w:p>
    <w:p>
      <w:pPr>
        <w:spacing w:after="0" w:line="90" w:lineRule="exact"/>
        <w:rPr>
          <w:sz w:val="20"/>
          <w:szCs w:val="20"/>
          <w:color w:val="auto"/>
        </w:rPr>
      </w:pPr>
    </w:p>
    <w:p>
      <w:pPr>
        <w:ind w:left="460" w:hanging="459"/>
        <w:spacing w:after="0"/>
        <w:tabs>
          <w:tab w:leader="none" w:pos="460" w:val="left"/>
        </w:tabs>
        <w:numPr>
          <w:ilvl w:val="0"/>
          <w:numId w:val="49"/>
        </w:numPr>
        <w:rPr>
          <w:rFonts w:ascii="Arial" w:cs="Arial" w:eastAsia="Arial" w:hAnsi="Arial"/>
          <w:sz w:val="13"/>
          <w:szCs w:val="13"/>
          <w:b w:val="1"/>
          <w:bCs w:val="1"/>
          <w:color w:val="auto"/>
        </w:rPr>
      </w:pPr>
      <w:r>
        <w:rPr>
          <w:rFonts w:ascii="Arial" w:cs="Arial" w:eastAsia="Arial" w:hAnsi="Arial"/>
          <w:sz w:val="13"/>
          <w:szCs w:val="13"/>
          <w:b w:val="1"/>
          <w:bCs w:val="1"/>
          <w:color w:val="auto"/>
        </w:rPr>
        <w:t>Affiliations with Obligor.</w:t>
      </w:r>
    </w:p>
    <w:p>
      <w:pPr>
        <w:spacing w:after="0" w:line="102" w:lineRule="exact"/>
        <w:rPr>
          <w:rFonts w:ascii="Arial" w:cs="Arial" w:eastAsia="Arial" w:hAnsi="Arial"/>
          <w:sz w:val="13"/>
          <w:szCs w:val="13"/>
          <w:b w:val="1"/>
          <w:bCs w:val="1"/>
          <w:color w:val="auto"/>
        </w:rPr>
      </w:pPr>
    </w:p>
    <w:p>
      <w:pPr>
        <w:ind w:left="460"/>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If the obligor is an affiliate of the trustee, describe each such affiliation.</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3"/>
          <w:szCs w:val="13"/>
          <w:color w:val="auto"/>
        </w:rPr>
        <w:t>None.</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3"/>
          <w:szCs w:val="13"/>
          <w:b w:val="1"/>
          <w:bCs w:val="1"/>
          <w:color w:val="auto"/>
        </w:rPr>
        <w:t>3-15.</w:t>
      </w:r>
      <w:r>
        <w:rPr>
          <w:sz w:val="20"/>
          <w:szCs w:val="20"/>
          <w:color w:val="auto"/>
        </w:rPr>
        <w:tab/>
      </w:r>
      <w:r>
        <w:rPr>
          <w:rFonts w:ascii="Arial" w:cs="Arial" w:eastAsia="Arial" w:hAnsi="Arial"/>
          <w:sz w:val="12"/>
          <w:szCs w:val="12"/>
          <w:b w:val="1"/>
          <w:bCs w:val="1"/>
          <w:color w:val="auto"/>
        </w:rPr>
        <w:t>Not applicable.</w:t>
      </w:r>
    </w:p>
    <w:p>
      <w:pPr>
        <w:spacing w:after="0" w:line="102" w:lineRule="exact"/>
        <w:rPr>
          <w:sz w:val="20"/>
          <w:szCs w:val="20"/>
          <w:color w:val="auto"/>
        </w:rPr>
      </w:pPr>
    </w:p>
    <w:p>
      <w:pPr>
        <w:ind w:left="460" w:hanging="459"/>
        <w:spacing w:after="0"/>
        <w:tabs>
          <w:tab w:leader="none" w:pos="460" w:val="left"/>
        </w:tabs>
        <w:numPr>
          <w:ilvl w:val="0"/>
          <w:numId w:val="50"/>
        </w:numPr>
        <w:rPr>
          <w:rFonts w:ascii="Arial" w:cs="Arial" w:eastAsia="Arial" w:hAnsi="Arial"/>
          <w:sz w:val="13"/>
          <w:szCs w:val="13"/>
          <w:b w:val="1"/>
          <w:bCs w:val="1"/>
          <w:color w:val="auto"/>
        </w:rPr>
      </w:pPr>
      <w:r>
        <w:rPr>
          <w:rFonts w:ascii="Arial" w:cs="Arial" w:eastAsia="Arial" w:hAnsi="Arial"/>
          <w:sz w:val="13"/>
          <w:szCs w:val="13"/>
          <w:b w:val="1"/>
          <w:bCs w:val="1"/>
          <w:color w:val="auto"/>
        </w:rPr>
        <w:t>List of Exhibits.</w:t>
      </w:r>
    </w:p>
    <w:p>
      <w:pPr>
        <w:spacing w:after="0" w:line="102" w:lineRule="exact"/>
        <w:rPr>
          <w:rFonts w:ascii="Arial" w:cs="Arial" w:eastAsia="Arial" w:hAnsi="Arial"/>
          <w:sz w:val="13"/>
          <w:szCs w:val="13"/>
          <w:b w:val="1"/>
          <w:bCs w:val="1"/>
          <w:color w:val="auto"/>
        </w:rPr>
      </w:pPr>
    </w:p>
    <w:p>
      <w:pPr>
        <w:ind w:left="460" w:right="140"/>
        <w:spacing w:after="0" w:line="297" w:lineRule="auto"/>
        <w:rPr>
          <w:rFonts w:ascii="Arial" w:cs="Arial" w:eastAsia="Arial" w:hAnsi="Arial"/>
          <w:sz w:val="13"/>
          <w:szCs w:val="13"/>
          <w:b w:val="1"/>
          <w:bCs w:val="1"/>
          <w:color w:val="auto"/>
        </w:rPr>
      </w:pPr>
      <w:r>
        <w:rPr>
          <w:rFonts w:ascii="Arial" w:cs="Arial" w:eastAsia="Arial" w:hAnsi="Arial"/>
          <w:sz w:val="13"/>
          <w:szCs w:val="13"/>
          <w:b w:val="1"/>
          <w:bCs w:val="1"/>
          <w:color w:val="auto"/>
        </w:rPr>
        <w:t>Exhibits identified in parentheses below, on file with the Commission, are incorporated herein by reference as an exhibit hereto, pursuant to Rule 7a-29 under the Trust Indenture Act of 1939 (the “Act”) and 17 C.F.R. 229.10(d).</w:t>
      </w:r>
    </w:p>
    <w:p>
      <w:pPr>
        <w:spacing w:after="0" w:line="35" w:lineRule="exact"/>
        <w:rPr>
          <w:rFonts w:ascii="Arial" w:cs="Arial" w:eastAsia="Arial" w:hAnsi="Arial"/>
          <w:sz w:val="13"/>
          <w:szCs w:val="13"/>
          <w:b w:val="1"/>
          <w:bCs w:val="1"/>
          <w:color w:val="auto"/>
        </w:rPr>
      </w:pPr>
    </w:p>
    <w:p>
      <w:pPr>
        <w:ind w:left="900" w:right="160" w:hanging="446"/>
        <w:spacing w:after="0" w:line="294" w:lineRule="auto"/>
        <w:tabs>
          <w:tab w:leader="none" w:pos="900" w:val="left"/>
        </w:tabs>
        <w:numPr>
          <w:ilvl w:val="1"/>
          <w:numId w:val="50"/>
        </w:numPr>
        <w:rPr>
          <w:rFonts w:ascii="Arial" w:cs="Arial" w:eastAsia="Arial" w:hAnsi="Arial"/>
          <w:sz w:val="13"/>
          <w:szCs w:val="13"/>
          <w:color w:val="auto"/>
        </w:rPr>
      </w:pPr>
      <w:r>
        <w:rPr>
          <w:rFonts w:ascii="Arial" w:cs="Arial" w:eastAsia="Arial" w:hAnsi="Arial"/>
          <w:sz w:val="13"/>
          <w:szCs w:val="13"/>
          <w:color w:val="auto"/>
        </w:rPr>
        <w:t>A copy of the articles of association of The Bank of New York Mellon Trust Company, N.A. (Exhibit 1 to Form T-1 filed with Registration Statement No. 333-121948 and Exhibit 1 to Form T-1 filed with Registration Statement No. 333-152875).</w:t>
      </w:r>
    </w:p>
    <w:p>
      <w:pPr>
        <w:spacing w:after="0" w:line="46" w:lineRule="exact"/>
        <w:rPr>
          <w:rFonts w:ascii="Arial" w:cs="Arial" w:eastAsia="Arial" w:hAnsi="Arial"/>
          <w:sz w:val="13"/>
          <w:szCs w:val="13"/>
          <w:color w:val="auto"/>
        </w:rPr>
      </w:pPr>
    </w:p>
    <w:p>
      <w:pPr>
        <w:ind w:left="900" w:hanging="446"/>
        <w:spacing w:after="0"/>
        <w:tabs>
          <w:tab w:leader="none" w:pos="900" w:val="left"/>
        </w:tabs>
        <w:numPr>
          <w:ilvl w:val="1"/>
          <w:numId w:val="50"/>
        </w:numPr>
        <w:rPr>
          <w:rFonts w:ascii="Arial" w:cs="Arial" w:eastAsia="Arial" w:hAnsi="Arial"/>
          <w:sz w:val="13"/>
          <w:szCs w:val="13"/>
          <w:color w:val="auto"/>
        </w:rPr>
      </w:pPr>
      <w:r>
        <w:rPr>
          <w:rFonts w:ascii="Arial" w:cs="Arial" w:eastAsia="Arial" w:hAnsi="Arial"/>
          <w:sz w:val="13"/>
          <w:szCs w:val="13"/>
          <w:color w:val="auto"/>
        </w:rPr>
        <w:t>A copy of certificate of authority of the trustee to commence business. (Exhibit 2 to Form T-1 filed with Registration Statement No. 333-121948).</w:t>
      </w:r>
    </w:p>
    <w:p>
      <w:pPr>
        <w:spacing w:after="0" w:line="102" w:lineRule="exact"/>
        <w:rPr>
          <w:rFonts w:ascii="Arial" w:cs="Arial" w:eastAsia="Arial" w:hAnsi="Arial"/>
          <w:sz w:val="13"/>
          <w:szCs w:val="13"/>
          <w:color w:val="auto"/>
        </w:rPr>
      </w:pPr>
    </w:p>
    <w:p>
      <w:pPr>
        <w:ind w:left="900" w:hanging="446"/>
        <w:spacing w:after="0"/>
        <w:tabs>
          <w:tab w:leader="none" w:pos="900" w:val="left"/>
        </w:tabs>
        <w:numPr>
          <w:ilvl w:val="1"/>
          <w:numId w:val="50"/>
        </w:numPr>
        <w:rPr>
          <w:rFonts w:ascii="Arial" w:cs="Arial" w:eastAsia="Arial" w:hAnsi="Arial"/>
          <w:sz w:val="13"/>
          <w:szCs w:val="13"/>
          <w:color w:val="auto"/>
        </w:rPr>
      </w:pPr>
      <w:r>
        <w:rPr>
          <w:rFonts w:ascii="Arial" w:cs="Arial" w:eastAsia="Arial" w:hAnsi="Arial"/>
          <w:sz w:val="13"/>
          <w:szCs w:val="13"/>
          <w:color w:val="auto"/>
        </w:rPr>
        <w:t>A copy of the authorization of the trustee to exercise corporate trust powers. (Exhibit 3 to Form T-1 filed with Registration Statement No. 333-152875).</w:t>
      </w:r>
    </w:p>
    <w:p>
      <w:pPr>
        <w:spacing w:after="0" w:line="102" w:lineRule="exact"/>
        <w:rPr>
          <w:rFonts w:ascii="Arial" w:cs="Arial" w:eastAsia="Arial" w:hAnsi="Arial"/>
          <w:sz w:val="13"/>
          <w:szCs w:val="13"/>
          <w:color w:val="auto"/>
        </w:rPr>
      </w:pPr>
    </w:p>
    <w:p>
      <w:pPr>
        <w:ind w:left="900" w:hanging="446"/>
        <w:spacing w:after="0"/>
        <w:tabs>
          <w:tab w:leader="none" w:pos="900" w:val="left"/>
        </w:tabs>
        <w:numPr>
          <w:ilvl w:val="1"/>
          <w:numId w:val="50"/>
        </w:numPr>
        <w:rPr>
          <w:rFonts w:ascii="Arial" w:cs="Arial" w:eastAsia="Arial" w:hAnsi="Arial"/>
          <w:sz w:val="13"/>
          <w:szCs w:val="13"/>
          <w:color w:val="auto"/>
        </w:rPr>
      </w:pPr>
      <w:r>
        <w:rPr>
          <w:rFonts w:ascii="Arial" w:cs="Arial" w:eastAsia="Arial" w:hAnsi="Arial"/>
          <w:sz w:val="13"/>
          <w:szCs w:val="13"/>
          <w:color w:val="auto"/>
        </w:rPr>
        <w:t>A copy of the existing by-laws of the trustee. (Exhibit 4 to Form T-1 filed with Registration Statement No. 333-152875).</w:t>
      </w:r>
    </w:p>
    <w:p>
      <w:pPr>
        <w:spacing w:after="0" w:line="102" w:lineRule="exact"/>
        <w:rPr>
          <w:sz w:val="20"/>
          <w:szCs w:val="20"/>
          <w:color w:val="auto"/>
        </w:rPr>
      </w:pPr>
    </w:p>
    <w:p>
      <w:pPr>
        <w:ind w:left="900" w:hanging="446"/>
        <w:spacing w:after="0"/>
        <w:tabs>
          <w:tab w:leader="none" w:pos="900" w:val="left"/>
        </w:tabs>
        <w:numPr>
          <w:ilvl w:val="0"/>
          <w:numId w:val="51"/>
        </w:numPr>
        <w:rPr>
          <w:rFonts w:ascii="Arial" w:cs="Arial" w:eastAsia="Arial" w:hAnsi="Arial"/>
          <w:sz w:val="13"/>
          <w:szCs w:val="13"/>
          <w:color w:val="auto"/>
        </w:rPr>
      </w:pPr>
      <w:r>
        <w:rPr>
          <w:rFonts w:ascii="Arial" w:cs="Arial" w:eastAsia="Arial" w:hAnsi="Arial"/>
          <w:sz w:val="13"/>
          <w:szCs w:val="13"/>
          <w:color w:val="auto"/>
        </w:rPr>
        <w:t>The consent of the trustee required by Section 321(b) of the Act.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460"/>
          </w:cols>
          <w:pgMar w:left="220" w:top="731" w:right="219" w:bottom="1440" w:gutter="0" w:footer="0" w:header="0"/>
        </w:sectPr>
      </w:pPr>
    </w:p>
    <w:bookmarkStart w:id="55" w:name="page56"/>
    <w:bookmarkEnd w:id="55"/>
    <w:p>
      <w:pPr>
        <w:ind w:left="900" w:hanging="446"/>
        <w:spacing w:after="0"/>
        <w:tabs>
          <w:tab w:leader="none" w:pos="900" w:val="left"/>
        </w:tabs>
        <w:numPr>
          <w:ilvl w:val="0"/>
          <w:numId w:val="52"/>
        </w:numPr>
        <w:rPr>
          <w:rFonts w:ascii="Arial" w:cs="Arial" w:eastAsia="Arial" w:hAnsi="Arial"/>
          <w:sz w:val="13"/>
          <w:szCs w:val="13"/>
          <w:color w:val="auto"/>
        </w:rPr>
      </w:pPr>
      <w:r>
        <w:rPr>
          <w:rFonts w:ascii="Arial" w:cs="Arial" w:eastAsia="Arial" w:hAnsi="Arial"/>
          <w:sz w:val="13"/>
          <w:szCs w:val="13"/>
          <w:color w:val="auto"/>
        </w:rPr>
        <w:t>A copy of the latest report of condition of the trustee published pursuant to law or to the requirements of its supervising or examining authority.</w:t>
      </w:r>
    </w:p>
    <w:p>
      <w:pPr>
        <w:spacing w:after="0" w:line="254"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SIGNATURE</w:t>
      </w:r>
    </w:p>
    <w:p>
      <w:pPr>
        <w:spacing w:after="0" w:line="92" w:lineRule="exact"/>
        <w:rPr>
          <w:sz w:val="20"/>
          <w:szCs w:val="20"/>
          <w:color w:val="auto"/>
        </w:rPr>
      </w:pPr>
    </w:p>
    <w:p>
      <w:pPr>
        <w:ind w:firstLine="168"/>
        <w:spacing w:after="0" w:line="338" w:lineRule="auto"/>
        <w:rPr>
          <w:sz w:val="20"/>
          <w:szCs w:val="20"/>
          <w:color w:val="auto"/>
        </w:rPr>
      </w:pPr>
      <w:r>
        <w:rPr>
          <w:rFonts w:ascii="Arial" w:cs="Arial" w:eastAsia="Arial" w:hAnsi="Arial"/>
          <w:sz w:val="12"/>
          <w:szCs w:val="12"/>
          <w:color w:val="auto"/>
        </w:rPr>
        <w:t>Pursuant to the requirements of the Act, the trustee, The Bank of New York Mellon Trust Company, N.A., a banking association organized and existing under the laws of the United States of America, has duly caused this statement of eligibility to be signed on its behalf by the undersigned, thereunto duly authorized, all in The City of Houston, and State of Texas, on the 22nd day of September, 2009.</w:t>
      </w:r>
    </w:p>
    <w:p>
      <w:pPr>
        <w:spacing w:after="0" w:line="95" w:lineRule="exact"/>
        <w:rPr>
          <w:sz w:val="20"/>
          <w:szCs w:val="20"/>
          <w:color w:val="auto"/>
        </w:rPr>
      </w:pPr>
    </w:p>
    <w:p>
      <w:pPr>
        <w:ind w:left="5380"/>
        <w:spacing w:after="0"/>
        <w:rPr>
          <w:sz w:val="20"/>
          <w:szCs w:val="20"/>
          <w:color w:val="auto"/>
        </w:rPr>
      </w:pPr>
      <w:r>
        <w:rPr>
          <w:rFonts w:ascii="Arial" w:cs="Arial" w:eastAsia="Arial" w:hAnsi="Arial"/>
          <w:sz w:val="13"/>
          <w:szCs w:val="13"/>
          <w:color w:val="auto"/>
        </w:rPr>
        <w:t>THE BANK OF NEW YORK MELLON TRUST COMPANY, N.A.</w:t>
      </w:r>
    </w:p>
    <w:p>
      <w:pPr>
        <w:spacing w:after="0" w:line="173" w:lineRule="exact"/>
        <w:rPr>
          <w:sz w:val="20"/>
          <w:szCs w:val="20"/>
          <w:color w:val="auto"/>
        </w:rPr>
      </w:pPr>
    </w:p>
    <w:p>
      <w:pPr>
        <w:ind w:left="5380"/>
        <w:spacing w:after="0"/>
        <w:tabs>
          <w:tab w:leader="none" w:pos="5720" w:val="left"/>
        </w:tabs>
        <w:rPr>
          <w:sz w:val="20"/>
          <w:szCs w:val="20"/>
          <w:color w:val="auto"/>
        </w:rPr>
      </w:pPr>
      <w:r>
        <w:rPr>
          <w:rFonts w:ascii="Arial" w:cs="Arial" w:eastAsia="Arial" w:hAnsi="Arial"/>
          <w:sz w:val="13"/>
          <w:szCs w:val="13"/>
          <w:color w:val="auto"/>
        </w:rPr>
        <w:t>By:</w:t>
        <w:tab/>
        <w:t>/s/ Marcella Burgess</w:t>
      </w:r>
    </w:p>
    <w:p>
      <w:pPr>
        <w:spacing w:after="0" w:line="22" w:lineRule="exact"/>
        <w:rPr>
          <w:sz w:val="20"/>
          <w:szCs w:val="20"/>
          <w:color w:val="auto"/>
        </w:rPr>
      </w:pPr>
    </w:p>
    <w:p>
      <w:pPr>
        <w:ind w:left="5380"/>
        <w:spacing w:after="0"/>
        <w:rPr>
          <w:sz w:val="20"/>
          <w:szCs w:val="20"/>
          <w:color w:val="auto"/>
        </w:rPr>
      </w:pPr>
      <w:r>
        <w:rPr>
          <w:rFonts w:ascii="Arial" w:cs="Arial" w:eastAsia="Arial" w:hAnsi="Arial"/>
          <w:sz w:val="13"/>
          <w:szCs w:val="13"/>
          <w:color w:val="auto"/>
        </w:rPr>
        <w:t>Name:Marcella Burgess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-93980</wp:posOffset>
            </wp:positionV>
            <wp:extent cx="2572385" cy="63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572385" cy="6350"/>
                    </a:xfrm>
                    <a:prstGeom prst="rect">
                      <a:avLst/>
                    </a:prstGeom>
                    <a:noFill/>
                  </pic:spPr>
                </pic:pic>
              </a:graphicData>
            </a:graphic>
          </wp:anchor>
        </w:drawing>
      </w:r>
    </w:p>
    <w:p>
      <w:pPr>
        <w:spacing w:after="0" w:line="2" w:lineRule="exact"/>
        <w:rPr>
          <w:sz w:val="20"/>
          <w:szCs w:val="20"/>
          <w:color w:val="auto"/>
        </w:rPr>
      </w:pPr>
    </w:p>
    <w:p>
      <w:pPr>
        <w:jc w:val="center"/>
        <w:ind w:left="420"/>
        <w:spacing w:after="0"/>
        <w:rPr>
          <w:sz w:val="20"/>
          <w:szCs w:val="20"/>
          <w:color w:val="auto"/>
        </w:rPr>
      </w:pPr>
      <w:r>
        <w:rPr>
          <w:rFonts w:ascii="Arial" w:cs="Arial" w:eastAsia="Arial" w:hAnsi="Arial"/>
          <w:sz w:val="13"/>
          <w:szCs w:val="13"/>
          <w:color w:val="auto"/>
        </w:rPr>
        <w:t>Title: Vice President</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360"/>
          </w:cols>
          <w:pgMar w:left="220" w:top="733" w:right="319" w:bottom="1440" w:gutter="0" w:footer="0" w:header="0"/>
        </w:sectPr>
      </w:pPr>
    </w:p>
    <w:bookmarkStart w:id="56" w:name="page57"/>
    <w:bookmarkEnd w:id="56"/>
    <w:p>
      <w:pPr>
        <w:jc w:val="right"/>
        <w:spacing w:after="0"/>
        <w:rPr>
          <w:sz w:val="20"/>
          <w:szCs w:val="20"/>
          <w:color w:val="auto"/>
        </w:rPr>
      </w:pPr>
      <w:r>
        <w:rPr>
          <w:rFonts w:ascii="Arial" w:cs="Arial" w:eastAsia="Arial" w:hAnsi="Arial"/>
          <w:sz w:val="13"/>
          <w:szCs w:val="13"/>
          <w:b w:val="1"/>
          <w:bCs w:val="1"/>
          <w:color w:val="auto"/>
        </w:rPr>
        <w:t>EXHIBIT 6</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CONSENT OF THE TRUSTEE</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Pursuant to the requirements of Section 321 (b) of the Trust Indenture Act of 1939, and in connection with the proposed issue of </w:t>
      </w:r>
      <w:r>
        <w:rPr>
          <w:rFonts w:ascii="Arial" w:cs="Arial" w:eastAsia="Arial" w:hAnsi="Arial"/>
          <w:sz w:val="12"/>
          <w:szCs w:val="12"/>
          <w:b w:val="1"/>
          <w:bCs w:val="1"/>
          <w:color w:val="auto"/>
        </w:rPr>
        <w:t>Waste Management, Inc.,</w:t>
      </w:r>
      <w:r>
        <w:rPr>
          <w:rFonts w:ascii="Arial" w:cs="Arial" w:eastAsia="Arial" w:hAnsi="Arial"/>
          <w:sz w:val="12"/>
          <w:szCs w:val="12"/>
          <w:color w:val="auto"/>
        </w:rPr>
        <w:t xml:space="preserve"> The Bank of New York Mellon Trust Company, N.A.</w:t>
      </w:r>
    </w:p>
    <w:p>
      <w:pPr>
        <w:spacing w:after="0" w:line="36" w:lineRule="exact"/>
        <w:rPr>
          <w:sz w:val="20"/>
          <w:szCs w:val="20"/>
          <w:color w:val="auto"/>
        </w:rPr>
      </w:pPr>
    </w:p>
    <w:p>
      <w:pPr>
        <w:spacing w:after="0"/>
        <w:rPr>
          <w:sz w:val="20"/>
          <w:szCs w:val="20"/>
          <w:color w:val="auto"/>
        </w:rPr>
      </w:pPr>
      <w:r>
        <w:rPr>
          <w:rFonts w:ascii="Arial" w:cs="Arial" w:eastAsia="Arial" w:hAnsi="Arial"/>
          <w:sz w:val="12"/>
          <w:szCs w:val="12"/>
          <w:color w:val="auto"/>
        </w:rPr>
        <w:t>hereby consents that reports of examinations by Federal, State, Territorial or District authorities may be furnished by such authorities to the Securities and Exchange Commission upon request therefore.</w:t>
      </w:r>
    </w:p>
    <w:p>
      <w:pPr>
        <w:spacing w:after="0" w:line="174"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THE BANK OF NEW YORK MELLON TRUST COMPANY, N.A.</w:t>
      </w:r>
    </w:p>
    <w:p>
      <w:pPr>
        <w:spacing w:after="0" w:line="173"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By: /s/ Marcella Burgess</w:t>
      </w:r>
    </w:p>
    <w:p>
      <w:pPr>
        <w:spacing w:after="0" w:line="22"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Marcella Burgess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-93980</wp:posOffset>
            </wp:positionV>
            <wp:extent cx="2591435" cy="63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591435" cy="6350"/>
                    </a:xfrm>
                    <a:prstGeom prst="rect">
                      <a:avLst/>
                    </a:prstGeom>
                    <a:noFill/>
                  </pic:spPr>
                </pic:pic>
              </a:graphicData>
            </a:graphic>
          </wp:anchor>
        </w:drawing>
      </w:r>
    </w:p>
    <w:p>
      <w:pPr>
        <w:spacing w:after="0" w:line="2" w:lineRule="exact"/>
        <w:rPr>
          <w:sz w:val="20"/>
          <w:szCs w:val="20"/>
          <w:color w:val="auto"/>
        </w:rPr>
      </w:pPr>
    </w:p>
    <w:p>
      <w:pPr>
        <w:jc w:val="center"/>
        <w:ind w:right="-179"/>
        <w:spacing w:after="0"/>
        <w:rPr>
          <w:sz w:val="20"/>
          <w:szCs w:val="20"/>
          <w:color w:val="auto"/>
        </w:rPr>
      </w:pPr>
      <w:r>
        <w:rPr>
          <w:rFonts w:ascii="Arial" w:cs="Arial" w:eastAsia="Arial" w:hAnsi="Arial"/>
          <w:sz w:val="13"/>
          <w:szCs w:val="13"/>
          <w:color w:val="auto"/>
        </w:rPr>
        <w:t>Vice President</w:t>
      </w:r>
    </w:p>
    <w:p>
      <w:pPr>
        <w:spacing w:after="0" w:line="243" w:lineRule="exact"/>
        <w:rPr>
          <w:sz w:val="20"/>
          <w:szCs w:val="20"/>
          <w:color w:val="auto"/>
        </w:rPr>
      </w:pPr>
    </w:p>
    <w:p>
      <w:pPr>
        <w:spacing w:after="0"/>
        <w:rPr>
          <w:sz w:val="20"/>
          <w:szCs w:val="20"/>
          <w:color w:val="auto"/>
        </w:rPr>
      </w:pPr>
      <w:r>
        <w:rPr>
          <w:rFonts w:ascii="Arial" w:cs="Arial" w:eastAsia="Arial" w:hAnsi="Arial"/>
          <w:sz w:val="13"/>
          <w:szCs w:val="13"/>
          <w:color w:val="auto"/>
        </w:rPr>
        <w:t>Houston, Texas</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September 22, 2009</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460"/>
          </w:cols>
          <w:pgMar w:left="220" w:top="731" w:right="219" w:bottom="1440" w:gutter="0" w:footer="0" w:header="0"/>
        </w:sectPr>
      </w:pPr>
    </w:p>
    <w:bookmarkStart w:id="57" w:name="page58"/>
    <w:bookmarkEnd w:id="57"/>
    <w:p>
      <w:pPr>
        <w:spacing w:after="0"/>
        <w:rPr>
          <w:sz w:val="20"/>
          <w:szCs w:val="20"/>
          <w:color w:val="auto"/>
        </w:rPr>
      </w:pPr>
      <w:r>
        <w:rPr>
          <w:rFonts w:ascii="Arial" w:cs="Arial" w:eastAsia="Arial" w:hAnsi="Arial"/>
          <w:sz w:val="13"/>
          <w:szCs w:val="13"/>
          <w:b w:val="1"/>
          <w:bCs w:val="1"/>
          <w:i w:val="1"/>
          <w:iCs w:val="1"/>
          <w:color w:val="auto"/>
        </w:rPr>
        <w:t>REPORT OF CONDITION (Continued)</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LIABILITIES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7080" w:type="dxa"/>
            <w:vAlign w:val="bottom"/>
            <w:tcBorders>
              <w:bottom w:val="single" w:sz="8" w:color="auto"/>
            </w:tcBorders>
          </w:tcPr>
          <w:p>
            <w:pPr>
              <w:spacing w:after="0"/>
              <w:rPr>
                <w:sz w:val="10"/>
                <w:szCs w:val="10"/>
                <w:color w:val="auto"/>
              </w:rPr>
            </w:pPr>
          </w:p>
        </w:tc>
        <w:tc>
          <w:tcPr>
            <w:tcW w:w="4360" w:type="dxa"/>
            <w:vAlign w:val="bottom"/>
            <w:tcBorders>
              <w:bottom w:val="single" w:sz="8" w:color="auto"/>
            </w:tcBorders>
          </w:tcPr>
          <w:p>
            <w:pPr>
              <w:jc w:val="right"/>
              <w:ind w:right="694"/>
              <w:spacing w:after="0"/>
              <w:rPr>
                <w:sz w:val="20"/>
                <w:szCs w:val="20"/>
                <w:color w:val="auto"/>
              </w:rPr>
            </w:pPr>
            <w:r>
              <w:rPr>
                <w:rFonts w:ascii="Arial" w:cs="Arial" w:eastAsia="Arial" w:hAnsi="Arial"/>
                <w:sz w:val="11"/>
                <w:szCs w:val="11"/>
                <w:color w:val="auto"/>
              </w:rPr>
              <w:t>Dollar Amounts in Thousands</w:t>
            </w:r>
          </w:p>
        </w:tc>
      </w:tr>
      <w:tr>
        <w:trPr>
          <w:trHeight w:val="151"/>
        </w:trPr>
        <w:tc>
          <w:tcPr>
            <w:tcW w:w="20" w:type="dxa"/>
            <w:vAlign w:val="bottom"/>
          </w:tcPr>
          <w:p>
            <w:pPr>
              <w:spacing w:after="0"/>
              <w:rPr>
                <w:sz w:val="13"/>
                <w:szCs w:val="13"/>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Deposits:</w:t>
            </w:r>
          </w:p>
        </w:tc>
        <w:tc>
          <w:tcPr>
            <w:tcW w:w="4360" w:type="dxa"/>
            <w:vAlign w:val="bottom"/>
            <w:shd w:val="clear" w:color="auto" w:fill="CCEEFF"/>
          </w:tcPr>
          <w:p>
            <w:pPr>
              <w:spacing w:after="0"/>
              <w:rPr>
                <w:sz w:val="13"/>
                <w:szCs w:val="13"/>
                <w:color w:val="auto"/>
              </w:rPr>
            </w:pPr>
          </w:p>
        </w:tc>
      </w:tr>
      <w:tr>
        <w:trPr>
          <w:trHeight w:val="161"/>
        </w:trPr>
        <w:tc>
          <w:tcPr>
            <w:tcW w:w="20" w:type="dxa"/>
            <w:vAlign w:val="bottom"/>
          </w:tcPr>
          <w:p>
            <w:pPr>
              <w:spacing w:after="0"/>
              <w:rPr>
                <w:sz w:val="14"/>
                <w:szCs w:val="14"/>
                <w:color w:val="auto"/>
              </w:rPr>
            </w:pPr>
          </w:p>
        </w:tc>
        <w:tc>
          <w:tcPr>
            <w:tcW w:w="7080" w:type="dxa"/>
            <w:vAlign w:val="bottom"/>
          </w:tcPr>
          <w:p>
            <w:pPr>
              <w:ind w:left="140"/>
              <w:spacing w:after="0"/>
              <w:rPr>
                <w:sz w:val="20"/>
                <w:szCs w:val="20"/>
                <w:color w:val="auto"/>
              </w:rPr>
            </w:pPr>
            <w:r>
              <w:rPr>
                <w:rFonts w:ascii="Arial" w:cs="Arial" w:eastAsia="Arial" w:hAnsi="Arial"/>
                <w:sz w:val="13"/>
                <w:szCs w:val="13"/>
                <w:color w:val="auto"/>
              </w:rPr>
              <w:t>In domestic offices</w:t>
            </w:r>
          </w:p>
        </w:tc>
        <w:tc>
          <w:tcPr>
            <w:tcW w:w="4360" w:type="dxa"/>
            <w:vAlign w:val="bottom"/>
          </w:tcPr>
          <w:p>
            <w:pPr>
              <w:jc w:val="right"/>
              <w:ind w:right="254"/>
              <w:spacing w:after="0"/>
              <w:rPr>
                <w:sz w:val="20"/>
                <w:szCs w:val="20"/>
                <w:color w:val="auto"/>
              </w:rPr>
            </w:pPr>
            <w:r>
              <w:rPr>
                <w:rFonts w:ascii="Arial" w:cs="Arial" w:eastAsia="Arial" w:hAnsi="Arial"/>
                <w:sz w:val="13"/>
                <w:szCs w:val="13"/>
                <w:b w:val="1"/>
                <w:bCs w:val="1"/>
                <w:color w:val="auto"/>
              </w:rPr>
              <w:t>599</w:t>
            </w:r>
          </w:p>
        </w:tc>
      </w:tr>
      <w:tr>
        <w:trPr>
          <w:trHeight w:val="161"/>
        </w:trPr>
        <w:tc>
          <w:tcPr>
            <w:tcW w:w="20" w:type="dxa"/>
            <w:vAlign w:val="bottom"/>
          </w:tcPr>
          <w:p>
            <w:pPr>
              <w:spacing w:after="0"/>
              <w:rPr>
                <w:sz w:val="14"/>
                <w:szCs w:val="14"/>
                <w:color w:val="auto"/>
              </w:rPr>
            </w:pPr>
          </w:p>
        </w:tc>
        <w:tc>
          <w:tcPr>
            <w:tcW w:w="70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Noninterest-bearing</w:t>
            </w:r>
          </w:p>
        </w:tc>
        <w:tc>
          <w:tcPr>
            <w:tcW w:w="4360" w:type="dxa"/>
            <w:vAlign w:val="bottom"/>
            <w:shd w:val="clear" w:color="auto" w:fill="CCEEFF"/>
          </w:tcPr>
          <w:p>
            <w:pPr>
              <w:ind w:left="1840"/>
              <w:spacing w:after="0"/>
              <w:rPr>
                <w:sz w:val="20"/>
                <w:szCs w:val="20"/>
                <w:color w:val="auto"/>
              </w:rPr>
            </w:pPr>
            <w:r>
              <w:rPr>
                <w:rFonts w:ascii="Arial" w:cs="Arial" w:eastAsia="Arial" w:hAnsi="Arial"/>
                <w:sz w:val="13"/>
                <w:szCs w:val="13"/>
                <w:b w:val="1"/>
                <w:bCs w:val="1"/>
                <w:color w:val="auto"/>
              </w:rPr>
              <w:t>599</w:t>
            </w:r>
          </w:p>
        </w:tc>
      </w:tr>
      <w:tr>
        <w:trPr>
          <w:trHeight w:val="161"/>
        </w:trPr>
        <w:tc>
          <w:tcPr>
            <w:tcW w:w="20" w:type="dxa"/>
            <w:vAlign w:val="bottom"/>
          </w:tcPr>
          <w:p>
            <w:pPr>
              <w:spacing w:after="0"/>
              <w:rPr>
                <w:sz w:val="14"/>
                <w:szCs w:val="14"/>
                <w:color w:val="auto"/>
              </w:rPr>
            </w:pPr>
          </w:p>
        </w:tc>
        <w:tc>
          <w:tcPr>
            <w:tcW w:w="7080" w:type="dxa"/>
            <w:vAlign w:val="bottom"/>
          </w:tcPr>
          <w:p>
            <w:pPr>
              <w:ind w:left="280"/>
              <w:spacing w:after="0"/>
              <w:rPr>
                <w:sz w:val="20"/>
                <w:szCs w:val="20"/>
                <w:color w:val="auto"/>
              </w:rPr>
            </w:pPr>
            <w:r>
              <w:rPr>
                <w:rFonts w:ascii="Arial" w:cs="Arial" w:eastAsia="Arial" w:hAnsi="Arial"/>
                <w:sz w:val="13"/>
                <w:szCs w:val="13"/>
                <w:color w:val="auto"/>
              </w:rPr>
              <w:t>Interest-bearing</w:t>
            </w:r>
          </w:p>
        </w:tc>
        <w:tc>
          <w:tcPr>
            <w:tcW w:w="4360" w:type="dxa"/>
            <w:vAlign w:val="bottom"/>
          </w:tcPr>
          <w:p>
            <w:pPr>
              <w:ind w:left="1840"/>
              <w:spacing w:after="0"/>
              <w:rPr>
                <w:sz w:val="20"/>
                <w:szCs w:val="20"/>
                <w:color w:val="auto"/>
              </w:rPr>
            </w:pPr>
            <w:r>
              <w:rPr>
                <w:rFonts w:ascii="Arial" w:cs="Arial" w:eastAsia="Arial" w:hAnsi="Arial"/>
                <w:sz w:val="13"/>
                <w:szCs w:val="13"/>
                <w:b w:val="1"/>
                <w:bCs w:val="1"/>
                <w:color w:val="auto"/>
              </w:rPr>
              <w:t>0</w:t>
            </w:r>
          </w:p>
        </w:tc>
      </w:tr>
      <w:tr>
        <w:trPr>
          <w:trHeight w:val="161"/>
        </w:trPr>
        <w:tc>
          <w:tcPr>
            <w:tcW w:w="20" w:type="dxa"/>
            <w:vAlign w:val="bottom"/>
          </w:tcPr>
          <w:p>
            <w:pPr>
              <w:spacing w:after="0"/>
              <w:rPr>
                <w:sz w:val="14"/>
                <w:szCs w:val="14"/>
                <w:color w:val="auto"/>
              </w:rPr>
            </w:pPr>
          </w:p>
        </w:tc>
        <w:tc>
          <w:tcPr>
            <w:tcW w:w="70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Federal funds purchased and securities sold under agreements to repurchase:</w:t>
            </w:r>
          </w:p>
        </w:tc>
        <w:tc>
          <w:tcPr>
            <w:tcW w:w="4360" w:type="dxa"/>
            <w:vAlign w:val="bottom"/>
            <w:shd w:val="clear" w:color="auto" w:fill="CCEEFF"/>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7080" w:type="dxa"/>
            <w:vAlign w:val="bottom"/>
          </w:tcPr>
          <w:p>
            <w:pPr>
              <w:ind w:left="280"/>
              <w:spacing w:after="0"/>
              <w:rPr>
                <w:sz w:val="20"/>
                <w:szCs w:val="20"/>
                <w:color w:val="auto"/>
              </w:rPr>
            </w:pPr>
            <w:r>
              <w:rPr>
                <w:rFonts w:ascii="Arial" w:cs="Arial" w:eastAsia="Arial" w:hAnsi="Arial"/>
                <w:sz w:val="13"/>
                <w:szCs w:val="13"/>
                <w:color w:val="auto"/>
              </w:rPr>
              <w:t>Federal funds purchased</w:t>
            </w:r>
          </w:p>
        </w:tc>
        <w:tc>
          <w:tcPr>
            <w:tcW w:w="4360" w:type="dxa"/>
            <w:vAlign w:val="bottom"/>
          </w:tcPr>
          <w:p>
            <w:pPr>
              <w:jc w:val="right"/>
              <w:ind w:right="254"/>
              <w:spacing w:after="0"/>
              <w:rPr>
                <w:sz w:val="20"/>
                <w:szCs w:val="20"/>
                <w:color w:val="auto"/>
              </w:rPr>
            </w:pPr>
            <w:r>
              <w:rPr>
                <w:rFonts w:ascii="Arial" w:cs="Arial" w:eastAsia="Arial" w:hAnsi="Arial"/>
                <w:sz w:val="13"/>
                <w:szCs w:val="13"/>
                <w:b w:val="1"/>
                <w:bCs w:val="1"/>
                <w:color w:val="auto"/>
              </w:rPr>
              <w:t>0</w:t>
            </w:r>
          </w:p>
        </w:tc>
      </w:tr>
      <w:tr>
        <w:trPr>
          <w:trHeight w:val="161"/>
        </w:trPr>
        <w:tc>
          <w:tcPr>
            <w:tcW w:w="20" w:type="dxa"/>
            <w:vAlign w:val="bottom"/>
          </w:tcPr>
          <w:p>
            <w:pPr>
              <w:spacing w:after="0"/>
              <w:rPr>
                <w:sz w:val="14"/>
                <w:szCs w:val="14"/>
                <w:color w:val="auto"/>
              </w:rPr>
            </w:pPr>
          </w:p>
        </w:tc>
        <w:tc>
          <w:tcPr>
            <w:tcW w:w="70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Securities sold under agreements to repurchase</w:t>
            </w:r>
          </w:p>
        </w:tc>
        <w:tc>
          <w:tcPr>
            <w:tcW w:w="4360" w:type="dxa"/>
            <w:vAlign w:val="bottom"/>
            <w:shd w:val="clear" w:color="auto" w:fill="CCEEFF"/>
          </w:tcPr>
          <w:p>
            <w:pPr>
              <w:jc w:val="right"/>
              <w:ind w:right="254"/>
              <w:spacing w:after="0"/>
              <w:rPr>
                <w:sz w:val="20"/>
                <w:szCs w:val="20"/>
                <w:color w:val="auto"/>
              </w:rPr>
            </w:pPr>
            <w:r>
              <w:rPr>
                <w:rFonts w:ascii="Arial" w:cs="Arial" w:eastAsia="Arial" w:hAnsi="Arial"/>
                <w:sz w:val="13"/>
                <w:szCs w:val="13"/>
                <w:b w:val="1"/>
                <w:bCs w:val="1"/>
                <w:color w:val="auto"/>
              </w:rPr>
              <w:t>0</w:t>
            </w:r>
          </w:p>
        </w:tc>
      </w:tr>
      <w:tr>
        <w:trPr>
          <w:trHeight w:val="161"/>
        </w:trPr>
        <w:tc>
          <w:tcPr>
            <w:tcW w:w="20" w:type="dxa"/>
            <w:vAlign w:val="bottom"/>
          </w:tcPr>
          <w:p>
            <w:pPr>
              <w:spacing w:after="0"/>
              <w:rPr>
                <w:sz w:val="14"/>
                <w:szCs w:val="14"/>
                <w:color w:val="auto"/>
              </w:rPr>
            </w:pPr>
          </w:p>
        </w:tc>
        <w:tc>
          <w:tcPr>
            <w:tcW w:w="7080" w:type="dxa"/>
            <w:vAlign w:val="bottom"/>
          </w:tcPr>
          <w:p>
            <w:pPr>
              <w:spacing w:after="0"/>
              <w:rPr>
                <w:sz w:val="20"/>
                <w:szCs w:val="20"/>
                <w:color w:val="auto"/>
              </w:rPr>
            </w:pPr>
            <w:r>
              <w:rPr>
                <w:rFonts w:ascii="Arial" w:cs="Arial" w:eastAsia="Arial" w:hAnsi="Arial"/>
                <w:sz w:val="13"/>
                <w:szCs w:val="13"/>
                <w:color w:val="auto"/>
              </w:rPr>
              <w:t>Trading liabilities</w:t>
            </w:r>
          </w:p>
        </w:tc>
        <w:tc>
          <w:tcPr>
            <w:tcW w:w="4360" w:type="dxa"/>
            <w:vAlign w:val="bottom"/>
          </w:tcPr>
          <w:p>
            <w:pPr>
              <w:jc w:val="right"/>
              <w:ind w:right="254"/>
              <w:spacing w:after="0"/>
              <w:rPr>
                <w:sz w:val="20"/>
                <w:szCs w:val="20"/>
                <w:color w:val="auto"/>
              </w:rPr>
            </w:pPr>
            <w:r>
              <w:rPr>
                <w:rFonts w:ascii="Arial" w:cs="Arial" w:eastAsia="Arial" w:hAnsi="Arial"/>
                <w:sz w:val="13"/>
                <w:szCs w:val="13"/>
                <w:b w:val="1"/>
                <w:bCs w:val="1"/>
                <w:color w:val="auto"/>
              </w:rPr>
              <w:t>0</w:t>
            </w:r>
          </w:p>
        </w:tc>
      </w:tr>
      <w:tr>
        <w:trPr>
          <w:trHeight w:val="161"/>
        </w:trPr>
        <w:tc>
          <w:tcPr>
            <w:tcW w:w="20" w:type="dxa"/>
            <w:vAlign w:val="bottom"/>
          </w:tcPr>
          <w:p>
            <w:pPr>
              <w:spacing w:after="0"/>
              <w:rPr>
                <w:sz w:val="14"/>
                <w:szCs w:val="14"/>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3"/>
                <w:szCs w:val="13"/>
                <w:color w:val="auto"/>
              </w:rPr>
              <w:t>Other borrowed money (includes mortgage indebtedness and obligations under capitalized leases)</w:t>
            </w:r>
          </w:p>
        </w:tc>
        <w:tc>
          <w:tcPr>
            <w:tcW w:w="4360" w:type="dxa"/>
            <w:vAlign w:val="bottom"/>
            <w:shd w:val="clear" w:color="auto" w:fill="CCEEFF"/>
          </w:tcPr>
          <w:p>
            <w:pPr>
              <w:jc w:val="right"/>
              <w:ind w:right="254"/>
              <w:spacing w:after="0"/>
              <w:rPr>
                <w:sz w:val="20"/>
                <w:szCs w:val="20"/>
                <w:color w:val="auto"/>
              </w:rPr>
            </w:pPr>
            <w:r>
              <w:rPr>
                <w:rFonts w:ascii="Arial" w:cs="Arial" w:eastAsia="Arial" w:hAnsi="Arial"/>
                <w:sz w:val="13"/>
                <w:szCs w:val="13"/>
                <w:b w:val="1"/>
                <w:bCs w:val="1"/>
                <w:color w:val="auto"/>
              </w:rPr>
              <w:t>268,691</w:t>
            </w:r>
          </w:p>
        </w:tc>
      </w:tr>
      <w:tr>
        <w:trPr>
          <w:trHeight w:val="161"/>
        </w:trPr>
        <w:tc>
          <w:tcPr>
            <w:tcW w:w="20" w:type="dxa"/>
            <w:vAlign w:val="bottom"/>
          </w:tcPr>
          <w:p>
            <w:pPr>
              <w:spacing w:after="0"/>
              <w:rPr>
                <w:sz w:val="14"/>
                <w:szCs w:val="14"/>
                <w:color w:val="auto"/>
              </w:rPr>
            </w:pPr>
          </w:p>
        </w:tc>
        <w:tc>
          <w:tcPr>
            <w:tcW w:w="7080" w:type="dxa"/>
            <w:vAlign w:val="bottom"/>
          </w:tcPr>
          <w:p>
            <w:pPr>
              <w:spacing w:after="0"/>
              <w:rPr>
                <w:sz w:val="20"/>
                <w:szCs w:val="20"/>
                <w:color w:val="auto"/>
              </w:rPr>
            </w:pPr>
            <w:r>
              <w:rPr>
                <w:rFonts w:ascii="Arial" w:cs="Arial" w:eastAsia="Arial" w:hAnsi="Arial"/>
                <w:sz w:val="13"/>
                <w:szCs w:val="13"/>
                <w:color w:val="auto"/>
              </w:rPr>
              <w:t>Subordinated notes and debentures</w:t>
            </w:r>
          </w:p>
        </w:tc>
        <w:tc>
          <w:tcPr>
            <w:tcW w:w="4360" w:type="dxa"/>
            <w:vAlign w:val="bottom"/>
          </w:tcPr>
          <w:p>
            <w:pPr>
              <w:jc w:val="right"/>
              <w:ind w:right="254"/>
              <w:spacing w:after="0"/>
              <w:rPr>
                <w:sz w:val="20"/>
                <w:szCs w:val="20"/>
                <w:color w:val="auto"/>
              </w:rPr>
            </w:pPr>
            <w:r>
              <w:rPr>
                <w:rFonts w:ascii="Arial" w:cs="Arial" w:eastAsia="Arial" w:hAnsi="Arial"/>
                <w:sz w:val="13"/>
                <w:szCs w:val="13"/>
                <w:b w:val="1"/>
                <w:bCs w:val="1"/>
                <w:color w:val="auto"/>
              </w:rPr>
              <w:t>0</w:t>
            </w:r>
          </w:p>
        </w:tc>
      </w:tr>
      <w:tr>
        <w:trPr>
          <w:trHeight w:val="161"/>
        </w:trPr>
        <w:tc>
          <w:tcPr>
            <w:tcW w:w="20" w:type="dxa"/>
            <w:vAlign w:val="bottom"/>
          </w:tcPr>
          <w:p>
            <w:pPr>
              <w:spacing w:after="0"/>
              <w:rPr>
                <w:sz w:val="14"/>
                <w:szCs w:val="14"/>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3"/>
                <w:szCs w:val="13"/>
                <w:color w:val="auto"/>
              </w:rPr>
              <w:t>Other liabilities</w:t>
            </w:r>
          </w:p>
        </w:tc>
        <w:tc>
          <w:tcPr>
            <w:tcW w:w="4360" w:type="dxa"/>
            <w:vAlign w:val="bottom"/>
            <w:shd w:val="clear" w:color="auto" w:fill="CCEEFF"/>
          </w:tcPr>
          <w:p>
            <w:pPr>
              <w:jc w:val="right"/>
              <w:ind w:right="254"/>
              <w:spacing w:after="0"/>
              <w:rPr>
                <w:sz w:val="20"/>
                <w:szCs w:val="20"/>
                <w:color w:val="auto"/>
              </w:rPr>
            </w:pPr>
            <w:r>
              <w:rPr>
                <w:rFonts w:ascii="Arial" w:cs="Arial" w:eastAsia="Arial" w:hAnsi="Arial"/>
                <w:sz w:val="13"/>
                <w:szCs w:val="13"/>
                <w:b w:val="1"/>
                <w:bCs w:val="1"/>
                <w:color w:val="auto"/>
              </w:rPr>
              <w:t>195,831</w:t>
            </w:r>
          </w:p>
        </w:tc>
      </w:tr>
      <w:tr>
        <w:trPr>
          <w:trHeight w:val="174"/>
        </w:trPr>
        <w:tc>
          <w:tcPr>
            <w:tcW w:w="20" w:type="dxa"/>
            <w:vAlign w:val="bottom"/>
          </w:tcPr>
          <w:p>
            <w:pPr>
              <w:spacing w:after="0"/>
              <w:rPr>
                <w:sz w:val="15"/>
                <w:szCs w:val="15"/>
                <w:color w:val="auto"/>
              </w:rPr>
            </w:pPr>
          </w:p>
        </w:tc>
        <w:tc>
          <w:tcPr>
            <w:tcW w:w="7080" w:type="dxa"/>
            <w:vAlign w:val="bottom"/>
          </w:tcPr>
          <w:p>
            <w:pPr>
              <w:spacing w:after="0"/>
              <w:rPr>
                <w:sz w:val="20"/>
                <w:szCs w:val="20"/>
                <w:color w:val="auto"/>
              </w:rPr>
            </w:pPr>
            <w:r>
              <w:rPr>
                <w:rFonts w:ascii="Arial" w:cs="Arial" w:eastAsia="Arial" w:hAnsi="Arial"/>
                <w:sz w:val="13"/>
                <w:szCs w:val="13"/>
                <w:color w:val="auto"/>
              </w:rPr>
              <w:t>Total liabilities</w:t>
            </w:r>
          </w:p>
        </w:tc>
        <w:tc>
          <w:tcPr>
            <w:tcW w:w="4360" w:type="dxa"/>
            <w:vAlign w:val="bottom"/>
          </w:tcPr>
          <w:p>
            <w:pPr>
              <w:jc w:val="right"/>
              <w:ind w:right="254"/>
              <w:spacing w:after="0"/>
              <w:rPr>
                <w:sz w:val="20"/>
                <w:szCs w:val="20"/>
                <w:color w:val="auto"/>
              </w:rPr>
            </w:pPr>
            <w:r>
              <w:rPr>
                <w:rFonts w:ascii="Arial" w:cs="Arial" w:eastAsia="Arial" w:hAnsi="Arial"/>
                <w:sz w:val="13"/>
                <w:szCs w:val="13"/>
                <w:b w:val="1"/>
                <w:bCs w:val="1"/>
                <w:color w:val="auto"/>
              </w:rPr>
              <w:t>465,121</w:t>
            </w:r>
          </w:p>
        </w:tc>
      </w:tr>
    </w:tbl>
    <w:p>
      <w:pPr>
        <w:spacing w:after="0" w:line="136" w:lineRule="exact"/>
        <w:rPr>
          <w:sz w:val="20"/>
          <w:szCs w:val="20"/>
          <w:color w:val="auto"/>
        </w:rPr>
      </w:pPr>
    </w:p>
    <w:p>
      <w:pPr>
        <w:sectPr>
          <w:pgSz w:w="11900" w:h="16838" w:orient="portrait"/>
          <w:cols w:equalWidth="0" w:num="1">
            <w:col w:w="11460"/>
          </w:cols>
          <w:pgMar w:left="220" w:top="733" w:right="219" w:bottom="1440" w:gutter="0" w:footer="0" w:header="0"/>
        </w:sectPr>
      </w:pPr>
    </w:p>
    <w:p>
      <w:pPr>
        <w:spacing w:after="0"/>
        <w:rPr>
          <w:sz w:val="20"/>
          <w:szCs w:val="20"/>
          <w:color w:val="auto"/>
        </w:rPr>
      </w:pPr>
      <w:r>
        <w:rPr>
          <w:rFonts w:ascii="Arial" w:cs="Arial" w:eastAsia="Arial" w:hAnsi="Arial"/>
          <w:sz w:val="13"/>
          <w:szCs w:val="13"/>
          <w:b w:val="1"/>
          <w:bCs w:val="1"/>
          <w:color w:val="auto"/>
        </w:rPr>
        <w:t>EQUITY CAPITAL</w:t>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Bank Equity Capital</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Perpetual preferred stock and related surplus</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Common stock</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Surplus (exclude all surplus related to preferred stock)</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Retained earnings</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Accumulated other comprehensive income</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Other equity capital components</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Total bank equity capital</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Minority interest in consolidated subsidiaries</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Total equity capital</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Total liabilities, minority interest, and equity capital</w:t>
      </w:r>
    </w:p>
    <w:p>
      <w:pPr>
        <w:spacing w:after="0" w:line="162" w:lineRule="exact"/>
        <w:rPr>
          <w:sz w:val="20"/>
          <w:szCs w:val="20"/>
          <w:color w:val="auto"/>
        </w:rPr>
      </w:pPr>
    </w:p>
    <w:p>
      <w:pPr>
        <w:ind w:right="60"/>
        <w:spacing w:after="0" w:line="309" w:lineRule="auto"/>
        <w:rPr>
          <w:sz w:val="20"/>
          <w:szCs w:val="20"/>
          <w:color w:val="auto"/>
        </w:rPr>
      </w:pPr>
      <w:r>
        <w:rPr>
          <w:rFonts w:ascii="Arial" w:cs="Arial" w:eastAsia="Arial" w:hAnsi="Arial"/>
          <w:sz w:val="12"/>
          <w:szCs w:val="12"/>
          <w:color w:val="auto"/>
        </w:rPr>
        <w:t>We, the undersigned directors, attest to the correctness of this statement of resources and liabilities. We declare that it has been examined by us, and to the best of our knowledge and belief has been prepared in conformance with the instructions and is true and correct.</w:t>
      </w:r>
    </w:p>
    <w:p>
      <w:pPr>
        <w:spacing w:after="0" w:line="293" w:lineRule="exact"/>
        <w:rPr>
          <w:sz w:val="20"/>
          <w:szCs w:val="20"/>
          <w:color w:val="auto"/>
        </w:rPr>
      </w:pPr>
    </w:p>
    <w:p>
      <w:pPr>
        <w:spacing w:after="0"/>
        <w:tabs>
          <w:tab w:leader="none" w:pos="1880" w:val="left"/>
        </w:tabs>
        <w:rPr>
          <w:sz w:val="20"/>
          <w:szCs w:val="20"/>
          <w:color w:val="auto"/>
        </w:rPr>
      </w:pPr>
      <w:r>
        <w:rPr>
          <w:rFonts w:ascii="Arial" w:cs="Arial" w:eastAsia="Arial" w:hAnsi="Arial"/>
          <w:sz w:val="13"/>
          <w:szCs w:val="13"/>
          <w:color w:val="auto"/>
        </w:rPr>
        <w:t>Director #1</w:t>
      </w:r>
      <w:r>
        <w:rPr>
          <w:sz w:val="20"/>
          <w:szCs w:val="20"/>
          <w:color w:val="auto"/>
        </w:rPr>
        <w:tab/>
      </w:r>
      <w:r>
        <w:rPr>
          <w:rFonts w:ascii="Arial" w:cs="Arial" w:eastAsia="Arial" w:hAnsi="Arial"/>
          <w:sz w:val="12"/>
          <w:szCs w:val="12"/>
          <w:color w:val="auto"/>
        </w:rPr>
        <w:t>Troy Kilpatrick, Managing Director</w:t>
      </w:r>
    </w:p>
    <w:p>
      <w:pPr>
        <w:spacing w:after="0" w:line="32" w:lineRule="exact"/>
        <w:rPr>
          <w:sz w:val="20"/>
          <w:szCs w:val="20"/>
          <w:color w:val="auto"/>
        </w:rPr>
      </w:pPr>
    </w:p>
    <w:p>
      <w:pPr>
        <w:spacing w:after="0"/>
        <w:tabs>
          <w:tab w:leader="none" w:pos="1880" w:val="left"/>
        </w:tabs>
        <w:rPr>
          <w:sz w:val="20"/>
          <w:szCs w:val="20"/>
          <w:color w:val="auto"/>
        </w:rPr>
      </w:pPr>
      <w:r>
        <w:rPr>
          <w:rFonts w:ascii="Arial" w:cs="Arial" w:eastAsia="Arial" w:hAnsi="Arial"/>
          <w:sz w:val="13"/>
          <w:szCs w:val="13"/>
          <w:color w:val="auto"/>
        </w:rPr>
        <w:t>Director #2</w:t>
      </w:r>
      <w:r>
        <w:rPr>
          <w:sz w:val="20"/>
          <w:szCs w:val="20"/>
          <w:color w:val="auto"/>
        </w:rPr>
        <w:tab/>
      </w:r>
      <w:r>
        <w:rPr>
          <w:rFonts w:ascii="Arial" w:cs="Arial" w:eastAsia="Arial" w:hAnsi="Arial"/>
          <w:sz w:val="12"/>
          <w:szCs w:val="12"/>
          <w:color w:val="auto"/>
        </w:rPr>
        <w:t>Frank Sulzberger, Managing Director</w:t>
      </w:r>
    </w:p>
    <w:p>
      <w:pPr>
        <w:spacing w:after="0" w:line="32" w:lineRule="exact"/>
        <w:rPr>
          <w:sz w:val="20"/>
          <w:szCs w:val="20"/>
          <w:color w:val="auto"/>
        </w:rPr>
      </w:pPr>
    </w:p>
    <w:p>
      <w:pPr>
        <w:spacing w:after="0"/>
        <w:tabs>
          <w:tab w:leader="none" w:pos="1880" w:val="left"/>
        </w:tabs>
        <w:rPr>
          <w:sz w:val="20"/>
          <w:szCs w:val="20"/>
          <w:color w:val="auto"/>
        </w:rPr>
      </w:pPr>
      <w:r>
        <w:rPr>
          <w:rFonts w:ascii="Arial" w:cs="Arial" w:eastAsia="Arial" w:hAnsi="Arial"/>
          <w:sz w:val="13"/>
          <w:szCs w:val="13"/>
          <w:color w:val="auto"/>
        </w:rPr>
        <w:t>Director #3</w:t>
      </w:r>
      <w:r>
        <w:rPr>
          <w:sz w:val="20"/>
          <w:szCs w:val="20"/>
          <w:color w:val="auto"/>
        </w:rPr>
        <w:tab/>
      </w:r>
      <w:r>
        <w:rPr>
          <w:rFonts w:ascii="Arial" w:cs="Arial" w:eastAsia="Arial" w:hAnsi="Arial"/>
          <w:sz w:val="12"/>
          <w:szCs w:val="12"/>
          <w:color w:val="auto"/>
        </w:rPr>
        <w:t>William Lindelof Managing Director</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jc w:val="right"/>
        <w:ind w:right="320"/>
        <w:spacing w:after="0"/>
        <w:rPr>
          <w:sz w:val="20"/>
          <w:szCs w:val="20"/>
          <w:color w:val="auto"/>
        </w:rPr>
      </w:pPr>
      <w:r>
        <w:rPr>
          <w:rFonts w:ascii="Arial" w:cs="Arial" w:eastAsia="Arial" w:hAnsi="Arial"/>
          <w:sz w:val="13"/>
          <w:szCs w:val="13"/>
          <w:b w:val="1"/>
          <w:bCs w:val="1"/>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-290830</wp:posOffset>
            </wp:positionV>
            <wp:extent cx="7281545" cy="1022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1545" cy="10223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-86360</wp:posOffset>
            </wp:positionV>
            <wp:extent cx="7281545" cy="1022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1545" cy="102235"/>
                    </a:xfrm>
                    <a:prstGeom prst="rect">
                      <a:avLst/>
                    </a:prstGeom>
                    <a:noFill/>
                  </pic:spPr>
                </pic:pic>
              </a:graphicData>
            </a:graphic>
          </wp:anchor>
        </w:drawing>
      </w:r>
    </w:p>
    <w:p>
      <w:pPr>
        <w:spacing w:after="0" w:line="4" w:lineRule="exact"/>
        <w:rPr>
          <w:sz w:val="20"/>
          <w:szCs w:val="20"/>
          <w:color w:val="auto"/>
        </w:rPr>
      </w:pPr>
    </w:p>
    <w:p>
      <w:pPr>
        <w:jc w:val="right"/>
        <w:ind w:right="320"/>
        <w:spacing w:after="0"/>
        <w:rPr>
          <w:sz w:val="20"/>
          <w:szCs w:val="20"/>
          <w:color w:val="auto"/>
        </w:rPr>
      </w:pPr>
      <w:r>
        <w:rPr>
          <w:rFonts w:ascii="Arial" w:cs="Arial" w:eastAsia="Arial" w:hAnsi="Arial"/>
          <w:sz w:val="13"/>
          <w:szCs w:val="13"/>
          <w:b w:val="1"/>
          <w:bCs w:val="1"/>
          <w:color w:val="auto"/>
        </w:rPr>
        <w:t>1,000</w:t>
      </w:r>
    </w:p>
    <w:p>
      <w:pPr>
        <w:spacing w:after="0" w:line="12" w:lineRule="exact"/>
        <w:rPr>
          <w:sz w:val="20"/>
          <w:szCs w:val="20"/>
          <w:color w:val="auto"/>
        </w:rPr>
      </w:pPr>
    </w:p>
    <w:p>
      <w:pPr>
        <w:jc w:val="right"/>
        <w:ind w:right="320"/>
        <w:spacing w:after="0"/>
        <w:rPr>
          <w:sz w:val="20"/>
          <w:szCs w:val="20"/>
          <w:color w:val="auto"/>
        </w:rPr>
      </w:pPr>
      <w:r>
        <w:rPr>
          <w:rFonts w:ascii="Arial" w:cs="Arial" w:eastAsia="Arial" w:hAnsi="Arial"/>
          <w:sz w:val="13"/>
          <w:szCs w:val="13"/>
          <w:b w:val="1"/>
          <w:bCs w:val="1"/>
          <w:color w:val="auto"/>
        </w:rPr>
        <w:t>1,121,520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-93980</wp:posOffset>
            </wp:positionV>
            <wp:extent cx="7281545" cy="1022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1545" cy="102235"/>
                    </a:xfrm>
                    <a:prstGeom prst="rect">
                      <a:avLst/>
                    </a:prstGeom>
                    <a:noFill/>
                  </pic:spPr>
                </pic:pic>
              </a:graphicData>
            </a:graphic>
          </wp:anchor>
        </w:drawing>
      </w:r>
    </w:p>
    <w:p>
      <w:pPr>
        <w:jc w:val="right"/>
        <w:ind w:right="320"/>
        <w:spacing w:after="0"/>
        <w:rPr>
          <w:sz w:val="20"/>
          <w:szCs w:val="20"/>
          <w:color w:val="auto"/>
        </w:rPr>
      </w:pPr>
      <w:r>
        <w:rPr>
          <w:rFonts w:ascii="Arial" w:cs="Arial" w:eastAsia="Arial" w:hAnsi="Arial"/>
          <w:sz w:val="13"/>
          <w:szCs w:val="13"/>
          <w:b w:val="1"/>
          <w:bCs w:val="1"/>
          <w:color w:val="auto"/>
        </w:rPr>
        <w:t>321,726</w:t>
      </w:r>
    </w:p>
    <w:p>
      <w:pPr>
        <w:spacing w:after="0" w:line="12" w:lineRule="exact"/>
        <w:rPr>
          <w:sz w:val="20"/>
          <w:szCs w:val="20"/>
          <w:color w:val="auto"/>
        </w:rPr>
      </w:pPr>
    </w:p>
    <w:p>
      <w:pPr>
        <w:jc w:val="right"/>
        <w:ind w:right="320"/>
        <w:spacing w:after="0"/>
        <w:rPr>
          <w:sz w:val="20"/>
          <w:szCs w:val="20"/>
          <w:color w:val="auto"/>
        </w:rPr>
      </w:pPr>
      <w:r>
        <w:rPr>
          <w:rFonts w:ascii="Arial" w:cs="Arial" w:eastAsia="Arial" w:hAnsi="Arial"/>
          <w:sz w:val="13"/>
          <w:szCs w:val="13"/>
          <w:b w:val="1"/>
          <w:bCs w:val="1"/>
          <w:color w:val="auto"/>
        </w:rPr>
        <w:t>2,591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-93980</wp:posOffset>
            </wp:positionV>
            <wp:extent cx="7281545" cy="1022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1545" cy="102235"/>
                    </a:xfrm>
                    <a:prstGeom prst="rect">
                      <a:avLst/>
                    </a:prstGeom>
                    <a:noFill/>
                  </pic:spPr>
                </pic:pic>
              </a:graphicData>
            </a:graphic>
          </wp:anchor>
        </w:drawing>
      </w:r>
    </w:p>
    <w:p>
      <w:pPr>
        <w:jc w:val="right"/>
        <w:ind w:right="320"/>
        <w:spacing w:after="0"/>
        <w:rPr>
          <w:sz w:val="20"/>
          <w:szCs w:val="20"/>
          <w:color w:val="auto"/>
        </w:rPr>
      </w:pPr>
      <w:r>
        <w:rPr>
          <w:rFonts w:ascii="Arial" w:cs="Arial" w:eastAsia="Arial" w:hAnsi="Arial"/>
          <w:sz w:val="13"/>
          <w:szCs w:val="13"/>
          <w:b w:val="1"/>
          <w:bCs w:val="1"/>
          <w:color w:val="auto"/>
        </w:rPr>
        <w:t>0</w:t>
      </w:r>
    </w:p>
    <w:p>
      <w:pPr>
        <w:spacing w:after="0" w:line="12" w:lineRule="exact"/>
        <w:rPr>
          <w:sz w:val="20"/>
          <w:szCs w:val="20"/>
          <w:color w:val="auto"/>
        </w:rPr>
      </w:pPr>
    </w:p>
    <w:p>
      <w:pPr>
        <w:jc w:val="right"/>
        <w:ind w:right="320"/>
        <w:spacing w:after="0"/>
        <w:rPr>
          <w:sz w:val="20"/>
          <w:szCs w:val="20"/>
          <w:color w:val="auto"/>
        </w:rPr>
      </w:pPr>
      <w:r>
        <w:rPr>
          <w:rFonts w:ascii="Arial" w:cs="Arial" w:eastAsia="Arial" w:hAnsi="Arial"/>
          <w:sz w:val="13"/>
          <w:szCs w:val="13"/>
          <w:b w:val="1"/>
          <w:bCs w:val="1"/>
          <w:color w:val="auto"/>
        </w:rPr>
        <w:t>1,446,837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-93980</wp:posOffset>
            </wp:positionV>
            <wp:extent cx="7281545" cy="1022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1545" cy="102235"/>
                    </a:xfrm>
                    <a:prstGeom prst="rect">
                      <a:avLst/>
                    </a:prstGeom>
                    <a:noFill/>
                  </pic:spPr>
                </pic:pic>
              </a:graphicData>
            </a:graphic>
          </wp:anchor>
        </w:drawing>
      </w:r>
    </w:p>
    <w:p>
      <w:pPr>
        <w:jc w:val="right"/>
        <w:ind w:right="320"/>
        <w:spacing w:after="0"/>
        <w:rPr>
          <w:sz w:val="20"/>
          <w:szCs w:val="20"/>
          <w:color w:val="auto"/>
        </w:rPr>
      </w:pPr>
      <w:r>
        <w:rPr>
          <w:rFonts w:ascii="Arial" w:cs="Arial" w:eastAsia="Arial" w:hAnsi="Arial"/>
          <w:sz w:val="13"/>
          <w:szCs w:val="13"/>
          <w:b w:val="1"/>
          <w:bCs w:val="1"/>
          <w:color w:val="auto"/>
        </w:rPr>
        <w:t>0</w:t>
      </w:r>
    </w:p>
    <w:p>
      <w:pPr>
        <w:spacing w:after="0" w:line="12" w:lineRule="exact"/>
        <w:rPr>
          <w:sz w:val="20"/>
          <w:szCs w:val="20"/>
          <w:color w:val="auto"/>
        </w:rPr>
      </w:pPr>
    </w:p>
    <w:p>
      <w:pPr>
        <w:jc w:val="right"/>
        <w:ind w:right="320"/>
        <w:spacing w:after="0"/>
        <w:rPr>
          <w:sz w:val="20"/>
          <w:szCs w:val="20"/>
          <w:color w:val="auto"/>
        </w:rPr>
      </w:pPr>
      <w:r>
        <w:rPr>
          <w:rFonts w:ascii="Arial" w:cs="Arial" w:eastAsia="Arial" w:hAnsi="Arial"/>
          <w:sz w:val="13"/>
          <w:szCs w:val="13"/>
          <w:b w:val="1"/>
          <w:bCs w:val="1"/>
          <w:color w:val="auto"/>
        </w:rPr>
        <w:t>1,446,837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-93980</wp:posOffset>
            </wp:positionV>
            <wp:extent cx="7281545" cy="1022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1545" cy="102235"/>
                    </a:xfrm>
                    <a:prstGeom prst="rect">
                      <a:avLst/>
                    </a:prstGeom>
                    <a:noFill/>
                  </pic:spPr>
                </pic:pic>
              </a:graphicData>
            </a:graphic>
          </wp:anchor>
        </w:drawing>
      </w:r>
    </w:p>
    <w:p>
      <w:pPr>
        <w:jc w:val="right"/>
        <w:ind w:right="320"/>
        <w:spacing w:after="0"/>
        <w:rPr>
          <w:sz w:val="20"/>
          <w:szCs w:val="20"/>
          <w:color w:val="auto"/>
        </w:rPr>
      </w:pPr>
      <w:r>
        <w:rPr>
          <w:rFonts w:ascii="Arial" w:cs="Arial" w:eastAsia="Arial" w:hAnsi="Arial"/>
          <w:sz w:val="13"/>
          <w:szCs w:val="13"/>
          <w:b w:val="1"/>
          <w:bCs w:val="1"/>
          <w:color w:val="auto"/>
        </w:rPr>
        <w:t>1,911,958</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 Karen Bayz, Managing Director /s/ Karen A, Bayz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2437765" cy="63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437765" cy="6350"/>
                    </a:xfrm>
                    <a:prstGeom prst="rect">
                      <a:avLst/>
                    </a:prstGeom>
                    <a:noFill/>
                  </pic:spPr>
                </pic:pic>
              </a:graphicData>
            </a:graphic>
          </wp:anchor>
        </w:drawing>
      </w:r>
    </w:p>
    <w:p>
      <w:pPr>
        <w:spacing w:after="0" w:line="12" w:lineRule="exact"/>
        <w:rPr>
          <w:sz w:val="20"/>
          <w:szCs w:val="20"/>
          <w:color w:val="auto"/>
        </w:rPr>
      </w:pPr>
    </w:p>
    <w:p>
      <w:pPr>
        <w:ind w:left="1540"/>
        <w:spacing w:after="0"/>
        <w:rPr>
          <w:sz w:val="20"/>
          <w:szCs w:val="20"/>
          <w:color w:val="auto"/>
        </w:rPr>
      </w:pPr>
      <w:r>
        <w:rPr>
          <w:rFonts w:ascii="Arial" w:cs="Arial" w:eastAsia="Arial" w:hAnsi="Arial"/>
          <w:sz w:val="13"/>
          <w:szCs w:val="13"/>
          <w:b w:val="1"/>
          <w:bCs w:val="1"/>
          <w:color w:val="auto"/>
        </w:rPr>
        <w:t>(Name, Title)</w:t>
      </w:r>
    </w:p>
    <w:p>
      <w:pPr>
        <w:spacing w:after="0" w:line="24" w:lineRule="exact"/>
        <w:rPr>
          <w:sz w:val="20"/>
          <w:szCs w:val="20"/>
          <w:color w:val="auto"/>
        </w:rPr>
      </w:pPr>
    </w:p>
    <w:p>
      <w:pPr>
        <w:ind w:right="2060"/>
        <w:spacing w:after="0" w:line="320" w:lineRule="auto"/>
        <w:rPr>
          <w:sz w:val="20"/>
          <w:szCs w:val="20"/>
          <w:color w:val="auto"/>
        </w:rPr>
      </w:pPr>
      <w:r>
        <w:rPr>
          <w:rFonts w:ascii="Arial" w:cs="Arial" w:eastAsia="Arial" w:hAnsi="Arial"/>
          <w:sz w:val="12"/>
          <w:szCs w:val="12"/>
          <w:color w:val="auto"/>
        </w:rPr>
        <w:t>of the above named bank do hereby declare that this Report of Condition is true and correct to the best of my knowledge and belief.</w:t>
      </w:r>
    </w:p>
    <w:p>
      <w:pPr>
        <w:spacing w:after="0" w:line="105" w:lineRule="exact"/>
        <w:rPr>
          <w:sz w:val="20"/>
          <w:szCs w:val="20"/>
          <w:color w:val="auto"/>
        </w:rPr>
      </w:pPr>
    </w:p>
    <w:p>
      <w:pPr>
        <w:spacing w:after="0"/>
        <w:rPr>
          <w:sz w:val="20"/>
          <w:szCs w:val="20"/>
          <w:color w:val="auto"/>
        </w:rPr>
      </w:pPr>
      <w:r>
        <w:rPr>
          <w:rFonts w:ascii="Arial" w:cs="Arial" w:eastAsia="Arial" w:hAnsi="Arial"/>
          <w:sz w:val="13"/>
          <w:szCs w:val="13"/>
          <w:color w:val="auto"/>
        </w:rPr>
        <w:t>/s/ Troy Kilpatrick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2437765" cy="63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437765" cy="635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/s/ Frank Sulzberger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2437765" cy="63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437765" cy="635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/s/ William Lindelof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2437765" cy="63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437765" cy="6350"/>
                    </a:xfrm>
                    <a:prstGeom prst="rect">
                      <a:avLst/>
                    </a:prstGeom>
                    <a:noFill/>
                  </pic:spPr>
                </pic:pic>
              </a:graphicData>
            </a:graphic>
          </wp:anchor>
        </w:drawing>
        <w:drawing>
          <wp:anchor simplePos="0" relativeHeight="251657728" behindDoc="1" locked="0" layoutInCell="0" allowOverlap="1">
            <wp:simplePos x="0" y="0"/>
            <wp:positionH relativeFrom="column">
              <wp:posOffset>-3634105</wp:posOffset>
            </wp:positionH>
            <wp:positionV relativeFrom="paragraph">
              <wp:posOffset>126365</wp:posOffset>
            </wp:positionV>
            <wp:extent cx="7287895" cy="19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2">
            <w:col w:w="5000" w:space="720"/>
            <w:col w:w="5740"/>
          </w:cols>
          <w:pgMar w:left="220" w:top="733" w:right="21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3"/>
          <w:szCs w:val="13"/>
          <w:b w:val="1"/>
          <w:bCs w:val="1"/>
          <w:i w:val="1"/>
          <w:iCs w:val="1"/>
          <w:color w:val="auto"/>
        </w:rPr>
        <w:t>REPORT OF CONDITION</w:t>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color w:val="auto"/>
        </w:rPr>
        <w:t>Consolidating domestic subsidiaries of</w:t>
      </w:r>
    </w:p>
    <w:p>
      <w:pPr>
        <w:spacing w:after="0" w:line="90" w:lineRule="exact"/>
        <w:rPr>
          <w:sz w:val="20"/>
          <w:szCs w:val="20"/>
          <w:color w:val="auto"/>
        </w:rPr>
      </w:pPr>
    </w:p>
    <w:p>
      <w:pPr>
        <w:ind w:left="1040"/>
        <w:spacing w:after="0"/>
        <w:rPr>
          <w:sz w:val="20"/>
          <w:szCs w:val="20"/>
          <w:color w:val="auto"/>
        </w:rPr>
      </w:pPr>
      <w:r>
        <w:rPr>
          <w:rFonts w:ascii="Arial" w:cs="Arial" w:eastAsia="Arial" w:hAnsi="Arial"/>
          <w:sz w:val="13"/>
          <w:szCs w:val="13"/>
          <w:b w:val="1"/>
          <w:bCs w:val="1"/>
          <w:color w:val="auto"/>
        </w:rPr>
        <w:t>The Bank of New York Mellon Trust Company N. A.</w:t>
      </w:r>
    </w:p>
    <w:p>
      <w:pPr>
        <w:spacing w:after="0" w:line="24" w:lineRule="exact"/>
        <w:rPr>
          <w:sz w:val="20"/>
          <w:szCs w:val="20"/>
          <w:color w:val="auto"/>
        </w:rPr>
      </w:pPr>
    </w:p>
    <w:p>
      <w:pPr>
        <w:ind w:left="1040"/>
        <w:spacing w:after="0"/>
        <w:rPr>
          <w:sz w:val="20"/>
          <w:szCs w:val="20"/>
          <w:color w:val="auto"/>
        </w:rPr>
      </w:pPr>
      <w:r>
        <w:rPr>
          <w:rFonts w:ascii="Arial" w:cs="Arial" w:eastAsia="Arial" w:hAnsi="Arial"/>
          <w:sz w:val="13"/>
          <w:szCs w:val="13"/>
          <w:b w:val="1"/>
          <w:bCs w:val="1"/>
          <w:color w:val="auto"/>
        </w:rPr>
        <w:t>in the state of CA at close of business on June 30, 2009</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color w:val="auto"/>
        </w:rPr>
        <w:t>Published in response to call made by (Enter additional information below)</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Statement of Resources and Liabilities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6540" w:type="dxa"/>
            <w:vAlign w:val="bottom"/>
            <w:tcBorders>
              <w:bottom w:val="single" w:sz="8" w:color="auto"/>
            </w:tcBorders>
          </w:tcPr>
          <w:p>
            <w:pPr>
              <w:spacing w:after="0"/>
              <w:rPr>
                <w:sz w:val="10"/>
                <w:szCs w:val="10"/>
                <w:color w:val="auto"/>
              </w:rPr>
            </w:pPr>
          </w:p>
        </w:tc>
        <w:tc>
          <w:tcPr>
            <w:tcW w:w="4900" w:type="dxa"/>
            <w:vAlign w:val="bottom"/>
            <w:tcBorders>
              <w:bottom w:val="single" w:sz="8" w:color="auto"/>
            </w:tcBorders>
          </w:tcPr>
          <w:p>
            <w:pPr>
              <w:jc w:val="right"/>
              <w:ind w:right="554"/>
              <w:spacing w:after="0"/>
              <w:rPr>
                <w:sz w:val="20"/>
                <w:szCs w:val="20"/>
                <w:color w:val="auto"/>
              </w:rPr>
            </w:pPr>
            <w:r>
              <w:rPr>
                <w:rFonts w:ascii="Arial" w:cs="Arial" w:eastAsia="Arial" w:hAnsi="Arial"/>
                <w:sz w:val="11"/>
                <w:szCs w:val="11"/>
                <w:color w:val="auto"/>
              </w:rPr>
              <w:t>Dollar Amounts in Thousands</w:t>
            </w:r>
          </w:p>
        </w:tc>
      </w:tr>
      <w:tr>
        <w:trPr>
          <w:trHeight w:val="151"/>
        </w:trPr>
        <w:tc>
          <w:tcPr>
            <w:tcW w:w="20" w:type="dxa"/>
            <w:vAlign w:val="bottom"/>
          </w:tcPr>
          <w:p>
            <w:pPr>
              <w:spacing w:after="0"/>
              <w:rPr>
                <w:sz w:val="13"/>
                <w:szCs w:val="13"/>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ASSETS</w:t>
            </w:r>
          </w:p>
        </w:tc>
        <w:tc>
          <w:tcPr>
            <w:tcW w:w="4900" w:type="dxa"/>
            <w:vAlign w:val="bottom"/>
            <w:shd w:val="clear" w:color="auto" w:fill="CCEEFF"/>
          </w:tcPr>
          <w:p>
            <w:pPr>
              <w:spacing w:after="0"/>
              <w:rPr>
                <w:sz w:val="13"/>
                <w:szCs w:val="13"/>
                <w:color w:val="auto"/>
              </w:rPr>
            </w:pPr>
          </w:p>
        </w:tc>
      </w:tr>
      <w:tr>
        <w:trPr>
          <w:trHeight w:val="161"/>
        </w:trPr>
        <w:tc>
          <w:tcPr>
            <w:tcW w:w="20" w:type="dxa"/>
            <w:vAlign w:val="bottom"/>
          </w:tcPr>
          <w:p>
            <w:pPr>
              <w:spacing w:after="0"/>
              <w:rPr>
                <w:sz w:val="14"/>
                <w:szCs w:val="14"/>
                <w:color w:val="auto"/>
              </w:rPr>
            </w:pPr>
          </w:p>
        </w:tc>
        <w:tc>
          <w:tcPr>
            <w:tcW w:w="6540" w:type="dxa"/>
            <w:vAlign w:val="bottom"/>
          </w:tcPr>
          <w:p>
            <w:pPr>
              <w:spacing w:after="0"/>
              <w:rPr>
                <w:sz w:val="20"/>
                <w:szCs w:val="20"/>
                <w:color w:val="auto"/>
              </w:rPr>
            </w:pPr>
            <w:r>
              <w:rPr>
                <w:rFonts w:ascii="Arial" w:cs="Arial" w:eastAsia="Arial" w:hAnsi="Arial"/>
                <w:sz w:val="13"/>
                <w:szCs w:val="13"/>
                <w:color w:val="auto"/>
              </w:rPr>
              <w:t>Cash and balances due from depository institutions:</w:t>
            </w:r>
          </w:p>
        </w:tc>
        <w:tc>
          <w:tcPr>
            <w:tcW w:w="490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65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Noninterest-bearing balances and currency and coin</w:t>
            </w:r>
          </w:p>
        </w:tc>
        <w:tc>
          <w:tcPr>
            <w:tcW w:w="4900" w:type="dxa"/>
            <w:vAlign w:val="bottom"/>
            <w:shd w:val="clear" w:color="auto" w:fill="CCEEFF"/>
          </w:tcPr>
          <w:p>
            <w:pPr>
              <w:jc w:val="right"/>
              <w:ind w:right="274"/>
              <w:spacing w:after="0"/>
              <w:rPr>
                <w:sz w:val="20"/>
                <w:szCs w:val="20"/>
                <w:color w:val="auto"/>
              </w:rPr>
            </w:pPr>
            <w:r>
              <w:rPr>
                <w:rFonts w:ascii="Arial" w:cs="Arial" w:eastAsia="Arial" w:hAnsi="Arial"/>
                <w:sz w:val="13"/>
                <w:szCs w:val="13"/>
                <w:b w:val="1"/>
                <w:bCs w:val="1"/>
                <w:color w:val="auto"/>
              </w:rPr>
              <w:t>4,627</w:t>
            </w:r>
          </w:p>
        </w:tc>
      </w:tr>
      <w:tr>
        <w:trPr>
          <w:trHeight w:val="161"/>
        </w:trPr>
        <w:tc>
          <w:tcPr>
            <w:tcW w:w="20" w:type="dxa"/>
            <w:vAlign w:val="bottom"/>
          </w:tcPr>
          <w:p>
            <w:pPr>
              <w:spacing w:after="0"/>
              <w:rPr>
                <w:sz w:val="14"/>
                <w:szCs w:val="14"/>
                <w:color w:val="auto"/>
              </w:rPr>
            </w:pPr>
          </w:p>
        </w:tc>
        <w:tc>
          <w:tcPr>
            <w:tcW w:w="6540" w:type="dxa"/>
            <w:vAlign w:val="bottom"/>
          </w:tcPr>
          <w:p>
            <w:pPr>
              <w:ind w:left="140"/>
              <w:spacing w:after="0"/>
              <w:rPr>
                <w:sz w:val="20"/>
                <w:szCs w:val="20"/>
                <w:color w:val="auto"/>
              </w:rPr>
            </w:pPr>
            <w:r>
              <w:rPr>
                <w:rFonts w:ascii="Arial" w:cs="Arial" w:eastAsia="Arial" w:hAnsi="Arial"/>
                <w:sz w:val="13"/>
                <w:szCs w:val="13"/>
                <w:color w:val="auto"/>
              </w:rPr>
              <w:t>Interest-bearing balances</w:t>
            </w:r>
          </w:p>
        </w:tc>
        <w:tc>
          <w:tcPr>
            <w:tcW w:w="4900" w:type="dxa"/>
            <w:vAlign w:val="bottom"/>
          </w:tcPr>
          <w:p>
            <w:pPr>
              <w:jc w:val="right"/>
              <w:ind w:right="274"/>
              <w:spacing w:after="0"/>
              <w:rPr>
                <w:sz w:val="20"/>
                <w:szCs w:val="20"/>
                <w:color w:val="auto"/>
              </w:rPr>
            </w:pPr>
            <w:r>
              <w:rPr>
                <w:rFonts w:ascii="Arial" w:cs="Arial" w:eastAsia="Arial" w:hAnsi="Arial"/>
                <w:sz w:val="13"/>
                <w:szCs w:val="13"/>
                <w:b w:val="1"/>
                <w:bCs w:val="1"/>
                <w:color w:val="auto"/>
              </w:rPr>
              <w:t>111,263</w:t>
            </w:r>
          </w:p>
        </w:tc>
      </w:tr>
      <w:tr>
        <w:trPr>
          <w:trHeight w:val="161"/>
        </w:trPr>
        <w:tc>
          <w:tcPr>
            <w:tcW w:w="20" w:type="dxa"/>
            <w:vAlign w:val="bottom"/>
          </w:tcPr>
          <w:p>
            <w:pPr>
              <w:spacing w:after="0"/>
              <w:rPr>
                <w:sz w:val="14"/>
                <w:szCs w:val="14"/>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3"/>
                <w:szCs w:val="13"/>
                <w:color w:val="auto"/>
              </w:rPr>
              <w:t>Securities:</w:t>
            </w:r>
          </w:p>
        </w:tc>
        <w:tc>
          <w:tcPr>
            <w:tcW w:w="4900" w:type="dxa"/>
            <w:vAlign w:val="bottom"/>
            <w:shd w:val="clear" w:color="auto" w:fill="CCEEFF"/>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6540" w:type="dxa"/>
            <w:vAlign w:val="bottom"/>
          </w:tcPr>
          <w:p>
            <w:pPr>
              <w:ind w:left="140"/>
              <w:spacing w:after="0"/>
              <w:rPr>
                <w:sz w:val="20"/>
                <w:szCs w:val="20"/>
                <w:color w:val="auto"/>
              </w:rPr>
            </w:pPr>
            <w:r>
              <w:rPr>
                <w:rFonts w:ascii="Arial" w:cs="Arial" w:eastAsia="Arial" w:hAnsi="Arial"/>
                <w:sz w:val="13"/>
                <w:szCs w:val="13"/>
                <w:color w:val="auto"/>
              </w:rPr>
              <w:t>Held-to-maturity securities</w:t>
            </w:r>
          </w:p>
        </w:tc>
        <w:tc>
          <w:tcPr>
            <w:tcW w:w="4900" w:type="dxa"/>
            <w:vAlign w:val="bottom"/>
          </w:tcPr>
          <w:p>
            <w:pPr>
              <w:jc w:val="right"/>
              <w:ind w:right="274"/>
              <w:spacing w:after="0"/>
              <w:rPr>
                <w:sz w:val="20"/>
                <w:szCs w:val="20"/>
                <w:color w:val="auto"/>
              </w:rPr>
            </w:pPr>
            <w:r>
              <w:rPr>
                <w:rFonts w:ascii="Arial" w:cs="Arial" w:eastAsia="Arial" w:hAnsi="Arial"/>
                <w:sz w:val="13"/>
                <w:szCs w:val="13"/>
                <w:b w:val="1"/>
                <w:bCs w:val="1"/>
                <w:color w:val="auto"/>
              </w:rPr>
              <w:t>22</w:t>
            </w:r>
          </w:p>
        </w:tc>
      </w:tr>
      <w:tr>
        <w:trPr>
          <w:trHeight w:val="161"/>
        </w:trPr>
        <w:tc>
          <w:tcPr>
            <w:tcW w:w="20" w:type="dxa"/>
            <w:vAlign w:val="bottom"/>
          </w:tcPr>
          <w:p>
            <w:pPr>
              <w:spacing w:after="0"/>
              <w:rPr>
                <w:sz w:val="14"/>
                <w:szCs w:val="14"/>
                <w:color w:val="auto"/>
              </w:rPr>
            </w:pPr>
          </w:p>
        </w:tc>
        <w:tc>
          <w:tcPr>
            <w:tcW w:w="65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Available-for-sale securities</w:t>
            </w:r>
          </w:p>
        </w:tc>
        <w:tc>
          <w:tcPr>
            <w:tcW w:w="4900" w:type="dxa"/>
            <w:vAlign w:val="bottom"/>
            <w:shd w:val="clear" w:color="auto" w:fill="CCEEFF"/>
          </w:tcPr>
          <w:p>
            <w:pPr>
              <w:jc w:val="right"/>
              <w:ind w:right="274"/>
              <w:spacing w:after="0"/>
              <w:rPr>
                <w:sz w:val="20"/>
                <w:szCs w:val="20"/>
                <w:color w:val="auto"/>
              </w:rPr>
            </w:pPr>
            <w:r>
              <w:rPr>
                <w:rFonts w:ascii="Arial" w:cs="Arial" w:eastAsia="Arial" w:hAnsi="Arial"/>
                <w:sz w:val="13"/>
                <w:szCs w:val="13"/>
                <w:b w:val="1"/>
                <w:bCs w:val="1"/>
                <w:color w:val="auto"/>
              </w:rPr>
              <w:t>492,259</w:t>
            </w:r>
          </w:p>
        </w:tc>
      </w:tr>
      <w:tr>
        <w:trPr>
          <w:trHeight w:val="161"/>
        </w:trPr>
        <w:tc>
          <w:tcPr>
            <w:tcW w:w="20" w:type="dxa"/>
            <w:vAlign w:val="bottom"/>
          </w:tcPr>
          <w:p>
            <w:pPr>
              <w:spacing w:after="0"/>
              <w:rPr>
                <w:sz w:val="14"/>
                <w:szCs w:val="14"/>
                <w:color w:val="auto"/>
              </w:rPr>
            </w:pPr>
          </w:p>
        </w:tc>
        <w:tc>
          <w:tcPr>
            <w:tcW w:w="6540" w:type="dxa"/>
            <w:vAlign w:val="bottom"/>
          </w:tcPr>
          <w:p>
            <w:pPr>
              <w:spacing w:after="0"/>
              <w:rPr>
                <w:sz w:val="20"/>
                <w:szCs w:val="20"/>
                <w:color w:val="auto"/>
              </w:rPr>
            </w:pPr>
            <w:r>
              <w:rPr>
                <w:rFonts w:ascii="Arial" w:cs="Arial" w:eastAsia="Arial" w:hAnsi="Arial"/>
                <w:sz w:val="13"/>
                <w:szCs w:val="13"/>
                <w:color w:val="auto"/>
              </w:rPr>
              <w:t>Federal funds sold and securities purchased under agreements to resell:</w:t>
            </w:r>
          </w:p>
        </w:tc>
        <w:tc>
          <w:tcPr>
            <w:tcW w:w="490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65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Federal funds sold</w:t>
            </w:r>
          </w:p>
        </w:tc>
        <w:tc>
          <w:tcPr>
            <w:tcW w:w="4900" w:type="dxa"/>
            <w:vAlign w:val="bottom"/>
            <w:shd w:val="clear" w:color="auto" w:fill="CCEEFF"/>
          </w:tcPr>
          <w:p>
            <w:pPr>
              <w:jc w:val="right"/>
              <w:ind w:right="274"/>
              <w:spacing w:after="0"/>
              <w:rPr>
                <w:sz w:val="20"/>
                <w:szCs w:val="20"/>
                <w:color w:val="auto"/>
              </w:rPr>
            </w:pPr>
            <w:r>
              <w:rPr>
                <w:rFonts w:ascii="Arial" w:cs="Arial" w:eastAsia="Arial" w:hAnsi="Arial"/>
                <w:sz w:val="13"/>
                <w:szCs w:val="13"/>
                <w:b w:val="1"/>
                <w:bCs w:val="1"/>
                <w:color w:val="auto"/>
              </w:rPr>
              <w:t>0</w:t>
            </w:r>
          </w:p>
        </w:tc>
      </w:tr>
      <w:tr>
        <w:trPr>
          <w:trHeight w:val="161"/>
        </w:trPr>
        <w:tc>
          <w:tcPr>
            <w:tcW w:w="20" w:type="dxa"/>
            <w:vAlign w:val="bottom"/>
          </w:tcPr>
          <w:p>
            <w:pPr>
              <w:spacing w:after="0"/>
              <w:rPr>
                <w:sz w:val="14"/>
                <w:szCs w:val="14"/>
                <w:color w:val="auto"/>
              </w:rPr>
            </w:pPr>
          </w:p>
        </w:tc>
        <w:tc>
          <w:tcPr>
            <w:tcW w:w="6540" w:type="dxa"/>
            <w:vAlign w:val="bottom"/>
          </w:tcPr>
          <w:p>
            <w:pPr>
              <w:ind w:left="140"/>
              <w:spacing w:after="0"/>
              <w:rPr>
                <w:sz w:val="20"/>
                <w:szCs w:val="20"/>
                <w:color w:val="auto"/>
              </w:rPr>
            </w:pPr>
            <w:r>
              <w:rPr>
                <w:rFonts w:ascii="Arial" w:cs="Arial" w:eastAsia="Arial" w:hAnsi="Arial"/>
                <w:sz w:val="13"/>
                <w:szCs w:val="13"/>
                <w:color w:val="auto"/>
              </w:rPr>
              <w:t>Securities purchased under agreements to resell</w:t>
            </w:r>
          </w:p>
        </w:tc>
        <w:tc>
          <w:tcPr>
            <w:tcW w:w="4900" w:type="dxa"/>
            <w:vAlign w:val="bottom"/>
          </w:tcPr>
          <w:p>
            <w:pPr>
              <w:jc w:val="right"/>
              <w:ind w:right="274"/>
              <w:spacing w:after="0"/>
              <w:rPr>
                <w:sz w:val="20"/>
                <w:szCs w:val="20"/>
                <w:color w:val="auto"/>
              </w:rPr>
            </w:pPr>
            <w:r>
              <w:rPr>
                <w:rFonts w:ascii="Arial" w:cs="Arial" w:eastAsia="Arial" w:hAnsi="Arial"/>
                <w:sz w:val="13"/>
                <w:szCs w:val="13"/>
                <w:b w:val="1"/>
                <w:bCs w:val="1"/>
                <w:color w:val="auto"/>
              </w:rPr>
              <w:t>0</w:t>
            </w:r>
          </w:p>
        </w:tc>
      </w:tr>
      <w:tr>
        <w:trPr>
          <w:trHeight w:val="161"/>
        </w:trPr>
        <w:tc>
          <w:tcPr>
            <w:tcW w:w="20" w:type="dxa"/>
            <w:vAlign w:val="bottom"/>
          </w:tcPr>
          <w:p>
            <w:pPr>
              <w:spacing w:after="0"/>
              <w:rPr>
                <w:sz w:val="14"/>
                <w:szCs w:val="14"/>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3"/>
                <w:szCs w:val="13"/>
                <w:color w:val="auto"/>
              </w:rPr>
              <w:t>Loans and lease financing receivables:</w:t>
            </w:r>
          </w:p>
        </w:tc>
        <w:tc>
          <w:tcPr>
            <w:tcW w:w="4900" w:type="dxa"/>
            <w:vAlign w:val="bottom"/>
            <w:shd w:val="clear" w:color="auto" w:fill="CCEEFF"/>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6540" w:type="dxa"/>
            <w:vAlign w:val="bottom"/>
          </w:tcPr>
          <w:p>
            <w:pPr>
              <w:ind w:left="140"/>
              <w:spacing w:after="0"/>
              <w:rPr>
                <w:sz w:val="20"/>
                <w:szCs w:val="20"/>
                <w:color w:val="auto"/>
              </w:rPr>
            </w:pPr>
            <w:r>
              <w:rPr>
                <w:rFonts w:ascii="Arial" w:cs="Arial" w:eastAsia="Arial" w:hAnsi="Arial"/>
                <w:sz w:val="13"/>
                <w:szCs w:val="13"/>
                <w:color w:val="auto"/>
              </w:rPr>
              <w:t>Loans and leases held for sale</w:t>
            </w:r>
          </w:p>
        </w:tc>
        <w:tc>
          <w:tcPr>
            <w:tcW w:w="4900" w:type="dxa"/>
            <w:vAlign w:val="bottom"/>
          </w:tcPr>
          <w:p>
            <w:pPr>
              <w:jc w:val="right"/>
              <w:ind w:right="274"/>
              <w:spacing w:after="0"/>
              <w:rPr>
                <w:sz w:val="20"/>
                <w:szCs w:val="20"/>
                <w:color w:val="auto"/>
              </w:rPr>
            </w:pPr>
            <w:r>
              <w:rPr>
                <w:rFonts w:ascii="Arial" w:cs="Arial" w:eastAsia="Arial" w:hAnsi="Arial"/>
                <w:sz w:val="13"/>
                <w:szCs w:val="13"/>
                <w:b w:val="1"/>
                <w:bCs w:val="1"/>
                <w:color w:val="auto"/>
              </w:rPr>
              <w:t>0</w:t>
            </w:r>
          </w:p>
        </w:tc>
      </w:tr>
      <w:tr>
        <w:trPr>
          <w:trHeight w:val="161"/>
        </w:trPr>
        <w:tc>
          <w:tcPr>
            <w:tcW w:w="20" w:type="dxa"/>
            <w:vAlign w:val="bottom"/>
          </w:tcPr>
          <w:p>
            <w:pPr>
              <w:spacing w:after="0"/>
              <w:rPr>
                <w:sz w:val="14"/>
                <w:szCs w:val="14"/>
                <w:color w:val="auto"/>
              </w:rPr>
            </w:pPr>
          </w:p>
        </w:tc>
        <w:tc>
          <w:tcPr>
            <w:tcW w:w="65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Loans and leases, net of unearned income</w:t>
            </w:r>
          </w:p>
        </w:tc>
        <w:tc>
          <w:tcPr>
            <w:tcW w:w="4900" w:type="dxa"/>
            <w:vAlign w:val="bottom"/>
            <w:shd w:val="clear" w:color="auto" w:fill="CCEEFF"/>
          </w:tcPr>
          <w:p>
            <w:pPr>
              <w:jc w:val="right"/>
              <w:ind w:right="2034"/>
              <w:spacing w:after="0"/>
              <w:rPr>
                <w:sz w:val="20"/>
                <w:szCs w:val="20"/>
                <w:color w:val="auto"/>
              </w:rPr>
            </w:pPr>
            <w:r>
              <w:rPr>
                <w:rFonts w:ascii="Arial" w:cs="Arial" w:eastAsia="Arial" w:hAnsi="Arial"/>
                <w:sz w:val="13"/>
                <w:szCs w:val="13"/>
                <w:b w:val="1"/>
                <w:bCs w:val="1"/>
                <w:color w:val="auto"/>
              </w:rPr>
              <w:t>0</w:t>
            </w:r>
          </w:p>
        </w:tc>
      </w:tr>
      <w:tr>
        <w:trPr>
          <w:trHeight w:val="161"/>
        </w:trPr>
        <w:tc>
          <w:tcPr>
            <w:tcW w:w="20" w:type="dxa"/>
            <w:vAlign w:val="bottom"/>
          </w:tcPr>
          <w:p>
            <w:pPr>
              <w:spacing w:after="0"/>
              <w:rPr>
                <w:sz w:val="14"/>
                <w:szCs w:val="14"/>
                <w:color w:val="auto"/>
              </w:rPr>
            </w:pPr>
          </w:p>
        </w:tc>
        <w:tc>
          <w:tcPr>
            <w:tcW w:w="6540" w:type="dxa"/>
            <w:vAlign w:val="bottom"/>
          </w:tcPr>
          <w:p>
            <w:pPr>
              <w:ind w:left="140"/>
              <w:spacing w:after="0"/>
              <w:rPr>
                <w:sz w:val="20"/>
                <w:szCs w:val="20"/>
                <w:color w:val="auto"/>
              </w:rPr>
            </w:pPr>
            <w:r>
              <w:rPr>
                <w:rFonts w:ascii="Arial" w:cs="Arial" w:eastAsia="Arial" w:hAnsi="Arial"/>
                <w:sz w:val="13"/>
                <w:szCs w:val="13"/>
                <w:color w:val="auto"/>
              </w:rPr>
              <w:t>LESS: Allowance for loan and lease losses</w:t>
            </w:r>
          </w:p>
        </w:tc>
        <w:tc>
          <w:tcPr>
            <w:tcW w:w="4900" w:type="dxa"/>
            <w:vAlign w:val="bottom"/>
          </w:tcPr>
          <w:p>
            <w:pPr>
              <w:jc w:val="right"/>
              <w:ind w:right="2034"/>
              <w:spacing w:after="0"/>
              <w:rPr>
                <w:sz w:val="20"/>
                <w:szCs w:val="20"/>
                <w:color w:val="auto"/>
              </w:rPr>
            </w:pPr>
            <w:r>
              <w:rPr>
                <w:rFonts w:ascii="Arial" w:cs="Arial" w:eastAsia="Arial" w:hAnsi="Arial"/>
                <w:sz w:val="13"/>
                <w:szCs w:val="13"/>
                <w:b w:val="1"/>
                <w:bCs w:val="1"/>
                <w:color w:val="auto"/>
              </w:rPr>
              <w:t>0</w:t>
            </w:r>
          </w:p>
        </w:tc>
      </w:tr>
      <w:tr>
        <w:trPr>
          <w:trHeight w:val="161"/>
        </w:trPr>
        <w:tc>
          <w:tcPr>
            <w:tcW w:w="20" w:type="dxa"/>
            <w:vAlign w:val="bottom"/>
          </w:tcPr>
          <w:p>
            <w:pPr>
              <w:spacing w:after="0"/>
              <w:rPr>
                <w:sz w:val="14"/>
                <w:szCs w:val="14"/>
                <w:color w:val="auto"/>
              </w:rPr>
            </w:pPr>
          </w:p>
        </w:tc>
        <w:tc>
          <w:tcPr>
            <w:tcW w:w="65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Loans and leases, net of unearned income and allowance</w:t>
            </w:r>
          </w:p>
        </w:tc>
        <w:tc>
          <w:tcPr>
            <w:tcW w:w="4900" w:type="dxa"/>
            <w:vAlign w:val="bottom"/>
            <w:shd w:val="clear" w:color="auto" w:fill="CCEEFF"/>
          </w:tcPr>
          <w:p>
            <w:pPr>
              <w:jc w:val="right"/>
              <w:ind w:right="274"/>
              <w:spacing w:after="0"/>
              <w:rPr>
                <w:sz w:val="20"/>
                <w:szCs w:val="20"/>
                <w:color w:val="auto"/>
              </w:rPr>
            </w:pPr>
            <w:r>
              <w:rPr>
                <w:rFonts w:ascii="Arial" w:cs="Arial" w:eastAsia="Arial" w:hAnsi="Arial"/>
                <w:sz w:val="13"/>
                <w:szCs w:val="13"/>
                <w:b w:val="1"/>
                <w:bCs w:val="1"/>
                <w:color w:val="auto"/>
              </w:rPr>
              <w:t>0</w:t>
            </w:r>
          </w:p>
        </w:tc>
      </w:tr>
      <w:tr>
        <w:trPr>
          <w:trHeight w:val="161"/>
        </w:trPr>
        <w:tc>
          <w:tcPr>
            <w:tcW w:w="20" w:type="dxa"/>
            <w:vAlign w:val="bottom"/>
          </w:tcPr>
          <w:p>
            <w:pPr>
              <w:spacing w:after="0"/>
              <w:rPr>
                <w:sz w:val="14"/>
                <w:szCs w:val="14"/>
                <w:color w:val="auto"/>
              </w:rPr>
            </w:pPr>
          </w:p>
        </w:tc>
        <w:tc>
          <w:tcPr>
            <w:tcW w:w="6540" w:type="dxa"/>
            <w:vAlign w:val="bottom"/>
          </w:tcPr>
          <w:p>
            <w:pPr>
              <w:spacing w:after="0"/>
              <w:rPr>
                <w:sz w:val="20"/>
                <w:szCs w:val="20"/>
                <w:color w:val="auto"/>
              </w:rPr>
            </w:pPr>
            <w:r>
              <w:rPr>
                <w:rFonts w:ascii="Arial" w:cs="Arial" w:eastAsia="Arial" w:hAnsi="Arial"/>
                <w:sz w:val="13"/>
                <w:szCs w:val="13"/>
                <w:color w:val="auto"/>
              </w:rPr>
              <w:t>Trading Assets</w:t>
            </w:r>
          </w:p>
        </w:tc>
        <w:tc>
          <w:tcPr>
            <w:tcW w:w="4900" w:type="dxa"/>
            <w:vAlign w:val="bottom"/>
          </w:tcPr>
          <w:p>
            <w:pPr>
              <w:jc w:val="right"/>
              <w:ind w:right="274"/>
              <w:spacing w:after="0"/>
              <w:rPr>
                <w:sz w:val="20"/>
                <w:szCs w:val="20"/>
                <w:color w:val="auto"/>
              </w:rPr>
            </w:pPr>
            <w:r>
              <w:rPr>
                <w:rFonts w:ascii="Arial" w:cs="Arial" w:eastAsia="Arial" w:hAnsi="Arial"/>
                <w:sz w:val="13"/>
                <w:szCs w:val="13"/>
                <w:b w:val="1"/>
                <w:bCs w:val="1"/>
                <w:color w:val="auto"/>
              </w:rPr>
              <w:t>0</w:t>
            </w:r>
          </w:p>
        </w:tc>
      </w:tr>
      <w:tr>
        <w:trPr>
          <w:trHeight w:val="161"/>
        </w:trPr>
        <w:tc>
          <w:tcPr>
            <w:tcW w:w="20" w:type="dxa"/>
            <w:vAlign w:val="bottom"/>
          </w:tcPr>
          <w:p>
            <w:pPr>
              <w:spacing w:after="0"/>
              <w:rPr>
                <w:sz w:val="14"/>
                <w:szCs w:val="14"/>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3"/>
                <w:szCs w:val="13"/>
                <w:color w:val="auto"/>
              </w:rPr>
              <w:t>Premises and fixed assets (including capitalized leases)</w:t>
            </w:r>
          </w:p>
        </w:tc>
        <w:tc>
          <w:tcPr>
            <w:tcW w:w="4900" w:type="dxa"/>
            <w:vAlign w:val="bottom"/>
            <w:shd w:val="clear" w:color="auto" w:fill="CCEEFF"/>
          </w:tcPr>
          <w:p>
            <w:pPr>
              <w:jc w:val="right"/>
              <w:ind w:right="274"/>
              <w:spacing w:after="0"/>
              <w:rPr>
                <w:sz w:val="20"/>
                <w:szCs w:val="20"/>
                <w:color w:val="auto"/>
              </w:rPr>
            </w:pPr>
            <w:r>
              <w:rPr>
                <w:rFonts w:ascii="Arial" w:cs="Arial" w:eastAsia="Arial" w:hAnsi="Arial"/>
                <w:sz w:val="13"/>
                <w:szCs w:val="13"/>
                <w:b w:val="1"/>
                <w:bCs w:val="1"/>
                <w:color w:val="auto"/>
              </w:rPr>
              <w:t>11,783</w:t>
            </w:r>
          </w:p>
        </w:tc>
      </w:tr>
      <w:tr>
        <w:trPr>
          <w:trHeight w:val="161"/>
        </w:trPr>
        <w:tc>
          <w:tcPr>
            <w:tcW w:w="20" w:type="dxa"/>
            <w:vAlign w:val="bottom"/>
          </w:tcPr>
          <w:p>
            <w:pPr>
              <w:spacing w:after="0"/>
              <w:rPr>
                <w:sz w:val="14"/>
                <w:szCs w:val="14"/>
                <w:color w:val="auto"/>
              </w:rPr>
            </w:pPr>
          </w:p>
        </w:tc>
        <w:tc>
          <w:tcPr>
            <w:tcW w:w="6540" w:type="dxa"/>
            <w:vAlign w:val="bottom"/>
          </w:tcPr>
          <w:p>
            <w:pPr>
              <w:spacing w:after="0"/>
              <w:rPr>
                <w:sz w:val="20"/>
                <w:szCs w:val="20"/>
                <w:color w:val="auto"/>
              </w:rPr>
            </w:pPr>
            <w:r>
              <w:rPr>
                <w:rFonts w:ascii="Arial" w:cs="Arial" w:eastAsia="Arial" w:hAnsi="Arial"/>
                <w:sz w:val="13"/>
                <w:szCs w:val="13"/>
                <w:color w:val="auto"/>
              </w:rPr>
              <w:t>Other real estate owned</w:t>
            </w:r>
          </w:p>
        </w:tc>
        <w:tc>
          <w:tcPr>
            <w:tcW w:w="4900" w:type="dxa"/>
            <w:vAlign w:val="bottom"/>
          </w:tcPr>
          <w:p>
            <w:pPr>
              <w:jc w:val="right"/>
              <w:ind w:right="274"/>
              <w:spacing w:after="0"/>
              <w:rPr>
                <w:sz w:val="20"/>
                <w:szCs w:val="20"/>
                <w:color w:val="auto"/>
              </w:rPr>
            </w:pPr>
            <w:r>
              <w:rPr>
                <w:rFonts w:ascii="Arial" w:cs="Arial" w:eastAsia="Arial" w:hAnsi="Arial"/>
                <w:sz w:val="13"/>
                <w:szCs w:val="13"/>
                <w:b w:val="1"/>
                <w:bCs w:val="1"/>
                <w:color w:val="auto"/>
              </w:rPr>
              <w:t>0</w:t>
            </w:r>
          </w:p>
        </w:tc>
      </w:tr>
      <w:tr>
        <w:trPr>
          <w:trHeight w:val="161"/>
        </w:trPr>
        <w:tc>
          <w:tcPr>
            <w:tcW w:w="20" w:type="dxa"/>
            <w:vAlign w:val="bottom"/>
          </w:tcPr>
          <w:p>
            <w:pPr>
              <w:spacing w:after="0"/>
              <w:rPr>
                <w:sz w:val="14"/>
                <w:szCs w:val="14"/>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3"/>
                <w:szCs w:val="13"/>
                <w:color w:val="auto"/>
              </w:rPr>
              <w:t>Investments in unconsolidated subsidiaries and associated companies</w:t>
            </w:r>
          </w:p>
        </w:tc>
        <w:tc>
          <w:tcPr>
            <w:tcW w:w="4900" w:type="dxa"/>
            <w:vAlign w:val="bottom"/>
            <w:shd w:val="clear" w:color="auto" w:fill="CCEEFF"/>
          </w:tcPr>
          <w:p>
            <w:pPr>
              <w:jc w:val="right"/>
              <w:ind w:right="274"/>
              <w:spacing w:after="0"/>
              <w:rPr>
                <w:sz w:val="20"/>
                <w:szCs w:val="20"/>
                <w:color w:val="auto"/>
              </w:rPr>
            </w:pPr>
            <w:r>
              <w:rPr>
                <w:rFonts w:ascii="Arial" w:cs="Arial" w:eastAsia="Arial" w:hAnsi="Arial"/>
                <w:sz w:val="13"/>
                <w:szCs w:val="13"/>
                <w:b w:val="1"/>
                <w:bCs w:val="1"/>
                <w:color w:val="auto"/>
              </w:rPr>
              <w:t>1</w:t>
            </w:r>
          </w:p>
        </w:tc>
      </w:tr>
      <w:tr>
        <w:trPr>
          <w:trHeight w:val="161"/>
        </w:trPr>
        <w:tc>
          <w:tcPr>
            <w:tcW w:w="20" w:type="dxa"/>
            <w:vAlign w:val="bottom"/>
          </w:tcPr>
          <w:p>
            <w:pPr>
              <w:spacing w:after="0"/>
              <w:rPr>
                <w:sz w:val="14"/>
                <w:szCs w:val="14"/>
                <w:color w:val="auto"/>
              </w:rPr>
            </w:pPr>
          </w:p>
        </w:tc>
        <w:tc>
          <w:tcPr>
            <w:tcW w:w="6540" w:type="dxa"/>
            <w:vAlign w:val="bottom"/>
          </w:tcPr>
          <w:p>
            <w:pPr>
              <w:spacing w:after="0"/>
              <w:rPr>
                <w:sz w:val="20"/>
                <w:szCs w:val="20"/>
                <w:color w:val="auto"/>
              </w:rPr>
            </w:pPr>
            <w:r>
              <w:rPr>
                <w:rFonts w:ascii="Arial" w:cs="Arial" w:eastAsia="Arial" w:hAnsi="Arial"/>
                <w:sz w:val="13"/>
                <w:szCs w:val="13"/>
                <w:b w:val="1"/>
                <w:bCs w:val="1"/>
                <w:color w:val="auto"/>
              </w:rPr>
              <w:t>Direct and indirect investments in real estate ventures</w:t>
            </w:r>
          </w:p>
        </w:tc>
        <w:tc>
          <w:tcPr>
            <w:tcW w:w="4900" w:type="dxa"/>
            <w:vAlign w:val="bottom"/>
          </w:tcPr>
          <w:p>
            <w:pPr>
              <w:jc w:val="right"/>
              <w:ind w:right="274"/>
              <w:spacing w:after="0"/>
              <w:rPr>
                <w:sz w:val="20"/>
                <w:szCs w:val="20"/>
                <w:color w:val="auto"/>
              </w:rPr>
            </w:pPr>
            <w:r>
              <w:rPr>
                <w:rFonts w:ascii="Arial" w:cs="Arial" w:eastAsia="Arial" w:hAnsi="Arial"/>
                <w:sz w:val="13"/>
                <w:szCs w:val="13"/>
                <w:b w:val="1"/>
                <w:bCs w:val="1"/>
                <w:color w:val="auto"/>
              </w:rPr>
              <w:t>0</w:t>
            </w:r>
          </w:p>
        </w:tc>
      </w:tr>
      <w:tr>
        <w:trPr>
          <w:trHeight w:val="161"/>
        </w:trPr>
        <w:tc>
          <w:tcPr>
            <w:tcW w:w="20" w:type="dxa"/>
            <w:vAlign w:val="bottom"/>
          </w:tcPr>
          <w:p>
            <w:pPr>
              <w:spacing w:after="0"/>
              <w:rPr>
                <w:sz w:val="14"/>
                <w:szCs w:val="14"/>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3"/>
                <w:szCs w:val="13"/>
                <w:color w:val="auto"/>
              </w:rPr>
              <w:t>Intangible assets:</w:t>
            </w:r>
          </w:p>
        </w:tc>
        <w:tc>
          <w:tcPr>
            <w:tcW w:w="4900" w:type="dxa"/>
            <w:vAlign w:val="bottom"/>
            <w:shd w:val="clear" w:color="auto" w:fill="CCEEFF"/>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6540" w:type="dxa"/>
            <w:vAlign w:val="bottom"/>
          </w:tcPr>
          <w:p>
            <w:pPr>
              <w:ind w:left="140"/>
              <w:spacing w:after="0"/>
              <w:rPr>
                <w:sz w:val="20"/>
                <w:szCs w:val="20"/>
                <w:color w:val="auto"/>
              </w:rPr>
            </w:pPr>
            <w:r>
              <w:rPr>
                <w:rFonts w:ascii="Arial" w:cs="Arial" w:eastAsia="Arial" w:hAnsi="Arial"/>
                <w:sz w:val="13"/>
                <w:szCs w:val="13"/>
                <w:color w:val="auto"/>
              </w:rPr>
              <w:t>Goodwill</w:t>
            </w:r>
          </w:p>
        </w:tc>
        <w:tc>
          <w:tcPr>
            <w:tcW w:w="4900" w:type="dxa"/>
            <w:vAlign w:val="bottom"/>
          </w:tcPr>
          <w:p>
            <w:pPr>
              <w:jc w:val="right"/>
              <w:ind w:right="274"/>
              <w:spacing w:after="0"/>
              <w:rPr>
                <w:sz w:val="20"/>
                <w:szCs w:val="20"/>
                <w:color w:val="auto"/>
              </w:rPr>
            </w:pPr>
            <w:r>
              <w:rPr>
                <w:rFonts w:ascii="Arial" w:cs="Arial" w:eastAsia="Arial" w:hAnsi="Arial"/>
                <w:sz w:val="13"/>
                <w:szCs w:val="13"/>
                <w:b w:val="1"/>
                <w:bCs w:val="1"/>
                <w:color w:val="auto"/>
              </w:rPr>
              <w:t>876,153</w:t>
            </w:r>
          </w:p>
        </w:tc>
      </w:tr>
      <w:tr>
        <w:trPr>
          <w:trHeight w:val="161"/>
        </w:trPr>
        <w:tc>
          <w:tcPr>
            <w:tcW w:w="20" w:type="dxa"/>
            <w:vAlign w:val="bottom"/>
          </w:tcPr>
          <w:p>
            <w:pPr>
              <w:spacing w:after="0"/>
              <w:rPr>
                <w:sz w:val="14"/>
                <w:szCs w:val="14"/>
                <w:color w:val="auto"/>
              </w:rPr>
            </w:pPr>
          </w:p>
        </w:tc>
        <w:tc>
          <w:tcPr>
            <w:tcW w:w="65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intangible assets</w:t>
            </w:r>
          </w:p>
        </w:tc>
        <w:tc>
          <w:tcPr>
            <w:tcW w:w="4900" w:type="dxa"/>
            <w:vAlign w:val="bottom"/>
            <w:shd w:val="clear" w:color="auto" w:fill="CCEEFF"/>
          </w:tcPr>
          <w:p>
            <w:pPr>
              <w:jc w:val="right"/>
              <w:ind w:right="274"/>
              <w:spacing w:after="0"/>
              <w:rPr>
                <w:sz w:val="20"/>
                <w:szCs w:val="20"/>
                <w:color w:val="auto"/>
              </w:rPr>
            </w:pPr>
            <w:r>
              <w:rPr>
                <w:rFonts w:ascii="Arial" w:cs="Arial" w:eastAsia="Arial" w:hAnsi="Arial"/>
                <w:sz w:val="13"/>
                <w:szCs w:val="13"/>
                <w:b w:val="1"/>
                <w:bCs w:val="1"/>
                <w:color w:val="auto"/>
              </w:rPr>
              <w:t>258,262</w:t>
            </w:r>
          </w:p>
        </w:tc>
      </w:tr>
      <w:tr>
        <w:trPr>
          <w:trHeight w:val="161"/>
        </w:trPr>
        <w:tc>
          <w:tcPr>
            <w:tcW w:w="20" w:type="dxa"/>
            <w:vAlign w:val="bottom"/>
          </w:tcPr>
          <w:p>
            <w:pPr>
              <w:spacing w:after="0"/>
              <w:rPr>
                <w:sz w:val="14"/>
                <w:szCs w:val="14"/>
                <w:color w:val="auto"/>
              </w:rPr>
            </w:pPr>
          </w:p>
        </w:tc>
        <w:tc>
          <w:tcPr>
            <w:tcW w:w="6540" w:type="dxa"/>
            <w:vAlign w:val="bottom"/>
          </w:tcPr>
          <w:p>
            <w:pPr>
              <w:spacing w:after="0"/>
              <w:rPr>
                <w:sz w:val="20"/>
                <w:szCs w:val="20"/>
                <w:color w:val="auto"/>
              </w:rPr>
            </w:pPr>
            <w:r>
              <w:rPr>
                <w:rFonts w:ascii="Arial" w:cs="Arial" w:eastAsia="Arial" w:hAnsi="Arial"/>
                <w:sz w:val="13"/>
                <w:szCs w:val="13"/>
                <w:color w:val="auto"/>
              </w:rPr>
              <w:t>Other assets</w:t>
            </w:r>
          </w:p>
        </w:tc>
        <w:tc>
          <w:tcPr>
            <w:tcW w:w="4900" w:type="dxa"/>
            <w:vAlign w:val="bottom"/>
          </w:tcPr>
          <w:p>
            <w:pPr>
              <w:jc w:val="right"/>
              <w:ind w:right="274"/>
              <w:spacing w:after="0"/>
              <w:rPr>
                <w:sz w:val="20"/>
                <w:szCs w:val="20"/>
                <w:color w:val="auto"/>
              </w:rPr>
            </w:pPr>
            <w:r>
              <w:rPr>
                <w:rFonts w:ascii="Arial" w:cs="Arial" w:eastAsia="Arial" w:hAnsi="Arial"/>
                <w:sz w:val="13"/>
                <w:szCs w:val="13"/>
                <w:b w:val="1"/>
                <w:bCs w:val="1"/>
                <w:color w:val="auto"/>
              </w:rPr>
              <w:t>157,588</w:t>
            </w:r>
          </w:p>
        </w:tc>
      </w:tr>
      <w:tr>
        <w:trPr>
          <w:trHeight w:val="161"/>
        </w:trPr>
        <w:tc>
          <w:tcPr>
            <w:tcW w:w="20" w:type="dxa"/>
            <w:vAlign w:val="bottom"/>
          </w:tcPr>
          <w:p>
            <w:pPr>
              <w:spacing w:after="0"/>
              <w:rPr>
                <w:sz w:val="14"/>
                <w:szCs w:val="14"/>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3"/>
                <w:szCs w:val="13"/>
                <w:color w:val="auto"/>
              </w:rPr>
              <w:t>Total assets</w:t>
            </w:r>
          </w:p>
        </w:tc>
        <w:tc>
          <w:tcPr>
            <w:tcW w:w="4900" w:type="dxa"/>
            <w:vAlign w:val="bottom"/>
            <w:shd w:val="clear" w:color="auto" w:fill="CCEEFF"/>
          </w:tcPr>
          <w:p>
            <w:pPr>
              <w:jc w:val="right"/>
              <w:ind w:right="274"/>
              <w:spacing w:after="0"/>
              <w:rPr>
                <w:sz w:val="20"/>
                <w:szCs w:val="20"/>
                <w:color w:val="auto"/>
              </w:rPr>
            </w:pPr>
            <w:r>
              <w:rPr>
                <w:rFonts w:ascii="Arial" w:cs="Arial" w:eastAsia="Arial" w:hAnsi="Arial"/>
                <w:sz w:val="13"/>
                <w:szCs w:val="13"/>
                <w:b w:val="1"/>
                <w:bCs w:val="1"/>
                <w:color w:val="auto"/>
              </w:rPr>
              <w:t>1,911,958</w:t>
            </w:r>
          </w:p>
        </w:tc>
      </w:tr>
    </w:tbl>
    <w:p>
      <w:pPr>
        <w:sectPr>
          <w:pgSz w:w="11900" w:h="16838" w:orient="portrait"/>
          <w:cols w:equalWidth="0" w:num="1">
            <w:col w:w="11460"/>
          </w:cols>
          <w:pgMar w:left="220" w:top="733" w:right="219" w:bottom="1440" w:gutter="0" w:footer="0" w:header="0"/>
        </w:sectPr>
      </w:pPr>
    </w:p>
    <w:bookmarkStart w:id="59" w:name="page60"/>
    <w:bookmarkEnd w:id="59"/>
    <w:p>
      <w:pPr>
        <w:jc w:val="right"/>
        <w:spacing w:after="0"/>
        <w:rPr>
          <w:sz w:val="20"/>
          <w:szCs w:val="20"/>
          <w:color w:val="auto"/>
        </w:rPr>
      </w:pPr>
      <w:r>
        <w:rPr>
          <w:rFonts w:ascii="Arial" w:cs="Arial" w:eastAsia="Arial" w:hAnsi="Arial"/>
          <w:sz w:val="13"/>
          <w:szCs w:val="13"/>
          <w:color w:val="auto"/>
        </w:rPr>
        <w:t>Exhibit 25.2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20955</wp:posOffset>
            </wp:positionV>
            <wp:extent cx="7281545" cy="6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1545" cy="63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40005</wp:posOffset>
            </wp:positionV>
            <wp:extent cx="7281545" cy="63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1545" cy="6350"/>
                    </a:xfrm>
                    <a:prstGeom prst="rect">
                      <a:avLst/>
                    </a:prstGeom>
                    <a:noFill/>
                  </pic:spPr>
                </pic:pic>
              </a:graphicData>
            </a:graphic>
          </wp:anchor>
        </w:drawing>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20" w:type="dxa"/>
            <w:vAlign w:val="bottom"/>
            <w:gridSpan w:val="2"/>
          </w:tcPr>
          <w:p>
            <w:pPr>
              <w:jc w:val="center"/>
              <w:ind w:right="4153"/>
              <w:spacing w:after="0"/>
              <w:rPr>
                <w:sz w:val="20"/>
                <w:szCs w:val="20"/>
                <w:color w:val="auto"/>
              </w:rPr>
            </w:pPr>
            <w:r>
              <w:rPr>
                <w:rFonts w:ascii="Arial" w:cs="Arial" w:eastAsia="Arial" w:hAnsi="Arial"/>
                <w:sz w:val="13"/>
                <w:szCs w:val="13"/>
                <w:color w:val="auto"/>
                <w:w w:val="97"/>
              </w:rPr>
              <w:t>FORM T-1</w:t>
            </w:r>
          </w:p>
        </w:tc>
      </w:tr>
      <w:tr>
        <w:trPr>
          <w:trHeight w:val="312"/>
        </w:trPr>
        <w:tc>
          <w:tcPr>
            <w:tcW w:w="3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20" w:type="dxa"/>
            <w:vAlign w:val="bottom"/>
            <w:gridSpan w:val="2"/>
          </w:tcPr>
          <w:p>
            <w:pPr>
              <w:jc w:val="center"/>
              <w:ind w:right="4153"/>
              <w:spacing w:after="0"/>
              <w:rPr>
                <w:sz w:val="20"/>
                <w:szCs w:val="20"/>
                <w:color w:val="auto"/>
              </w:rPr>
            </w:pPr>
            <w:r>
              <w:rPr>
                <w:rFonts w:ascii="Arial" w:cs="Arial" w:eastAsia="Arial" w:hAnsi="Arial"/>
                <w:sz w:val="13"/>
                <w:szCs w:val="13"/>
                <w:color w:val="auto"/>
                <w:w w:val="97"/>
              </w:rPr>
              <w:t>UNITED STATES</w:t>
            </w:r>
          </w:p>
        </w:tc>
      </w:tr>
      <w:tr>
        <w:trPr>
          <w:trHeight w:val="161"/>
        </w:trPr>
        <w:tc>
          <w:tcPr>
            <w:tcW w:w="3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20" w:type="dxa"/>
            <w:vAlign w:val="bottom"/>
            <w:gridSpan w:val="2"/>
          </w:tcPr>
          <w:p>
            <w:pPr>
              <w:jc w:val="center"/>
              <w:ind w:right="4173"/>
              <w:spacing w:after="0"/>
              <w:rPr>
                <w:sz w:val="20"/>
                <w:szCs w:val="20"/>
                <w:color w:val="auto"/>
              </w:rPr>
            </w:pPr>
            <w:r>
              <w:rPr>
                <w:rFonts w:ascii="Arial" w:cs="Arial" w:eastAsia="Arial" w:hAnsi="Arial"/>
                <w:sz w:val="13"/>
                <w:szCs w:val="13"/>
                <w:color w:val="auto"/>
                <w:w w:val="99"/>
              </w:rPr>
              <w:t>SECURITIES AND EXCHANGE COMMISSION</w:t>
            </w:r>
          </w:p>
        </w:tc>
      </w:tr>
      <w:tr>
        <w:trPr>
          <w:trHeight w:val="172"/>
        </w:trPr>
        <w:tc>
          <w:tcPr>
            <w:tcW w:w="3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20" w:type="dxa"/>
            <w:vAlign w:val="bottom"/>
            <w:gridSpan w:val="2"/>
          </w:tcPr>
          <w:p>
            <w:pPr>
              <w:jc w:val="center"/>
              <w:ind w:right="4173"/>
              <w:spacing w:after="0"/>
              <w:rPr>
                <w:sz w:val="20"/>
                <w:szCs w:val="20"/>
                <w:color w:val="auto"/>
              </w:rPr>
            </w:pPr>
            <w:r>
              <w:rPr>
                <w:rFonts w:ascii="Arial" w:cs="Arial" w:eastAsia="Arial" w:hAnsi="Arial"/>
                <w:sz w:val="13"/>
                <w:szCs w:val="13"/>
                <w:color w:val="auto"/>
                <w:w w:val="94"/>
              </w:rPr>
              <w:t>Washington, D.C. 20549</w:t>
            </w:r>
          </w:p>
        </w:tc>
      </w:tr>
      <w:tr>
        <w:trPr>
          <w:trHeight w:val="231"/>
        </w:trPr>
        <w:tc>
          <w:tcPr>
            <w:tcW w:w="3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20" w:type="dxa"/>
            <w:vAlign w:val="bottom"/>
            <w:gridSpan w:val="2"/>
          </w:tcPr>
          <w:p>
            <w:pPr>
              <w:jc w:val="center"/>
              <w:ind w:right="4153"/>
              <w:spacing w:after="0"/>
              <w:rPr>
                <w:sz w:val="20"/>
                <w:szCs w:val="20"/>
                <w:color w:val="auto"/>
              </w:rPr>
            </w:pPr>
            <w:r>
              <w:rPr>
                <w:rFonts w:ascii="Arial" w:cs="Arial" w:eastAsia="Arial" w:hAnsi="Arial"/>
                <w:sz w:val="13"/>
                <w:szCs w:val="13"/>
                <w:color w:val="auto"/>
              </w:rPr>
              <w:t>STATEMENT OF ELIGIBILITY</w:t>
            </w:r>
          </w:p>
        </w:tc>
      </w:tr>
      <w:tr>
        <w:trPr>
          <w:trHeight w:val="161"/>
        </w:trPr>
        <w:tc>
          <w:tcPr>
            <w:tcW w:w="3800" w:type="dxa"/>
            <w:vAlign w:val="bottom"/>
          </w:tcPr>
          <w:p>
            <w:pPr>
              <w:spacing w:after="0"/>
              <w:rPr>
                <w:sz w:val="14"/>
                <w:szCs w:val="14"/>
                <w:color w:val="auto"/>
              </w:rPr>
            </w:pPr>
          </w:p>
        </w:tc>
        <w:tc>
          <w:tcPr>
            <w:tcW w:w="7660" w:type="dxa"/>
            <w:vAlign w:val="bottom"/>
            <w:gridSpan w:val="3"/>
          </w:tcPr>
          <w:p>
            <w:pPr>
              <w:jc w:val="center"/>
              <w:ind w:right="3713"/>
              <w:spacing w:after="0"/>
              <w:rPr>
                <w:sz w:val="20"/>
                <w:szCs w:val="20"/>
                <w:color w:val="auto"/>
              </w:rPr>
            </w:pPr>
            <w:r>
              <w:rPr>
                <w:rFonts w:ascii="Arial" w:cs="Arial" w:eastAsia="Arial" w:hAnsi="Arial"/>
                <w:sz w:val="13"/>
                <w:szCs w:val="13"/>
                <w:color w:val="auto"/>
                <w:w w:val="98"/>
              </w:rPr>
              <w:t>UNDER THE TRUST INDENTURE ACT OF 1939 OF A</w:t>
            </w:r>
          </w:p>
        </w:tc>
      </w:tr>
      <w:tr>
        <w:trPr>
          <w:trHeight w:val="172"/>
        </w:trPr>
        <w:tc>
          <w:tcPr>
            <w:tcW w:w="3800" w:type="dxa"/>
            <w:vAlign w:val="bottom"/>
          </w:tcPr>
          <w:p>
            <w:pPr>
              <w:spacing w:after="0"/>
              <w:rPr>
                <w:sz w:val="14"/>
                <w:szCs w:val="14"/>
                <w:color w:val="auto"/>
              </w:rPr>
            </w:pPr>
          </w:p>
        </w:tc>
        <w:tc>
          <w:tcPr>
            <w:tcW w:w="7660" w:type="dxa"/>
            <w:vAlign w:val="bottom"/>
            <w:gridSpan w:val="3"/>
          </w:tcPr>
          <w:p>
            <w:pPr>
              <w:jc w:val="center"/>
              <w:ind w:right="3733"/>
              <w:spacing w:after="0"/>
              <w:rPr>
                <w:sz w:val="20"/>
                <w:szCs w:val="20"/>
                <w:color w:val="auto"/>
              </w:rPr>
            </w:pPr>
            <w:r>
              <w:rPr>
                <w:rFonts w:ascii="Arial" w:cs="Arial" w:eastAsia="Arial" w:hAnsi="Arial"/>
                <w:sz w:val="13"/>
                <w:szCs w:val="13"/>
                <w:color w:val="auto"/>
                <w:w w:val="97"/>
              </w:rPr>
              <w:t>CORPORATION DESIGNATED TO ACT AS TRUSTEE</w:t>
            </w:r>
          </w:p>
        </w:tc>
      </w:tr>
      <w:tr>
        <w:trPr>
          <w:trHeight w:val="326"/>
        </w:trPr>
        <w:tc>
          <w:tcPr>
            <w:tcW w:w="3800" w:type="dxa"/>
            <w:vAlign w:val="bottom"/>
          </w:tcPr>
          <w:p>
            <w:pPr>
              <w:spacing w:after="0"/>
              <w:rPr>
                <w:sz w:val="24"/>
                <w:szCs w:val="24"/>
                <w:color w:val="auto"/>
              </w:rPr>
            </w:pPr>
          </w:p>
        </w:tc>
        <w:tc>
          <w:tcPr>
            <w:tcW w:w="7660" w:type="dxa"/>
            <w:vAlign w:val="bottom"/>
            <w:gridSpan w:val="3"/>
          </w:tcPr>
          <w:p>
            <w:pPr>
              <w:jc w:val="center"/>
              <w:ind w:right="3733"/>
              <w:spacing w:after="0"/>
              <w:rPr>
                <w:sz w:val="20"/>
                <w:szCs w:val="20"/>
                <w:color w:val="auto"/>
              </w:rPr>
            </w:pPr>
            <w:r>
              <w:rPr>
                <w:rFonts w:ascii="Arial" w:cs="Arial" w:eastAsia="Arial" w:hAnsi="Arial"/>
                <w:sz w:val="16"/>
                <w:szCs w:val="16"/>
                <w:color w:val="auto"/>
                <w:w w:val="97"/>
              </w:rPr>
              <w:t>CHECK IF AN APPLICATION TO DETERMINE</w:t>
            </w:r>
          </w:p>
        </w:tc>
      </w:tr>
      <w:tr>
        <w:trPr>
          <w:trHeight w:val="181"/>
        </w:trPr>
        <w:tc>
          <w:tcPr>
            <w:tcW w:w="3800" w:type="dxa"/>
            <w:vAlign w:val="bottom"/>
          </w:tcPr>
          <w:p>
            <w:pPr>
              <w:spacing w:after="0"/>
              <w:rPr>
                <w:sz w:val="15"/>
                <w:szCs w:val="15"/>
                <w:color w:val="auto"/>
              </w:rPr>
            </w:pPr>
          </w:p>
        </w:tc>
        <w:tc>
          <w:tcPr>
            <w:tcW w:w="7660" w:type="dxa"/>
            <w:vAlign w:val="bottom"/>
            <w:gridSpan w:val="3"/>
          </w:tcPr>
          <w:p>
            <w:pPr>
              <w:jc w:val="center"/>
              <w:ind w:right="3713"/>
              <w:spacing w:after="0" w:line="181" w:lineRule="exact"/>
              <w:rPr>
                <w:sz w:val="20"/>
                <w:szCs w:val="20"/>
                <w:color w:val="auto"/>
              </w:rPr>
            </w:pPr>
            <w:r>
              <w:rPr>
                <w:rFonts w:ascii="Arial" w:cs="Arial" w:eastAsia="Arial" w:hAnsi="Arial"/>
                <w:sz w:val="16"/>
                <w:szCs w:val="16"/>
                <w:color w:val="auto"/>
                <w:w w:val="98"/>
              </w:rPr>
              <w:t>ELIGIBILITY OF A TRUSTEE PURSUANT TO</w:t>
            </w:r>
          </w:p>
        </w:tc>
      </w:tr>
      <w:tr>
        <w:trPr>
          <w:trHeight w:val="206"/>
        </w:trPr>
        <w:tc>
          <w:tcPr>
            <w:tcW w:w="3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20" w:type="dxa"/>
            <w:vAlign w:val="bottom"/>
            <w:gridSpan w:val="2"/>
          </w:tcPr>
          <w:p>
            <w:pPr>
              <w:jc w:val="center"/>
              <w:ind w:right="4153"/>
              <w:spacing w:after="0"/>
              <w:rPr>
                <w:sz w:val="20"/>
                <w:szCs w:val="20"/>
                <w:color w:val="auto"/>
              </w:rPr>
            </w:pPr>
            <w:r>
              <w:rPr>
                <w:rFonts w:ascii="Arial" w:cs="Arial" w:eastAsia="Arial" w:hAnsi="Arial"/>
                <w:sz w:val="16"/>
                <w:szCs w:val="16"/>
                <w:color w:val="auto"/>
                <w:w w:val="92"/>
              </w:rPr>
              <w:t>SECTION 305(b)(2) |___|</w:t>
            </w:r>
          </w:p>
        </w:tc>
      </w:tr>
      <w:tr>
        <w:trPr>
          <w:trHeight w:val="204"/>
        </w:trPr>
        <w:tc>
          <w:tcPr>
            <w:tcW w:w="3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980" w:type="dxa"/>
            <w:vAlign w:val="bottom"/>
            <w:tcBorders>
              <w:bottom w:val="single" w:sz="8" w:color="auto"/>
            </w:tcBorders>
          </w:tcPr>
          <w:p>
            <w:pPr>
              <w:spacing w:after="0"/>
              <w:rPr>
                <w:sz w:val="17"/>
                <w:szCs w:val="17"/>
                <w:color w:val="auto"/>
              </w:rPr>
            </w:pPr>
          </w:p>
        </w:tc>
        <w:tc>
          <w:tcPr>
            <w:tcW w:w="4240" w:type="dxa"/>
            <w:vAlign w:val="bottom"/>
          </w:tcPr>
          <w:p>
            <w:pPr>
              <w:spacing w:after="0"/>
              <w:rPr>
                <w:sz w:val="17"/>
                <w:szCs w:val="17"/>
                <w:color w:val="auto"/>
              </w:rPr>
            </w:pPr>
          </w:p>
        </w:tc>
      </w:tr>
      <w:tr>
        <w:trPr>
          <w:trHeight w:val="352"/>
        </w:trPr>
        <w:tc>
          <w:tcPr>
            <w:tcW w:w="3800" w:type="dxa"/>
            <w:vAlign w:val="bottom"/>
          </w:tcPr>
          <w:p>
            <w:pPr>
              <w:spacing w:after="0"/>
              <w:rPr>
                <w:sz w:val="24"/>
                <w:szCs w:val="24"/>
                <w:color w:val="auto"/>
              </w:rPr>
            </w:pPr>
          </w:p>
        </w:tc>
        <w:tc>
          <w:tcPr>
            <w:tcW w:w="7660" w:type="dxa"/>
            <w:vAlign w:val="bottom"/>
            <w:gridSpan w:val="3"/>
          </w:tcPr>
          <w:p>
            <w:pPr>
              <w:jc w:val="center"/>
              <w:ind w:right="3733"/>
              <w:spacing w:after="0"/>
              <w:rPr>
                <w:sz w:val="20"/>
                <w:szCs w:val="20"/>
                <w:color w:val="auto"/>
              </w:rPr>
            </w:pPr>
            <w:r>
              <w:rPr>
                <w:rFonts w:ascii="Arial" w:cs="Arial" w:eastAsia="Arial" w:hAnsi="Arial"/>
                <w:sz w:val="13"/>
                <w:szCs w:val="13"/>
                <w:b w:val="1"/>
                <w:bCs w:val="1"/>
                <w:color w:val="auto"/>
              </w:rPr>
              <w:t>THE BANK OF NEW YORK MELLON TRUST COMPANY, N.A.</w:t>
            </w:r>
          </w:p>
        </w:tc>
      </w:tr>
      <w:tr>
        <w:trPr>
          <w:trHeight w:val="172"/>
        </w:trPr>
        <w:tc>
          <w:tcPr>
            <w:tcW w:w="3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20" w:type="dxa"/>
            <w:vAlign w:val="bottom"/>
            <w:gridSpan w:val="2"/>
          </w:tcPr>
          <w:p>
            <w:pPr>
              <w:jc w:val="center"/>
              <w:ind w:right="4173"/>
              <w:spacing w:after="0"/>
              <w:rPr>
                <w:sz w:val="20"/>
                <w:szCs w:val="20"/>
                <w:color w:val="auto"/>
              </w:rPr>
            </w:pPr>
            <w:r>
              <w:rPr>
                <w:rFonts w:ascii="Arial" w:cs="Arial" w:eastAsia="Arial" w:hAnsi="Arial"/>
                <w:sz w:val="13"/>
                <w:szCs w:val="13"/>
                <w:color w:val="auto"/>
                <w:w w:val="92"/>
              </w:rPr>
              <w:t>(Exact name of trustee as specified in its charter)</w:t>
            </w:r>
          </w:p>
        </w:tc>
      </w:tr>
      <w:tr>
        <w:trPr>
          <w:trHeight w:val="312"/>
        </w:trPr>
        <w:tc>
          <w:tcPr>
            <w:tcW w:w="3800" w:type="dxa"/>
            <w:vAlign w:val="bottom"/>
          </w:tcPr>
          <w:p>
            <w:pPr>
              <w:spacing w:after="0"/>
              <w:rPr>
                <w:sz w:val="24"/>
                <w:szCs w:val="24"/>
                <w:color w:val="auto"/>
              </w:rPr>
            </w:pPr>
          </w:p>
        </w:tc>
        <w:tc>
          <w:tcPr>
            <w:tcW w:w="7660" w:type="dxa"/>
            <w:vAlign w:val="bottom"/>
            <w:gridSpan w:val="3"/>
          </w:tcPr>
          <w:p>
            <w:pPr>
              <w:jc w:val="center"/>
              <w:ind w:left="2151"/>
              <w:spacing w:after="0"/>
              <w:rPr>
                <w:sz w:val="20"/>
                <w:szCs w:val="20"/>
                <w:color w:val="auto"/>
              </w:rPr>
            </w:pPr>
            <w:r>
              <w:rPr>
                <w:rFonts w:ascii="Arial" w:cs="Arial" w:eastAsia="Arial" w:hAnsi="Arial"/>
                <w:sz w:val="13"/>
                <w:szCs w:val="13"/>
                <w:b w:val="1"/>
                <w:bCs w:val="1"/>
                <w:color w:val="auto"/>
                <w:w w:val="92"/>
              </w:rPr>
              <w:t>95-3571558</w:t>
            </w:r>
          </w:p>
        </w:tc>
      </w:tr>
      <w:tr>
        <w:trPr>
          <w:trHeight w:val="161"/>
        </w:trPr>
        <w:tc>
          <w:tcPr>
            <w:tcW w:w="3800" w:type="dxa"/>
            <w:vAlign w:val="bottom"/>
          </w:tcPr>
          <w:p>
            <w:pPr>
              <w:jc w:val="center"/>
              <w:ind w:left="1573"/>
              <w:spacing w:after="0"/>
              <w:rPr>
                <w:sz w:val="20"/>
                <w:szCs w:val="20"/>
                <w:color w:val="auto"/>
              </w:rPr>
            </w:pPr>
            <w:r>
              <w:rPr>
                <w:rFonts w:ascii="Arial" w:cs="Arial" w:eastAsia="Arial" w:hAnsi="Arial"/>
                <w:sz w:val="13"/>
                <w:szCs w:val="13"/>
                <w:color w:val="auto"/>
                <w:w w:val="93"/>
              </w:rPr>
              <w:t>(State of incorporation</w:t>
            </w:r>
          </w:p>
        </w:tc>
        <w:tc>
          <w:tcPr>
            <w:tcW w:w="4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4240" w:type="dxa"/>
            <w:vAlign w:val="bottom"/>
          </w:tcPr>
          <w:p>
            <w:pPr>
              <w:jc w:val="center"/>
              <w:ind w:right="1153"/>
              <w:spacing w:after="0"/>
              <w:rPr>
                <w:sz w:val="20"/>
                <w:szCs w:val="20"/>
                <w:color w:val="auto"/>
              </w:rPr>
            </w:pPr>
            <w:r>
              <w:rPr>
                <w:rFonts w:ascii="Arial" w:cs="Arial" w:eastAsia="Arial" w:hAnsi="Arial"/>
                <w:sz w:val="13"/>
                <w:szCs w:val="13"/>
                <w:color w:val="auto"/>
                <w:w w:val="95"/>
              </w:rPr>
              <w:t>(I.R.S. employer</w:t>
            </w:r>
          </w:p>
        </w:tc>
      </w:tr>
      <w:tr>
        <w:trPr>
          <w:trHeight w:val="172"/>
        </w:trPr>
        <w:tc>
          <w:tcPr>
            <w:tcW w:w="3800" w:type="dxa"/>
            <w:vAlign w:val="bottom"/>
          </w:tcPr>
          <w:p>
            <w:pPr>
              <w:jc w:val="center"/>
              <w:ind w:left="1593"/>
              <w:spacing w:after="0"/>
              <w:rPr>
                <w:sz w:val="20"/>
                <w:szCs w:val="20"/>
                <w:color w:val="auto"/>
              </w:rPr>
            </w:pPr>
            <w:r>
              <w:rPr>
                <w:rFonts w:ascii="Arial" w:cs="Arial" w:eastAsia="Arial" w:hAnsi="Arial"/>
                <w:sz w:val="13"/>
                <w:szCs w:val="13"/>
                <w:color w:val="auto"/>
                <w:w w:val="95"/>
              </w:rPr>
              <w:t>if not a U.S. national bank)</w:t>
            </w:r>
          </w:p>
        </w:tc>
        <w:tc>
          <w:tcPr>
            <w:tcW w:w="4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4240" w:type="dxa"/>
            <w:vAlign w:val="bottom"/>
          </w:tcPr>
          <w:p>
            <w:pPr>
              <w:jc w:val="center"/>
              <w:ind w:right="1133"/>
              <w:spacing w:after="0"/>
              <w:rPr>
                <w:sz w:val="20"/>
                <w:szCs w:val="20"/>
                <w:color w:val="auto"/>
              </w:rPr>
            </w:pPr>
            <w:r>
              <w:rPr>
                <w:rFonts w:ascii="Arial" w:cs="Arial" w:eastAsia="Arial" w:hAnsi="Arial"/>
                <w:sz w:val="13"/>
                <w:szCs w:val="13"/>
                <w:color w:val="auto"/>
                <w:w w:val="97"/>
              </w:rPr>
              <w:t>identification no.)</w:t>
            </w:r>
          </w:p>
        </w:tc>
      </w:tr>
      <w:tr>
        <w:trPr>
          <w:trHeight w:val="310"/>
        </w:trPr>
        <w:tc>
          <w:tcPr>
            <w:tcW w:w="3800" w:type="dxa"/>
            <w:vAlign w:val="bottom"/>
          </w:tcPr>
          <w:p>
            <w:pPr>
              <w:jc w:val="center"/>
              <w:ind w:left="1593"/>
              <w:spacing w:after="0"/>
              <w:rPr>
                <w:sz w:val="20"/>
                <w:szCs w:val="20"/>
                <w:color w:val="auto"/>
              </w:rPr>
            </w:pPr>
            <w:r>
              <w:rPr>
                <w:rFonts w:ascii="Arial" w:cs="Arial" w:eastAsia="Arial" w:hAnsi="Arial"/>
                <w:sz w:val="13"/>
                <w:szCs w:val="13"/>
                <w:b w:val="1"/>
                <w:bCs w:val="1"/>
                <w:color w:val="auto"/>
                <w:w w:val="93"/>
              </w:rPr>
              <w:t>700 South Flower Street</w:t>
            </w:r>
          </w:p>
        </w:tc>
        <w:tc>
          <w:tcPr>
            <w:tcW w:w="4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240" w:type="dxa"/>
            <w:vAlign w:val="bottom"/>
          </w:tcPr>
          <w:p>
            <w:pPr>
              <w:spacing w:after="0"/>
              <w:rPr>
                <w:sz w:val="24"/>
                <w:szCs w:val="24"/>
                <w:color w:val="auto"/>
              </w:rPr>
            </w:pPr>
          </w:p>
        </w:tc>
      </w:tr>
      <w:tr>
        <w:trPr>
          <w:trHeight w:val="161"/>
        </w:trPr>
        <w:tc>
          <w:tcPr>
            <w:tcW w:w="3800" w:type="dxa"/>
            <w:vAlign w:val="bottom"/>
          </w:tcPr>
          <w:p>
            <w:pPr>
              <w:jc w:val="center"/>
              <w:ind w:left="1573"/>
              <w:spacing w:after="0"/>
              <w:rPr>
                <w:sz w:val="20"/>
                <w:szCs w:val="20"/>
                <w:color w:val="auto"/>
              </w:rPr>
            </w:pPr>
            <w:r>
              <w:rPr>
                <w:rFonts w:ascii="Arial" w:cs="Arial" w:eastAsia="Arial" w:hAnsi="Arial"/>
                <w:sz w:val="13"/>
                <w:szCs w:val="13"/>
                <w:b w:val="1"/>
                <w:bCs w:val="1"/>
                <w:color w:val="auto"/>
                <w:w w:val="91"/>
              </w:rPr>
              <w:t>Suite 500</w:t>
            </w:r>
          </w:p>
        </w:tc>
        <w:tc>
          <w:tcPr>
            <w:tcW w:w="4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4240" w:type="dxa"/>
            <w:vAlign w:val="bottom"/>
          </w:tcPr>
          <w:p>
            <w:pPr>
              <w:spacing w:after="0"/>
              <w:rPr>
                <w:sz w:val="14"/>
                <w:szCs w:val="14"/>
                <w:color w:val="auto"/>
              </w:rPr>
            </w:pPr>
          </w:p>
        </w:tc>
      </w:tr>
      <w:tr>
        <w:trPr>
          <w:trHeight w:val="163"/>
        </w:trPr>
        <w:tc>
          <w:tcPr>
            <w:tcW w:w="3800" w:type="dxa"/>
            <w:vAlign w:val="bottom"/>
          </w:tcPr>
          <w:p>
            <w:pPr>
              <w:jc w:val="center"/>
              <w:ind w:left="1573"/>
              <w:spacing w:after="0"/>
              <w:rPr>
                <w:sz w:val="20"/>
                <w:szCs w:val="20"/>
                <w:color w:val="auto"/>
              </w:rPr>
            </w:pPr>
            <w:r>
              <w:rPr>
                <w:rFonts w:ascii="Arial" w:cs="Arial" w:eastAsia="Arial" w:hAnsi="Arial"/>
                <w:sz w:val="13"/>
                <w:szCs w:val="13"/>
                <w:b w:val="1"/>
                <w:bCs w:val="1"/>
                <w:color w:val="auto"/>
                <w:w w:val="94"/>
              </w:rPr>
              <w:t>Los Angeles, California</w:t>
            </w:r>
          </w:p>
        </w:tc>
        <w:tc>
          <w:tcPr>
            <w:tcW w:w="7660" w:type="dxa"/>
            <w:vAlign w:val="bottom"/>
            <w:gridSpan w:val="3"/>
          </w:tcPr>
          <w:p>
            <w:pPr>
              <w:jc w:val="center"/>
              <w:ind w:left="2131"/>
              <w:spacing w:after="0"/>
              <w:rPr>
                <w:sz w:val="20"/>
                <w:szCs w:val="20"/>
                <w:color w:val="auto"/>
              </w:rPr>
            </w:pPr>
            <w:r>
              <w:rPr>
                <w:rFonts w:ascii="Arial" w:cs="Arial" w:eastAsia="Arial" w:hAnsi="Arial"/>
                <w:sz w:val="13"/>
                <w:szCs w:val="13"/>
                <w:b w:val="1"/>
                <w:bCs w:val="1"/>
                <w:color w:val="auto"/>
                <w:w w:val="93"/>
              </w:rPr>
              <w:t>90017</w:t>
            </w:r>
          </w:p>
        </w:tc>
      </w:tr>
      <w:tr>
        <w:trPr>
          <w:trHeight w:val="172"/>
        </w:trPr>
        <w:tc>
          <w:tcPr>
            <w:tcW w:w="3800" w:type="dxa"/>
            <w:vAlign w:val="bottom"/>
          </w:tcPr>
          <w:p>
            <w:pPr>
              <w:jc w:val="center"/>
              <w:ind w:left="1573"/>
              <w:spacing w:after="0"/>
              <w:rPr>
                <w:sz w:val="20"/>
                <w:szCs w:val="20"/>
                <w:color w:val="auto"/>
              </w:rPr>
            </w:pPr>
            <w:r>
              <w:rPr>
                <w:rFonts w:ascii="Arial" w:cs="Arial" w:eastAsia="Arial" w:hAnsi="Arial"/>
                <w:sz w:val="13"/>
                <w:szCs w:val="13"/>
                <w:color w:val="auto"/>
                <w:w w:val="95"/>
              </w:rPr>
              <w:t>(Address of principal executive offices)</w:t>
            </w:r>
          </w:p>
        </w:tc>
        <w:tc>
          <w:tcPr>
            <w:tcW w:w="4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4240" w:type="dxa"/>
            <w:vAlign w:val="bottom"/>
          </w:tcPr>
          <w:p>
            <w:pPr>
              <w:jc w:val="center"/>
              <w:ind w:right="1133"/>
              <w:spacing w:after="0"/>
              <w:rPr>
                <w:sz w:val="20"/>
                <w:szCs w:val="20"/>
                <w:color w:val="auto"/>
              </w:rPr>
            </w:pPr>
            <w:r>
              <w:rPr>
                <w:rFonts w:ascii="Arial" w:cs="Arial" w:eastAsia="Arial" w:hAnsi="Arial"/>
                <w:sz w:val="13"/>
                <w:szCs w:val="13"/>
                <w:color w:val="auto"/>
                <w:w w:val="95"/>
              </w:rPr>
              <w:t>(Zip code)</w:t>
            </w:r>
          </w:p>
        </w:tc>
      </w:tr>
      <w:tr>
        <w:trPr>
          <w:trHeight w:val="212"/>
        </w:trPr>
        <w:tc>
          <w:tcPr>
            <w:tcW w:w="3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980" w:type="dxa"/>
            <w:vAlign w:val="bottom"/>
            <w:tcBorders>
              <w:bottom w:val="single" w:sz="8" w:color="auto"/>
            </w:tcBorders>
          </w:tcPr>
          <w:p>
            <w:pPr>
              <w:spacing w:after="0"/>
              <w:rPr>
                <w:sz w:val="18"/>
                <w:szCs w:val="18"/>
                <w:color w:val="auto"/>
              </w:rPr>
            </w:pPr>
          </w:p>
        </w:tc>
        <w:tc>
          <w:tcPr>
            <w:tcW w:w="4240" w:type="dxa"/>
            <w:vAlign w:val="bottom"/>
          </w:tcPr>
          <w:p>
            <w:pPr>
              <w:spacing w:after="0"/>
              <w:rPr>
                <w:sz w:val="18"/>
                <w:szCs w:val="18"/>
                <w:color w:val="auto"/>
              </w:rPr>
            </w:pPr>
          </w:p>
        </w:tc>
      </w:tr>
      <w:tr>
        <w:trPr>
          <w:trHeight w:val="350"/>
        </w:trPr>
        <w:tc>
          <w:tcPr>
            <w:tcW w:w="3800" w:type="dxa"/>
            <w:vAlign w:val="bottom"/>
          </w:tcPr>
          <w:p>
            <w:pPr>
              <w:spacing w:after="0"/>
              <w:rPr>
                <w:sz w:val="24"/>
                <w:szCs w:val="24"/>
                <w:color w:val="auto"/>
              </w:rPr>
            </w:pPr>
          </w:p>
        </w:tc>
        <w:tc>
          <w:tcPr>
            <w:tcW w:w="7660" w:type="dxa"/>
            <w:vAlign w:val="bottom"/>
            <w:gridSpan w:val="3"/>
          </w:tcPr>
          <w:p>
            <w:pPr>
              <w:jc w:val="center"/>
              <w:ind w:right="3733"/>
              <w:spacing w:after="0"/>
              <w:rPr>
                <w:sz w:val="20"/>
                <w:szCs w:val="20"/>
                <w:color w:val="auto"/>
              </w:rPr>
            </w:pPr>
            <w:r>
              <w:rPr>
                <w:rFonts w:ascii="Arial" w:cs="Arial" w:eastAsia="Arial" w:hAnsi="Arial"/>
                <w:sz w:val="13"/>
                <w:szCs w:val="13"/>
                <w:b w:val="1"/>
                <w:bCs w:val="1"/>
                <w:color w:val="auto"/>
                <w:w w:val="96"/>
              </w:rPr>
              <w:t>The Bank of New York Mellon Trust Company, N.A.</w:t>
            </w:r>
          </w:p>
        </w:tc>
      </w:tr>
      <w:tr>
        <w:trPr>
          <w:trHeight w:val="161"/>
        </w:trPr>
        <w:tc>
          <w:tcPr>
            <w:tcW w:w="3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20" w:type="dxa"/>
            <w:vAlign w:val="bottom"/>
            <w:gridSpan w:val="2"/>
          </w:tcPr>
          <w:p>
            <w:pPr>
              <w:jc w:val="center"/>
              <w:ind w:right="4173"/>
              <w:spacing w:after="0"/>
              <w:rPr>
                <w:sz w:val="20"/>
                <w:szCs w:val="20"/>
                <w:color w:val="auto"/>
              </w:rPr>
            </w:pPr>
            <w:r>
              <w:rPr>
                <w:rFonts w:ascii="Arial" w:cs="Arial" w:eastAsia="Arial" w:hAnsi="Arial"/>
                <w:sz w:val="13"/>
                <w:szCs w:val="13"/>
                <w:b w:val="1"/>
                <w:bCs w:val="1"/>
                <w:color w:val="auto"/>
                <w:w w:val="93"/>
              </w:rPr>
              <w:t>700 South Flower Street, Suite 500</w:t>
            </w:r>
          </w:p>
        </w:tc>
      </w:tr>
      <w:tr>
        <w:trPr>
          <w:trHeight w:val="161"/>
        </w:trPr>
        <w:tc>
          <w:tcPr>
            <w:tcW w:w="3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20" w:type="dxa"/>
            <w:vAlign w:val="bottom"/>
            <w:gridSpan w:val="2"/>
          </w:tcPr>
          <w:p>
            <w:pPr>
              <w:jc w:val="center"/>
              <w:ind w:right="4153"/>
              <w:spacing w:after="0"/>
              <w:rPr>
                <w:sz w:val="20"/>
                <w:szCs w:val="20"/>
                <w:color w:val="auto"/>
              </w:rPr>
            </w:pPr>
            <w:r>
              <w:rPr>
                <w:rFonts w:ascii="Arial" w:cs="Arial" w:eastAsia="Arial" w:hAnsi="Arial"/>
                <w:sz w:val="13"/>
                <w:szCs w:val="13"/>
                <w:b w:val="1"/>
                <w:bCs w:val="1"/>
                <w:color w:val="auto"/>
                <w:w w:val="93"/>
              </w:rPr>
              <w:t>Los Angeles, California 90017</w:t>
            </w:r>
          </w:p>
        </w:tc>
      </w:tr>
      <w:tr>
        <w:trPr>
          <w:trHeight w:val="161"/>
        </w:trPr>
        <w:tc>
          <w:tcPr>
            <w:tcW w:w="3800" w:type="dxa"/>
            <w:vAlign w:val="bottom"/>
          </w:tcPr>
          <w:p>
            <w:pPr>
              <w:spacing w:after="0"/>
              <w:rPr>
                <w:sz w:val="14"/>
                <w:szCs w:val="14"/>
                <w:color w:val="auto"/>
              </w:rPr>
            </w:pPr>
          </w:p>
        </w:tc>
        <w:tc>
          <w:tcPr>
            <w:tcW w:w="7660" w:type="dxa"/>
            <w:vAlign w:val="bottom"/>
            <w:gridSpan w:val="3"/>
          </w:tcPr>
          <w:p>
            <w:pPr>
              <w:jc w:val="center"/>
              <w:ind w:right="3733"/>
              <w:spacing w:after="0"/>
              <w:rPr>
                <w:sz w:val="20"/>
                <w:szCs w:val="20"/>
                <w:color w:val="auto"/>
              </w:rPr>
            </w:pPr>
            <w:r>
              <w:rPr>
                <w:rFonts w:ascii="Arial" w:cs="Arial" w:eastAsia="Arial" w:hAnsi="Arial"/>
                <w:sz w:val="13"/>
                <w:szCs w:val="13"/>
                <w:b w:val="1"/>
                <w:bCs w:val="1"/>
                <w:color w:val="auto"/>
                <w:w w:val="95"/>
              </w:rPr>
              <w:t>Attn: The Bank of New York Mellon Trust Company, N.A.</w:t>
            </w:r>
          </w:p>
        </w:tc>
      </w:tr>
      <w:tr>
        <w:trPr>
          <w:trHeight w:val="163"/>
        </w:trPr>
        <w:tc>
          <w:tcPr>
            <w:tcW w:w="3800" w:type="dxa"/>
            <w:vAlign w:val="bottom"/>
          </w:tcPr>
          <w:p>
            <w:pPr>
              <w:spacing w:after="0"/>
              <w:rPr>
                <w:sz w:val="14"/>
                <w:szCs w:val="14"/>
                <w:color w:val="auto"/>
              </w:rPr>
            </w:pPr>
          </w:p>
        </w:tc>
        <w:tc>
          <w:tcPr>
            <w:tcW w:w="3420" w:type="dxa"/>
            <w:vAlign w:val="bottom"/>
            <w:gridSpan w:val="2"/>
          </w:tcPr>
          <w:p>
            <w:pPr>
              <w:jc w:val="center"/>
              <w:ind w:left="391"/>
              <w:spacing w:after="0"/>
              <w:rPr>
                <w:sz w:val="20"/>
                <w:szCs w:val="20"/>
                <w:color w:val="auto"/>
              </w:rPr>
            </w:pPr>
            <w:r>
              <w:rPr>
                <w:rFonts w:ascii="Arial" w:cs="Arial" w:eastAsia="Arial" w:hAnsi="Arial"/>
                <w:sz w:val="13"/>
                <w:szCs w:val="13"/>
                <w:b w:val="1"/>
                <w:bCs w:val="1"/>
                <w:color w:val="auto"/>
                <w:w w:val="93"/>
              </w:rPr>
              <w:t>213-630-6205</w:t>
            </w:r>
          </w:p>
        </w:tc>
        <w:tc>
          <w:tcPr>
            <w:tcW w:w="4240" w:type="dxa"/>
            <w:vAlign w:val="bottom"/>
          </w:tcPr>
          <w:p>
            <w:pPr>
              <w:spacing w:after="0"/>
              <w:rPr>
                <w:sz w:val="14"/>
                <w:szCs w:val="14"/>
                <w:color w:val="auto"/>
              </w:rPr>
            </w:pPr>
          </w:p>
        </w:tc>
      </w:tr>
      <w:tr>
        <w:trPr>
          <w:trHeight w:val="172"/>
        </w:trPr>
        <w:tc>
          <w:tcPr>
            <w:tcW w:w="3800" w:type="dxa"/>
            <w:vAlign w:val="bottom"/>
          </w:tcPr>
          <w:p>
            <w:pPr>
              <w:spacing w:after="0"/>
              <w:rPr>
                <w:sz w:val="14"/>
                <w:szCs w:val="14"/>
                <w:color w:val="auto"/>
              </w:rPr>
            </w:pPr>
          </w:p>
        </w:tc>
        <w:tc>
          <w:tcPr>
            <w:tcW w:w="7660" w:type="dxa"/>
            <w:vAlign w:val="bottom"/>
            <w:gridSpan w:val="3"/>
          </w:tcPr>
          <w:p>
            <w:pPr>
              <w:jc w:val="center"/>
              <w:ind w:right="3733"/>
              <w:spacing w:after="0"/>
              <w:rPr>
                <w:sz w:val="20"/>
                <w:szCs w:val="20"/>
                <w:color w:val="auto"/>
              </w:rPr>
            </w:pPr>
            <w:r>
              <w:rPr>
                <w:rFonts w:ascii="Arial" w:cs="Arial" w:eastAsia="Arial" w:hAnsi="Arial"/>
                <w:sz w:val="13"/>
                <w:szCs w:val="13"/>
                <w:color w:val="auto"/>
                <w:w w:val="92"/>
              </w:rPr>
              <w:t>(Name, address and telephone number of agent for service)</w:t>
            </w:r>
          </w:p>
        </w:tc>
      </w:tr>
      <w:tr>
        <w:trPr>
          <w:trHeight w:val="222"/>
        </w:trPr>
        <w:tc>
          <w:tcPr>
            <w:tcW w:w="3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980" w:type="dxa"/>
            <w:vAlign w:val="bottom"/>
            <w:tcBorders>
              <w:bottom w:val="single" w:sz="8" w:color="auto"/>
            </w:tcBorders>
          </w:tcPr>
          <w:p>
            <w:pPr>
              <w:spacing w:after="0"/>
              <w:rPr>
                <w:sz w:val="19"/>
                <w:szCs w:val="19"/>
                <w:color w:val="auto"/>
              </w:rPr>
            </w:pPr>
          </w:p>
        </w:tc>
        <w:tc>
          <w:tcPr>
            <w:tcW w:w="4240" w:type="dxa"/>
            <w:vAlign w:val="bottom"/>
          </w:tcPr>
          <w:p>
            <w:pPr>
              <w:spacing w:after="0"/>
              <w:rPr>
                <w:sz w:val="19"/>
                <w:szCs w:val="19"/>
                <w:color w:val="auto"/>
              </w:rPr>
            </w:pPr>
          </w:p>
        </w:tc>
      </w:tr>
      <w:tr>
        <w:trPr>
          <w:trHeight w:val="352"/>
        </w:trPr>
        <w:tc>
          <w:tcPr>
            <w:tcW w:w="3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20" w:type="dxa"/>
            <w:vAlign w:val="bottom"/>
            <w:gridSpan w:val="2"/>
          </w:tcPr>
          <w:p>
            <w:pPr>
              <w:jc w:val="center"/>
              <w:ind w:right="4173"/>
              <w:spacing w:after="0"/>
              <w:rPr>
                <w:sz w:val="20"/>
                <w:szCs w:val="20"/>
                <w:color w:val="auto"/>
              </w:rPr>
            </w:pPr>
            <w:r>
              <w:rPr>
                <w:rFonts w:ascii="Arial" w:cs="Arial" w:eastAsia="Arial" w:hAnsi="Arial"/>
                <w:sz w:val="13"/>
                <w:szCs w:val="13"/>
                <w:b w:val="1"/>
                <w:bCs w:val="1"/>
                <w:color w:val="auto"/>
                <w:w w:val="94"/>
              </w:rPr>
              <w:t>Waste Management, Inc.</w:t>
            </w:r>
          </w:p>
        </w:tc>
      </w:tr>
      <w:tr>
        <w:trPr>
          <w:trHeight w:val="172"/>
        </w:trPr>
        <w:tc>
          <w:tcPr>
            <w:tcW w:w="3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20" w:type="dxa"/>
            <w:vAlign w:val="bottom"/>
            <w:gridSpan w:val="2"/>
          </w:tcPr>
          <w:p>
            <w:pPr>
              <w:jc w:val="center"/>
              <w:ind w:right="4173"/>
              <w:spacing w:after="0"/>
              <w:rPr>
                <w:sz w:val="20"/>
                <w:szCs w:val="20"/>
                <w:color w:val="auto"/>
              </w:rPr>
            </w:pPr>
            <w:r>
              <w:rPr>
                <w:rFonts w:ascii="Arial" w:cs="Arial" w:eastAsia="Arial" w:hAnsi="Arial"/>
                <w:sz w:val="13"/>
                <w:szCs w:val="13"/>
                <w:color w:val="auto"/>
                <w:w w:val="94"/>
              </w:rPr>
              <w:t>(Exact name of obligor as specified in its charter)</w:t>
            </w:r>
          </w:p>
        </w:tc>
      </w:tr>
      <w:tr>
        <w:trPr>
          <w:trHeight w:val="312"/>
        </w:trPr>
        <w:tc>
          <w:tcPr>
            <w:tcW w:w="3800" w:type="dxa"/>
            <w:vAlign w:val="bottom"/>
          </w:tcPr>
          <w:p>
            <w:pPr>
              <w:jc w:val="center"/>
              <w:ind w:left="1593"/>
              <w:spacing w:after="0"/>
              <w:rPr>
                <w:sz w:val="20"/>
                <w:szCs w:val="20"/>
                <w:color w:val="auto"/>
              </w:rPr>
            </w:pPr>
            <w:r>
              <w:rPr>
                <w:rFonts w:ascii="Arial" w:cs="Arial" w:eastAsia="Arial" w:hAnsi="Arial"/>
                <w:sz w:val="13"/>
                <w:szCs w:val="13"/>
                <w:b w:val="1"/>
                <w:bCs w:val="1"/>
                <w:color w:val="auto"/>
                <w:w w:val="94"/>
              </w:rPr>
              <w:t>Delaware</w:t>
            </w:r>
          </w:p>
        </w:tc>
        <w:tc>
          <w:tcPr>
            <w:tcW w:w="7660" w:type="dxa"/>
            <w:vAlign w:val="bottom"/>
            <w:gridSpan w:val="3"/>
          </w:tcPr>
          <w:p>
            <w:pPr>
              <w:jc w:val="center"/>
              <w:ind w:left="2151"/>
              <w:spacing w:after="0"/>
              <w:rPr>
                <w:sz w:val="20"/>
                <w:szCs w:val="20"/>
                <w:color w:val="auto"/>
              </w:rPr>
            </w:pPr>
            <w:r>
              <w:rPr>
                <w:rFonts w:ascii="Arial" w:cs="Arial" w:eastAsia="Arial" w:hAnsi="Arial"/>
                <w:sz w:val="13"/>
                <w:szCs w:val="13"/>
                <w:b w:val="1"/>
                <w:bCs w:val="1"/>
                <w:color w:val="auto"/>
                <w:w w:val="92"/>
              </w:rPr>
              <w:t>73-1309529</w:t>
            </w:r>
          </w:p>
        </w:tc>
      </w:tr>
      <w:tr>
        <w:trPr>
          <w:trHeight w:val="161"/>
        </w:trPr>
        <w:tc>
          <w:tcPr>
            <w:tcW w:w="3800" w:type="dxa"/>
            <w:vAlign w:val="bottom"/>
          </w:tcPr>
          <w:p>
            <w:pPr>
              <w:jc w:val="center"/>
              <w:ind w:left="1573"/>
              <w:spacing w:after="0"/>
              <w:rPr>
                <w:sz w:val="20"/>
                <w:szCs w:val="20"/>
                <w:color w:val="auto"/>
              </w:rPr>
            </w:pPr>
            <w:r>
              <w:rPr>
                <w:rFonts w:ascii="Arial" w:cs="Arial" w:eastAsia="Arial" w:hAnsi="Arial"/>
                <w:sz w:val="13"/>
                <w:szCs w:val="13"/>
                <w:color w:val="auto"/>
                <w:w w:val="95"/>
              </w:rPr>
              <w:t>(State or other jurisdiction of</w:t>
            </w:r>
          </w:p>
        </w:tc>
        <w:tc>
          <w:tcPr>
            <w:tcW w:w="4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4240" w:type="dxa"/>
            <w:vAlign w:val="bottom"/>
          </w:tcPr>
          <w:p>
            <w:pPr>
              <w:jc w:val="center"/>
              <w:ind w:right="1153"/>
              <w:spacing w:after="0"/>
              <w:rPr>
                <w:sz w:val="20"/>
                <w:szCs w:val="20"/>
                <w:color w:val="auto"/>
              </w:rPr>
            </w:pPr>
            <w:r>
              <w:rPr>
                <w:rFonts w:ascii="Arial" w:cs="Arial" w:eastAsia="Arial" w:hAnsi="Arial"/>
                <w:sz w:val="13"/>
                <w:szCs w:val="13"/>
                <w:color w:val="auto"/>
                <w:w w:val="95"/>
              </w:rPr>
              <w:t>(I.R.S. employer</w:t>
            </w:r>
          </w:p>
        </w:tc>
      </w:tr>
      <w:tr>
        <w:trPr>
          <w:trHeight w:val="172"/>
        </w:trPr>
        <w:tc>
          <w:tcPr>
            <w:tcW w:w="3800" w:type="dxa"/>
            <w:vAlign w:val="bottom"/>
          </w:tcPr>
          <w:p>
            <w:pPr>
              <w:jc w:val="center"/>
              <w:ind w:left="1573"/>
              <w:spacing w:after="0"/>
              <w:rPr>
                <w:sz w:val="20"/>
                <w:szCs w:val="20"/>
                <w:color w:val="auto"/>
              </w:rPr>
            </w:pPr>
            <w:r>
              <w:rPr>
                <w:rFonts w:ascii="Arial" w:cs="Arial" w:eastAsia="Arial" w:hAnsi="Arial"/>
                <w:sz w:val="13"/>
                <w:szCs w:val="13"/>
                <w:color w:val="auto"/>
                <w:w w:val="94"/>
              </w:rPr>
              <w:t>incorporation or organization)</w:t>
            </w:r>
          </w:p>
        </w:tc>
        <w:tc>
          <w:tcPr>
            <w:tcW w:w="4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4240" w:type="dxa"/>
            <w:vAlign w:val="bottom"/>
          </w:tcPr>
          <w:p>
            <w:pPr>
              <w:jc w:val="center"/>
              <w:ind w:right="1133"/>
              <w:spacing w:after="0"/>
              <w:rPr>
                <w:sz w:val="20"/>
                <w:szCs w:val="20"/>
                <w:color w:val="auto"/>
              </w:rPr>
            </w:pPr>
            <w:r>
              <w:rPr>
                <w:rFonts w:ascii="Arial" w:cs="Arial" w:eastAsia="Arial" w:hAnsi="Arial"/>
                <w:sz w:val="13"/>
                <w:szCs w:val="13"/>
                <w:color w:val="auto"/>
                <w:w w:val="97"/>
              </w:rPr>
              <w:t>identification no.)</w:t>
            </w:r>
          </w:p>
        </w:tc>
      </w:tr>
      <w:tr>
        <w:trPr>
          <w:trHeight w:val="310"/>
        </w:trPr>
        <w:tc>
          <w:tcPr>
            <w:tcW w:w="3800" w:type="dxa"/>
            <w:vAlign w:val="bottom"/>
          </w:tcPr>
          <w:p>
            <w:pPr>
              <w:jc w:val="center"/>
              <w:ind w:left="1573"/>
              <w:spacing w:after="0"/>
              <w:rPr>
                <w:sz w:val="20"/>
                <w:szCs w:val="20"/>
                <w:color w:val="auto"/>
              </w:rPr>
            </w:pPr>
            <w:r>
              <w:rPr>
                <w:rFonts w:ascii="Arial" w:cs="Arial" w:eastAsia="Arial" w:hAnsi="Arial"/>
                <w:sz w:val="13"/>
                <w:szCs w:val="13"/>
                <w:b w:val="1"/>
                <w:bCs w:val="1"/>
                <w:color w:val="auto"/>
                <w:w w:val="94"/>
              </w:rPr>
              <w:t>1001 Fannin Street, Suite 4000</w:t>
            </w:r>
          </w:p>
        </w:tc>
        <w:tc>
          <w:tcPr>
            <w:tcW w:w="7660" w:type="dxa"/>
            <w:vAlign w:val="bottom"/>
            <w:gridSpan w:val="3"/>
          </w:tcPr>
          <w:p>
            <w:pPr>
              <w:jc w:val="center"/>
              <w:ind w:left="2131"/>
              <w:spacing w:after="0"/>
              <w:rPr>
                <w:sz w:val="20"/>
                <w:szCs w:val="20"/>
                <w:color w:val="auto"/>
              </w:rPr>
            </w:pPr>
            <w:r>
              <w:rPr>
                <w:rFonts w:ascii="Arial" w:cs="Arial" w:eastAsia="Arial" w:hAnsi="Arial"/>
                <w:sz w:val="13"/>
                <w:szCs w:val="13"/>
                <w:b w:val="1"/>
                <w:bCs w:val="1"/>
                <w:color w:val="auto"/>
                <w:w w:val="93"/>
              </w:rPr>
              <w:t>77002</w:t>
            </w:r>
          </w:p>
        </w:tc>
      </w:tr>
      <w:tr>
        <w:trPr>
          <w:trHeight w:val="163"/>
        </w:trPr>
        <w:tc>
          <w:tcPr>
            <w:tcW w:w="3800" w:type="dxa"/>
            <w:vAlign w:val="bottom"/>
          </w:tcPr>
          <w:p>
            <w:pPr>
              <w:jc w:val="center"/>
              <w:ind w:left="1573"/>
              <w:spacing w:after="0"/>
              <w:rPr>
                <w:sz w:val="20"/>
                <w:szCs w:val="20"/>
                <w:color w:val="auto"/>
              </w:rPr>
            </w:pPr>
            <w:r>
              <w:rPr>
                <w:rFonts w:ascii="Arial" w:cs="Arial" w:eastAsia="Arial" w:hAnsi="Arial"/>
                <w:sz w:val="13"/>
                <w:szCs w:val="13"/>
                <w:b w:val="1"/>
                <w:bCs w:val="1"/>
                <w:color w:val="auto"/>
                <w:w w:val="90"/>
              </w:rPr>
              <w:t>Houston, Texas</w:t>
            </w:r>
          </w:p>
        </w:tc>
        <w:tc>
          <w:tcPr>
            <w:tcW w:w="4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4240" w:type="dxa"/>
            <w:vAlign w:val="bottom"/>
          </w:tcPr>
          <w:p>
            <w:pPr>
              <w:jc w:val="center"/>
              <w:ind w:right="1133"/>
              <w:spacing w:after="0"/>
              <w:rPr>
                <w:sz w:val="20"/>
                <w:szCs w:val="20"/>
                <w:color w:val="auto"/>
              </w:rPr>
            </w:pPr>
            <w:r>
              <w:rPr>
                <w:rFonts w:ascii="Arial" w:cs="Arial" w:eastAsia="Arial" w:hAnsi="Arial"/>
                <w:sz w:val="13"/>
                <w:szCs w:val="13"/>
                <w:color w:val="auto"/>
                <w:w w:val="97"/>
              </w:rPr>
              <w:t>(Zip Code)</w:t>
            </w:r>
          </w:p>
        </w:tc>
      </w:tr>
      <w:tr>
        <w:trPr>
          <w:trHeight w:val="172"/>
        </w:trPr>
        <w:tc>
          <w:tcPr>
            <w:tcW w:w="3800" w:type="dxa"/>
            <w:vAlign w:val="bottom"/>
          </w:tcPr>
          <w:p>
            <w:pPr>
              <w:jc w:val="center"/>
              <w:ind w:left="1573"/>
              <w:spacing w:after="0"/>
              <w:rPr>
                <w:sz w:val="20"/>
                <w:szCs w:val="20"/>
                <w:color w:val="auto"/>
              </w:rPr>
            </w:pPr>
            <w:r>
              <w:rPr>
                <w:rFonts w:ascii="Arial" w:cs="Arial" w:eastAsia="Arial" w:hAnsi="Arial"/>
                <w:sz w:val="13"/>
                <w:szCs w:val="13"/>
                <w:color w:val="auto"/>
                <w:w w:val="95"/>
              </w:rPr>
              <w:t>(Address of principal executive offices)</w:t>
            </w:r>
          </w:p>
        </w:tc>
        <w:tc>
          <w:tcPr>
            <w:tcW w:w="4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4240" w:type="dxa"/>
            <w:vAlign w:val="bottom"/>
          </w:tcPr>
          <w:p>
            <w:pPr>
              <w:spacing w:after="0"/>
              <w:rPr>
                <w:sz w:val="14"/>
                <w:szCs w:val="14"/>
                <w:color w:val="auto"/>
              </w:rPr>
            </w:pPr>
          </w:p>
        </w:tc>
      </w:tr>
      <w:tr>
        <w:trPr>
          <w:trHeight w:val="212"/>
        </w:trPr>
        <w:tc>
          <w:tcPr>
            <w:tcW w:w="3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980" w:type="dxa"/>
            <w:vAlign w:val="bottom"/>
            <w:tcBorders>
              <w:bottom w:val="single" w:sz="8" w:color="auto"/>
            </w:tcBorders>
          </w:tcPr>
          <w:p>
            <w:pPr>
              <w:spacing w:after="0"/>
              <w:rPr>
                <w:sz w:val="18"/>
                <w:szCs w:val="18"/>
                <w:color w:val="auto"/>
              </w:rPr>
            </w:pPr>
          </w:p>
        </w:tc>
        <w:tc>
          <w:tcPr>
            <w:tcW w:w="4240" w:type="dxa"/>
            <w:vAlign w:val="bottom"/>
          </w:tcPr>
          <w:p>
            <w:pPr>
              <w:spacing w:after="0"/>
              <w:rPr>
                <w:sz w:val="18"/>
                <w:szCs w:val="18"/>
                <w:color w:val="auto"/>
              </w:rPr>
            </w:pPr>
          </w:p>
        </w:tc>
      </w:tr>
      <w:tr>
        <w:trPr>
          <w:trHeight w:val="282"/>
        </w:trPr>
        <w:tc>
          <w:tcPr>
            <w:tcW w:w="3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20" w:type="dxa"/>
            <w:vAlign w:val="bottom"/>
            <w:gridSpan w:val="2"/>
          </w:tcPr>
          <w:p>
            <w:pPr>
              <w:jc w:val="center"/>
              <w:ind w:right="4153"/>
              <w:spacing w:after="0"/>
              <w:rPr>
                <w:sz w:val="20"/>
                <w:szCs w:val="20"/>
                <w:color w:val="auto"/>
              </w:rPr>
            </w:pPr>
            <w:r>
              <w:rPr>
                <w:rFonts w:ascii="Arial" w:cs="Arial" w:eastAsia="Arial" w:hAnsi="Arial"/>
                <w:sz w:val="13"/>
                <w:szCs w:val="13"/>
                <w:b w:val="1"/>
                <w:bCs w:val="1"/>
                <w:color w:val="auto"/>
                <w:w w:val="92"/>
              </w:rPr>
              <w:t>Subordinated Debt Securities</w:t>
            </w:r>
          </w:p>
        </w:tc>
      </w:tr>
      <w:tr>
        <w:trPr>
          <w:trHeight w:val="151"/>
        </w:trPr>
        <w:tc>
          <w:tcPr>
            <w:tcW w:w="38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980" w:type="dxa"/>
            <w:vAlign w:val="bottom"/>
            <w:tcBorders>
              <w:bottom w:val="single" w:sz="8" w:color="auto"/>
            </w:tcBorders>
          </w:tcPr>
          <w:p>
            <w:pPr>
              <w:spacing w:after="0"/>
              <w:rPr>
                <w:sz w:val="13"/>
                <w:szCs w:val="13"/>
                <w:color w:val="auto"/>
              </w:rPr>
            </w:pPr>
          </w:p>
        </w:tc>
        <w:tc>
          <w:tcPr>
            <w:tcW w:w="4240" w:type="dxa"/>
            <w:vAlign w:val="bottom"/>
            <w:tcBorders>
              <w:bottom w:val="single" w:sz="8" w:color="auto"/>
            </w:tcBorders>
          </w:tcPr>
          <w:p>
            <w:pPr>
              <w:spacing w:after="0"/>
              <w:rPr>
                <w:sz w:val="13"/>
                <w:szCs w:val="13"/>
                <w:color w:val="auto"/>
              </w:rPr>
            </w:pPr>
          </w:p>
        </w:tc>
      </w:tr>
      <w:tr>
        <w:trPr>
          <w:trHeight w:val="20"/>
        </w:trPr>
        <w:tc>
          <w:tcPr>
            <w:tcW w:w="3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c>
          <w:tcPr>
            <w:tcW w:w="4240" w:type="dxa"/>
            <w:vAlign w:val="bottom"/>
            <w:tcBorders>
              <w:bottom w:val="single" w:sz="8" w:color="auto"/>
            </w:tcBorders>
          </w:tcPr>
          <w:p>
            <w:pPr>
              <w:spacing w:after="0" w:line="20" w:lineRule="exact"/>
              <w:rPr>
                <w:sz w:val="1"/>
                <w:szCs w:val="1"/>
                <w:color w:val="auto"/>
              </w:rPr>
            </w:pPr>
          </w:p>
        </w:tc>
      </w:tr>
      <w:tr>
        <w:trPr>
          <w:trHeight w:val="429"/>
        </w:trPr>
        <w:tc>
          <w:tcPr>
            <w:tcW w:w="380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2980" w:type="dxa"/>
            <w:vAlign w:val="bottom"/>
            <w:tcBorders>
              <w:bottom w:val="single" w:sz="8" w:color="808080"/>
            </w:tcBorders>
          </w:tcPr>
          <w:p>
            <w:pPr>
              <w:spacing w:after="0"/>
              <w:rPr>
                <w:sz w:val="24"/>
                <w:szCs w:val="24"/>
                <w:color w:val="auto"/>
              </w:rPr>
            </w:pPr>
          </w:p>
        </w:tc>
        <w:tc>
          <w:tcPr>
            <w:tcW w:w="42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7272020</wp:posOffset>
            </wp:positionH>
            <wp:positionV relativeFrom="paragraph">
              <wp:posOffset>-12065</wp:posOffset>
            </wp:positionV>
            <wp:extent cx="12700" cy="6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-12065</wp:posOffset>
            </wp:positionV>
            <wp:extent cx="12700" cy="6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sectPr>
      </w:pPr>
    </w:p>
    <w:bookmarkStart w:id="60" w:name="page61"/>
    <w:bookmarkEnd w:id="60"/>
    <w:p>
      <w:pPr>
        <w:ind w:left="460" w:hanging="459"/>
        <w:spacing w:after="0"/>
        <w:tabs>
          <w:tab w:leader="none" w:pos="460" w:val="left"/>
        </w:tabs>
        <w:numPr>
          <w:ilvl w:val="0"/>
          <w:numId w:val="53"/>
        </w:numPr>
        <w:rPr>
          <w:rFonts w:ascii="Arial" w:cs="Arial" w:eastAsia="Arial" w:hAnsi="Arial"/>
          <w:sz w:val="13"/>
          <w:szCs w:val="13"/>
          <w:b w:val="1"/>
          <w:bCs w:val="1"/>
          <w:color w:val="auto"/>
        </w:rPr>
      </w:pPr>
      <w:r>
        <w:rPr>
          <w:rFonts w:ascii="Arial" w:cs="Arial" w:eastAsia="Arial" w:hAnsi="Arial"/>
          <w:sz w:val="13"/>
          <w:szCs w:val="13"/>
          <w:b w:val="1"/>
          <w:bCs w:val="1"/>
          <w:color w:val="auto"/>
        </w:rPr>
        <w:t>General information. Furnish the following information as to the trustee:</w:t>
      </w:r>
    </w:p>
    <w:p>
      <w:pPr>
        <w:spacing w:after="0" w:line="92" w:lineRule="exact"/>
        <w:rPr>
          <w:rFonts w:ascii="Arial" w:cs="Arial" w:eastAsia="Arial" w:hAnsi="Arial"/>
          <w:sz w:val="13"/>
          <w:szCs w:val="13"/>
          <w:b w:val="1"/>
          <w:bCs w:val="1"/>
          <w:color w:val="auto"/>
        </w:rPr>
      </w:pPr>
    </w:p>
    <w:p>
      <w:pPr>
        <w:ind w:left="900" w:hanging="446"/>
        <w:spacing w:after="0"/>
        <w:tabs>
          <w:tab w:leader="none" w:pos="900" w:val="left"/>
        </w:tabs>
        <w:numPr>
          <w:ilvl w:val="1"/>
          <w:numId w:val="53"/>
        </w:numPr>
        <w:rPr>
          <w:rFonts w:ascii="Arial" w:cs="Arial" w:eastAsia="Arial" w:hAnsi="Arial"/>
          <w:sz w:val="13"/>
          <w:szCs w:val="13"/>
          <w:b w:val="1"/>
          <w:bCs w:val="1"/>
          <w:color w:val="auto"/>
        </w:rPr>
      </w:pPr>
      <w:r>
        <w:rPr>
          <w:rFonts w:ascii="Arial" w:cs="Arial" w:eastAsia="Arial" w:hAnsi="Arial"/>
          <w:sz w:val="13"/>
          <w:szCs w:val="13"/>
          <w:b w:val="1"/>
          <w:bCs w:val="1"/>
          <w:color w:val="auto"/>
        </w:rPr>
        <w:t>Name and address of each examining or supervising authority to which it is subject.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5720" w:type="dxa"/>
            <w:vAlign w:val="bottom"/>
            <w:tcBorders>
              <w:bottom w:val="single" w:sz="8" w:color="auto"/>
            </w:tcBorders>
          </w:tcPr>
          <w:p>
            <w:pPr>
              <w:ind w:left="2720"/>
              <w:spacing w:after="0"/>
              <w:rPr>
                <w:sz w:val="20"/>
                <w:szCs w:val="20"/>
                <w:color w:val="auto"/>
              </w:rPr>
            </w:pPr>
            <w:r>
              <w:rPr>
                <w:rFonts w:ascii="Arial" w:cs="Arial" w:eastAsia="Arial" w:hAnsi="Arial"/>
                <w:sz w:val="11"/>
                <w:szCs w:val="11"/>
                <w:color w:val="auto"/>
              </w:rPr>
              <w:t>Name</w:t>
            </w:r>
          </w:p>
        </w:tc>
        <w:tc>
          <w:tcPr>
            <w:tcW w:w="100" w:type="dxa"/>
            <w:vAlign w:val="bottom"/>
          </w:tcPr>
          <w:p>
            <w:pPr>
              <w:spacing w:after="0"/>
              <w:rPr>
                <w:sz w:val="10"/>
                <w:szCs w:val="10"/>
                <w:color w:val="auto"/>
              </w:rPr>
            </w:pPr>
          </w:p>
        </w:tc>
        <w:tc>
          <w:tcPr>
            <w:tcW w:w="5620" w:type="dxa"/>
            <w:vAlign w:val="bottom"/>
            <w:tcBorders>
              <w:bottom w:val="single" w:sz="8" w:color="auto"/>
            </w:tcBorders>
          </w:tcPr>
          <w:p>
            <w:pPr>
              <w:ind w:left="2640"/>
              <w:spacing w:after="0"/>
              <w:rPr>
                <w:sz w:val="20"/>
                <w:szCs w:val="20"/>
                <w:color w:val="auto"/>
              </w:rPr>
            </w:pPr>
            <w:r>
              <w:rPr>
                <w:rFonts w:ascii="Arial" w:cs="Arial" w:eastAsia="Arial" w:hAnsi="Arial"/>
                <w:sz w:val="11"/>
                <w:szCs w:val="11"/>
                <w:color w:val="auto"/>
              </w:rPr>
              <w:t>Address</w:t>
            </w:r>
          </w:p>
        </w:tc>
      </w:tr>
      <w:tr>
        <w:trPr>
          <w:trHeight w:val="162"/>
        </w:trPr>
        <w:tc>
          <w:tcPr>
            <w:tcW w:w="20" w:type="dxa"/>
            <w:vAlign w:val="bottom"/>
          </w:tcPr>
          <w:p>
            <w:pPr>
              <w:spacing w:after="0"/>
              <w:rPr>
                <w:sz w:val="14"/>
                <w:szCs w:val="14"/>
                <w:color w:val="auto"/>
              </w:rPr>
            </w:pPr>
          </w:p>
        </w:tc>
        <w:tc>
          <w:tcPr>
            <w:tcW w:w="5720" w:type="dxa"/>
            <w:vAlign w:val="bottom"/>
          </w:tcPr>
          <w:p>
            <w:pPr>
              <w:spacing w:after="0"/>
              <w:rPr>
                <w:sz w:val="20"/>
                <w:szCs w:val="20"/>
                <w:color w:val="auto"/>
              </w:rPr>
            </w:pPr>
            <w:r>
              <w:rPr>
                <w:rFonts w:ascii="Arial" w:cs="Arial" w:eastAsia="Arial" w:hAnsi="Arial"/>
                <w:sz w:val="13"/>
                <w:szCs w:val="13"/>
                <w:color w:val="auto"/>
              </w:rPr>
              <w:t>Comptroller of the Currency United States Department of the Treasury</w:t>
            </w:r>
          </w:p>
        </w:tc>
        <w:tc>
          <w:tcPr>
            <w:tcW w:w="100" w:type="dxa"/>
            <w:vAlign w:val="bottom"/>
          </w:tcPr>
          <w:p>
            <w:pPr>
              <w:spacing w:after="0"/>
              <w:rPr>
                <w:sz w:val="14"/>
                <w:szCs w:val="14"/>
                <w:color w:val="auto"/>
              </w:rPr>
            </w:pPr>
          </w:p>
        </w:tc>
        <w:tc>
          <w:tcPr>
            <w:tcW w:w="5620" w:type="dxa"/>
            <w:vAlign w:val="bottom"/>
          </w:tcPr>
          <w:p>
            <w:pPr>
              <w:spacing w:after="0"/>
              <w:rPr>
                <w:sz w:val="20"/>
                <w:szCs w:val="20"/>
                <w:color w:val="auto"/>
              </w:rPr>
            </w:pPr>
            <w:r>
              <w:rPr>
                <w:rFonts w:ascii="Arial" w:cs="Arial" w:eastAsia="Arial" w:hAnsi="Arial"/>
                <w:sz w:val="13"/>
                <w:szCs w:val="13"/>
                <w:color w:val="auto"/>
              </w:rPr>
              <w:t>Washington, D.C. 20219</w:t>
            </w:r>
          </w:p>
        </w:tc>
      </w:tr>
      <w:tr>
        <w:trPr>
          <w:trHeight w:val="312"/>
        </w:trPr>
        <w:tc>
          <w:tcPr>
            <w:tcW w:w="5740" w:type="dxa"/>
            <w:vAlign w:val="bottom"/>
            <w:gridSpan w:val="2"/>
          </w:tcPr>
          <w:p>
            <w:pPr>
              <w:spacing w:after="0"/>
              <w:rPr>
                <w:sz w:val="20"/>
                <w:szCs w:val="20"/>
                <w:color w:val="auto"/>
              </w:rPr>
            </w:pPr>
            <w:r>
              <w:rPr>
                <w:rFonts w:ascii="Arial" w:cs="Arial" w:eastAsia="Arial" w:hAnsi="Arial"/>
                <w:sz w:val="13"/>
                <w:szCs w:val="13"/>
                <w:color w:val="auto"/>
              </w:rPr>
              <w:t>Federal Reserve Bank</w:t>
            </w:r>
          </w:p>
        </w:tc>
        <w:tc>
          <w:tcPr>
            <w:tcW w:w="5720" w:type="dxa"/>
            <w:vAlign w:val="bottom"/>
            <w:gridSpan w:val="2"/>
          </w:tcPr>
          <w:p>
            <w:pPr>
              <w:ind w:left="100"/>
              <w:spacing w:after="0"/>
              <w:rPr>
                <w:sz w:val="20"/>
                <w:szCs w:val="20"/>
                <w:color w:val="auto"/>
              </w:rPr>
            </w:pPr>
            <w:r>
              <w:rPr>
                <w:rFonts w:ascii="Arial" w:cs="Arial" w:eastAsia="Arial" w:hAnsi="Arial"/>
                <w:sz w:val="13"/>
                <w:szCs w:val="13"/>
                <w:color w:val="auto"/>
              </w:rPr>
              <w:t>San Francisco, California 94105</w:t>
            </w:r>
          </w:p>
        </w:tc>
      </w:tr>
      <w:tr>
        <w:trPr>
          <w:trHeight w:val="322"/>
        </w:trPr>
        <w:tc>
          <w:tcPr>
            <w:tcW w:w="5740" w:type="dxa"/>
            <w:vAlign w:val="bottom"/>
            <w:gridSpan w:val="2"/>
          </w:tcPr>
          <w:p>
            <w:pPr>
              <w:spacing w:after="0"/>
              <w:rPr>
                <w:sz w:val="20"/>
                <w:szCs w:val="20"/>
                <w:color w:val="auto"/>
              </w:rPr>
            </w:pPr>
            <w:r>
              <w:rPr>
                <w:rFonts w:ascii="Arial" w:cs="Arial" w:eastAsia="Arial" w:hAnsi="Arial"/>
                <w:sz w:val="13"/>
                <w:szCs w:val="13"/>
                <w:color w:val="auto"/>
              </w:rPr>
              <w:t>Federal Deposit Insurance Corporation</w:t>
            </w:r>
          </w:p>
        </w:tc>
        <w:tc>
          <w:tcPr>
            <w:tcW w:w="5720" w:type="dxa"/>
            <w:vAlign w:val="bottom"/>
            <w:gridSpan w:val="2"/>
          </w:tcPr>
          <w:p>
            <w:pPr>
              <w:ind w:left="100"/>
              <w:spacing w:after="0"/>
              <w:rPr>
                <w:sz w:val="20"/>
                <w:szCs w:val="20"/>
                <w:color w:val="auto"/>
              </w:rPr>
            </w:pPr>
            <w:r>
              <w:rPr>
                <w:rFonts w:ascii="Arial" w:cs="Arial" w:eastAsia="Arial" w:hAnsi="Arial"/>
                <w:sz w:val="13"/>
                <w:szCs w:val="13"/>
                <w:color w:val="auto"/>
              </w:rPr>
              <w:t>Washington, D.C. 20429</w:t>
            </w:r>
          </w:p>
        </w:tc>
      </w:tr>
    </w:tbl>
    <w:p>
      <w:pPr>
        <w:spacing w:after="0" w:line="68" w:lineRule="exact"/>
        <w:rPr>
          <w:sz w:val="20"/>
          <w:szCs w:val="20"/>
          <w:color w:val="auto"/>
        </w:rPr>
      </w:pPr>
    </w:p>
    <w:p>
      <w:pPr>
        <w:ind w:left="900" w:hanging="446"/>
        <w:spacing w:after="0"/>
        <w:tabs>
          <w:tab w:leader="none" w:pos="900" w:val="left"/>
        </w:tabs>
        <w:numPr>
          <w:ilvl w:val="0"/>
          <w:numId w:val="54"/>
        </w:numPr>
        <w:rPr>
          <w:rFonts w:ascii="Arial" w:cs="Arial" w:eastAsia="Arial" w:hAnsi="Arial"/>
          <w:sz w:val="13"/>
          <w:szCs w:val="13"/>
          <w:b w:val="1"/>
          <w:bCs w:val="1"/>
          <w:color w:val="auto"/>
        </w:rPr>
      </w:pPr>
      <w:r>
        <w:rPr>
          <w:rFonts w:ascii="Arial" w:cs="Arial" w:eastAsia="Arial" w:hAnsi="Arial"/>
          <w:sz w:val="13"/>
          <w:szCs w:val="13"/>
          <w:b w:val="1"/>
          <w:bCs w:val="1"/>
          <w:color w:val="auto"/>
        </w:rPr>
        <w:t>Whether it is authorized to exercise corporate trust powers.</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3"/>
          <w:szCs w:val="13"/>
          <w:color w:val="auto"/>
        </w:rPr>
        <w:t>Yes.</w:t>
      </w:r>
    </w:p>
    <w:p>
      <w:pPr>
        <w:spacing w:after="0" w:line="100" w:lineRule="exact"/>
        <w:rPr>
          <w:sz w:val="20"/>
          <w:szCs w:val="20"/>
          <w:color w:val="auto"/>
        </w:rPr>
      </w:pPr>
    </w:p>
    <w:p>
      <w:pPr>
        <w:ind w:left="460" w:hanging="459"/>
        <w:spacing w:after="0"/>
        <w:tabs>
          <w:tab w:leader="none" w:pos="460" w:val="left"/>
        </w:tabs>
        <w:numPr>
          <w:ilvl w:val="0"/>
          <w:numId w:val="55"/>
        </w:numPr>
        <w:rPr>
          <w:rFonts w:ascii="Arial" w:cs="Arial" w:eastAsia="Arial" w:hAnsi="Arial"/>
          <w:sz w:val="13"/>
          <w:szCs w:val="13"/>
          <w:b w:val="1"/>
          <w:bCs w:val="1"/>
          <w:color w:val="auto"/>
        </w:rPr>
      </w:pPr>
      <w:r>
        <w:rPr>
          <w:rFonts w:ascii="Arial" w:cs="Arial" w:eastAsia="Arial" w:hAnsi="Arial"/>
          <w:sz w:val="13"/>
          <w:szCs w:val="13"/>
          <w:b w:val="1"/>
          <w:bCs w:val="1"/>
          <w:color w:val="auto"/>
        </w:rPr>
        <w:t>Affiliations with Obligor.</w:t>
      </w:r>
    </w:p>
    <w:p>
      <w:pPr>
        <w:spacing w:after="0" w:line="102" w:lineRule="exact"/>
        <w:rPr>
          <w:rFonts w:ascii="Arial" w:cs="Arial" w:eastAsia="Arial" w:hAnsi="Arial"/>
          <w:sz w:val="13"/>
          <w:szCs w:val="13"/>
          <w:b w:val="1"/>
          <w:bCs w:val="1"/>
          <w:color w:val="auto"/>
        </w:rPr>
      </w:pPr>
    </w:p>
    <w:p>
      <w:pPr>
        <w:ind w:left="460" w:right="6940"/>
        <w:spacing w:after="0" w:line="404" w:lineRule="auto"/>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If the obligor is an affiliate of the trustee, describe each such affiliation. </w:t>
      </w:r>
      <w:r>
        <w:rPr>
          <w:rFonts w:ascii="Arial" w:cs="Arial" w:eastAsia="Arial" w:hAnsi="Arial"/>
          <w:sz w:val="13"/>
          <w:szCs w:val="13"/>
          <w:color w:val="auto"/>
        </w:rPr>
        <w:t>None.</w:t>
      </w:r>
    </w:p>
    <w:p>
      <w:pPr>
        <w:spacing w:after="0" w:line="1" w:lineRule="exact"/>
        <w:rPr>
          <w:sz w:val="20"/>
          <w:szCs w:val="20"/>
          <w:color w:val="auto"/>
        </w:rPr>
      </w:pPr>
    </w:p>
    <w:p>
      <w:pPr>
        <w:spacing w:after="0"/>
        <w:tabs>
          <w:tab w:leader="none" w:pos="440" w:val="left"/>
        </w:tabs>
        <w:rPr>
          <w:sz w:val="20"/>
          <w:szCs w:val="20"/>
          <w:color w:val="auto"/>
        </w:rPr>
      </w:pPr>
      <w:r>
        <w:rPr>
          <w:rFonts w:ascii="Arial" w:cs="Arial" w:eastAsia="Arial" w:hAnsi="Arial"/>
          <w:sz w:val="13"/>
          <w:szCs w:val="13"/>
          <w:b w:val="1"/>
          <w:bCs w:val="1"/>
          <w:color w:val="auto"/>
        </w:rPr>
        <w:t>3-15.</w:t>
      </w:r>
      <w:r>
        <w:rPr>
          <w:sz w:val="20"/>
          <w:szCs w:val="20"/>
          <w:color w:val="auto"/>
        </w:rPr>
        <w:tab/>
      </w:r>
      <w:r>
        <w:rPr>
          <w:rFonts w:ascii="Arial" w:cs="Arial" w:eastAsia="Arial" w:hAnsi="Arial"/>
          <w:sz w:val="12"/>
          <w:szCs w:val="12"/>
          <w:b w:val="1"/>
          <w:bCs w:val="1"/>
          <w:color w:val="auto"/>
        </w:rPr>
        <w:t>Not applicable.</w:t>
      </w:r>
    </w:p>
    <w:p>
      <w:pPr>
        <w:spacing w:after="0" w:line="102" w:lineRule="exact"/>
        <w:rPr>
          <w:sz w:val="20"/>
          <w:szCs w:val="20"/>
          <w:color w:val="auto"/>
        </w:rPr>
      </w:pPr>
    </w:p>
    <w:p>
      <w:pPr>
        <w:ind w:left="460" w:hanging="459"/>
        <w:spacing w:after="0"/>
        <w:tabs>
          <w:tab w:leader="none" w:pos="460" w:val="left"/>
        </w:tabs>
        <w:numPr>
          <w:ilvl w:val="0"/>
          <w:numId w:val="56"/>
        </w:numPr>
        <w:rPr>
          <w:rFonts w:ascii="Arial" w:cs="Arial" w:eastAsia="Arial" w:hAnsi="Arial"/>
          <w:sz w:val="13"/>
          <w:szCs w:val="13"/>
          <w:b w:val="1"/>
          <w:bCs w:val="1"/>
          <w:color w:val="auto"/>
        </w:rPr>
      </w:pPr>
      <w:r>
        <w:rPr>
          <w:rFonts w:ascii="Arial" w:cs="Arial" w:eastAsia="Arial" w:hAnsi="Arial"/>
          <w:sz w:val="13"/>
          <w:szCs w:val="13"/>
          <w:b w:val="1"/>
          <w:bCs w:val="1"/>
          <w:color w:val="auto"/>
        </w:rPr>
        <w:t>List of Exhibits.</w:t>
      </w:r>
    </w:p>
    <w:p>
      <w:pPr>
        <w:spacing w:after="0" w:line="102" w:lineRule="exact"/>
        <w:rPr>
          <w:rFonts w:ascii="Arial" w:cs="Arial" w:eastAsia="Arial" w:hAnsi="Arial"/>
          <w:sz w:val="13"/>
          <w:szCs w:val="13"/>
          <w:b w:val="1"/>
          <w:bCs w:val="1"/>
          <w:color w:val="auto"/>
        </w:rPr>
      </w:pPr>
    </w:p>
    <w:p>
      <w:pPr>
        <w:ind w:left="460" w:right="140"/>
        <w:spacing w:after="0" w:line="297" w:lineRule="auto"/>
        <w:rPr>
          <w:rFonts w:ascii="Arial" w:cs="Arial" w:eastAsia="Arial" w:hAnsi="Arial"/>
          <w:sz w:val="13"/>
          <w:szCs w:val="13"/>
          <w:b w:val="1"/>
          <w:bCs w:val="1"/>
          <w:color w:val="auto"/>
        </w:rPr>
      </w:pPr>
      <w:r>
        <w:rPr>
          <w:rFonts w:ascii="Arial" w:cs="Arial" w:eastAsia="Arial" w:hAnsi="Arial"/>
          <w:sz w:val="13"/>
          <w:szCs w:val="13"/>
          <w:b w:val="1"/>
          <w:bCs w:val="1"/>
          <w:color w:val="auto"/>
        </w:rPr>
        <w:t>Exhibits identified in parentheses below, on file with the Commission, are incorporated herein by reference as an exhibit hereto, pursuant to Rule 7a-29 under the Trust Indenture Act of 1939 (the “Act”) and 17 C.F.R. 229.10(d).</w:t>
      </w:r>
    </w:p>
    <w:p>
      <w:pPr>
        <w:spacing w:after="0" w:line="35" w:lineRule="exact"/>
        <w:rPr>
          <w:rFonts w:ascii="Arial" w:cs="Arial" w:eastAsia="Arial" w:hAnsi="Arial"/>
          <w:sz w:val="13"/>
          <w:szCs w:val="13"/>
          <w:b w:val="1"/>
          <w:bCs w:val="1"/>
          <w:color w:val="auto"/>
        </w:rPr>
      </w:pPr>
    </w:p>
    <w:p>
      <w:pPr>
        <w:ind w:left="900" w:right="160" w:hanging="446"/>
        <w:spacing w:after="0" w:line="294" w:lineRule="auto"/>
        <w:tabs>
          <w:tab w:leader="none" w:pos="900" w:val="left"/>
        </w:tabs>
        <w:numPr>
          <w:ilvl w:val="1"/>
          <w:numId w:val="56"/>
        </w:numPr>
        <w:rPr>
          <w:rFonts w:ascii="Arial" w:cs="Arial" w:eastAsia="Arial" w:hAnsi="Arial"/>
          <w:sz w:val="13"/>
          <w:szCs w:val="13"/>
          <w:color w:val="auto"/>
        </w:rPr>
      </w:pPr>
      <w:r>
        <w:rPr>
          <w:rFonts w:ascii="Arial" w:cs="Arial" w:eastAsia="Arial" w:hAnsi="Arial"/>
          <w:sz w:val="13"/>
          <w:szCs w:val="13"/>
          <w:color w:val="auto"/>
        </w:rPr>
        <w:t>A copy of the articles of association of The Bank of New York Mellon Trust Company, N.A. (Exhibit 1 to Form T-1 filed with Registration Statement No. 333-121948 and Exhibit 1 to Form T-1 filed with Registration Statement No. 333-152875).</w:t>
      </w:r>
    </w:p>
    <w:p>
      <w:pPr>
        <w:spacing w:after="0" w:line="46" w:lineRule="exact"/>
        <w:rPr>
          <w:rFonts w:ascii="Arial" w:cs="Arial" w:eastAsia="Arial" w:hAnsi="Arial"/>
          <w:sz w:val="13"/>
          <w:szCs w:val="13"/>
          <w:color w:val="auto"/>
        </w:rPr>
      </w:pPr>
    </w:p>
    <w:p>
      <w:pPr>
        <w:ind w:left="900" w:hanging="446"/>
        <w:spacing w:after="0"/>
        <w:tabs>
          <w:tab w:leader="none" w:pos="900" w:val="left"/>
        </w:tabs>
        <w:numPr>
          <w:ilvl w:val="1"/>
          <w:numId w:val="56"/>
        </w:numPr>
        <w:rPr>
          <w:rFonts w:ascii="Arial" w:cs="Arial" w:eastAsia="Arial" w:hAnsi="Arial"/>
          <w:sz w:val="13"/>
          <w:szCs w:val="13"/>
          <w:color w:val="auto"/>
        </w:rPr>
      </w:pPr>
      <w:r>
        <w:rPr>
          <w:rFonts w:ascii="Arial" w:cs="Arial" w:eastAsia="Arial" w:hAnsi="Arial"/>
          <w:sz w:val="13"/>
          <w:szCs w:val="13"/>
          <w:color w:val="auto"/>
        </w:rPr>
        <w:t>A copy of certificate of authority of the trustee to commence business. (Exhibit 2 to Form T-1 filed with Registration Statement No. 333-121948).</w:t>
      </w:r>
    </w:p>
    <w:p>
      <w:pPr>
        <w:spacing w:after="0" w:line="102" w:lineRule="exact"/>
        <w:rPr>
          <w:rFonts w:ascii="Arial" w:cs="Arial" w:eastAsia="Arial" w:hAnsi="Arial"/>
          <w:sz w:val="13"/>
          <w:szCs w:val="13"/>
          <w:color w:val="auto"/>
        </w:rPr>
      </w:pPr>
    </w:p>
    <w:p>
      <w:pPr>
        <w:ind w:left="900" w:hanging="446"/>
        <w:spacing w:after="0"/>
        <w:tabs>
          <w:tab w:leader="none" w:pos="900" w:val="left"/>
        </w:tabs>
        <w:numPr>
          <w:ilvl w:val="1"/>
          <w:numId w:val="56"/>
        </w:numPr>
        <w:rPr>
          <w:rFonts w:ascii="Arial" w:cs="Arial" w:eastAsia="Arial" w:hAnsi="Arial"/>
          <w:sz w:val="13"/>
          <w:szCs w:val="13"/>
          <w:color w:val="auto"/>
        </w:rPr>
      </w:pPr>
      <w:r>
        <w:rPr>
          <w:rFonts w:ascii="Arial" w:cs="Arial" w:eastAsia="Arial" w:hAnsi="Arial"/>
          <w:sz w:val="13"/>
          <w:szCs w:val="13"/>
          <w:color w:val="auto"/>
        </w:rPr>
        <w:t>A copy of the authorization of the trustee to exercise corporate trust powers. (Exhibit 3 to Form T-1 filed with Registration Statement No. 333-152875).</w:t>
      </w:r>
    </w:p>
    <w:p>
      <w:pPr>
        <w:spacing w:after="0" w:line="102" w:lineRule="exact"/>
        <w:rPr>
          <w:rFonts w:ascii="Arial" w:cs="Arial" w:eastAsia="Arial" w:hAnsi="Arial"/>
          <w:sz w:val="13"/>
          <w:szCs w:val="13"/>
          <w:color w:val="auto"/>
        </w:rPr>
      </w:pPr>
    </w:p>
    <w:p>
      <w:pPr>
        <w:ind w:left="900" w:hanging="446"/>
        <w:spacing w:after="0"/>
        <w:tabs>
          <w:tab w:leader="none" w:pos="900" w:val="left"/>
        </w:tabs>
        <w:numPr>
          <w:ilvl w:val="1"/>
          <w:numId w:val="56"/>
        </w:numPr>
        <w:rPr>
          <w:rFonts w:ascii="Arial" w:cs="Arial" w:eastAsia="Arial" w:hAnsi="Arial"/>
          <w:sz w:val="13"/>
          <w:szCs w:val="13"/>
          <w:color w:val="auto"/>
        </w:rPr>
      </w:pPr>
      <w:r>
        <w:rPr>
          <w:rFonts w:ascii="Arial" w:cs="Arial" w:eastAsia="Arial" w:hAnsi="Arial"/>
          <w:sz w:val="13"/>
          <w:szCs w:val="13"/>
          <w:color w:val="auto"/>
        </w:rPr>
        <w:t>A copy of the existing by-laws of the trustee. (Exhibit 4 to Form T-1 filed with Registration Statement No. 333-152875).</w:t>
      </w:r>
    </w:p>
    <w:p>
      <w:pPr>
        <w:spacing w:after="0" w:line="102" w:lineRule="exact"/>
        <w:rPr>
          <w:sz w:val="20"/>
          <w:szCs w:val="20"/>
          <w:color w:val="auto"/>
        </w:rPr>
      </w:pPr>
    </w:p>
    <w:p>
      <w:pPr>
        <w:ind w:left="900" w:hanging="446"/>
        <w:spacing w:after="0"/>
        <w:tabs>
          <w:tab w:leader="none" w:pos="900" w:val="left"/>
        </w:tabs>
        <w:numPr>
          <w:ilvl w:val="0"/>
          <w:numId w:val="57"/>
        </w:numPr>
        <w:rPr>
          <w:rFonts w:ascii="Arial" w:cs="Arial" w:eastAsia="Arial" w:hAnsi="Arial"/>
          <w:sz w:val="13"/>
          <w:szCs w:val="13"/>
          <w:color w:val="auto"/>
        </w:rPr>
      </w:pPr>
      <w:r>
        <w:rPr>
          <w:rFonts w:ascii="Arial" w:cs="Arial" w:eastAsia="Arial" w:hAnsi="Arial"/>
          <w:sz w:val="13"/>
          <w:szCs w:val="13"/>
          <w:color w:val="auto"/>
        </w:rPr>
        <w:t>The consent of the trustee required by Section 321(b) of the Act.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460"/>
          </w:cols>
          <w:pgMar w:left="220" w:top="731" w:right="219" w:bottom="1440" w:gutter="0" w:footer="0" w:header="0"/>
        </w:sectPr>
      </w:pPr>
    </w:p>
    <w:bookmarkStart w:id="61" w:name="page62"/>
    <w:bookmarkEnd w:id="61"/>
    <w:p>
      <w:pPr>
        <w:ind w:left="900" w:hanging="446"/>
        <w:spacing w:after="0"/>
        <w:tabs>
          <w:tab w:leader="none" w:pos="900" w:val="left"/>
        </w:tabs>
        <w:numPr>
          <w:ilvl w:val="0"/>
          <w:numId w:val="58"/>
        </w:numPr>
        <w:rPr>
          <w:rFonts w:ascii="Arial" w:cs="Arial" w:eastAsia="Arial" w:hAnsi="Arial"/>
          <w:sz w:val="13"/>
          <w:szCs w:val="13"/>
          <w:color w:val="auto"/>
        </w:rPr>
      </w:pPr>
      <w:r>
        <w:rPr>
          <w:rFonts w:ascii="Arial" w:cs="Arial" w:eastAsia="Arial" w:hAnsi="Arial"/>
          <w:sz w:val="13"/>
          <w:szCs w:val="13"/>
          <w:color w:val="auto"/>
        </w:rPr>
        <w:t>A copy of the latest report of condition of the trustee published pursuant to law or to the requirements of its supervising or examining authority.</w:t>
      </w:r>
    </w:p>
    <w:p>
      <w:pPr>
        <w:spacing w:after="0" w:line="254" w:lineRule="exact"/>
        <w:rPr>
          <w:sz w:val="20"/>
          <w:szCs w:val="20"/>
          <w:color w:val="auto"/>
        </w:rPr>
      </w:pPr>
    </w:p>
    <w:p>
      <w:pPr>
        <w:jc w:val="center"/>
        <w:ind w:right="-199"/>
        <w:spacing w:after="0"/>
        <w:rPr>
          <w:sz w:val="20"/>
          <w:szCs w:val="20"/>
          <w:color w:val="auto"/>
        </w:rPr>
      </w:pPr>
      <w:r>
        <w:rPr>
          <w:rFonts w:ascii="Arial" w:cs="Arial" w:eastAsia="Arial" w:hAnsi="Arial"/>
          <w:sz w:val="13"/>
          <w:szCs w:val="13"/>
          <w:color w:val="auto"/>
        </w:rPr>
        <w:t>SIGNATURE</w:t>
      </w:r>
    </w:p>
    <w:p>
      <w:pPr>
        <w:spacing w:after="0" w:line="92" w:lineRule="exact"/>
        <w:rPr>
          <w:sz w:val="20"/>
          <w:szCs w:val="20"/>
          <w:color w:val="auto"/>
        </w:rPr>
      </w:pPr>
    </w:p>
    <w:p>
      <w:pPr>
        <w:ind w:firstLine="336"/>
        <w:spacing w:after="0" w:line="338" w:lineRule="auto"/>
        <w:rPr>
          <w:sz w:val="20"/>
          <w:szCs w:val="20"/>
          <w:color w:val="auto"/>
        </w:rPr>
      </w:pPr>
      <w:r>
        <w:rPr>
          <w:rFonts w:ascii="Arial" w:cs="Arial" w:eastAsia="Arial" w:hAnsi="Arial"/>
          <w:sz w:val="12"/>
          <w:szCs w:val="12"/>
          <w:color w:val="auto"/>
        </w:rPr>
        <w:t>Pursuant to the requirements of the Act, the trustee, The Bank of New York Mellon Trust Company, N.A., a banking association organized and existing under the laws of the United States of America, has duly caused this statement of eligibility to be signed on its behalf by the undersigned, thereunto duly authorized, all in The City of Houston, and State of Texas, on the 22nd day of September, 2009.</w:t>
      </w:r>
    </w:p>
    <w:p>
      <w:pPr>
        <w:spacing w:after="0" w:line="95"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THE BANK OF NEW YORK MELLON TRUST COMPANY, N.A.</w:t>
      </w:r>
    </w:p>
    <w:p>
      <w:pPr>
        <w:spacing w:after="0" w:line="173"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By: /s/ Marcella Burgess</w:t>
      </w:r>
    </w:p>
    <w:p>
      <w:pPr>
        <w:spacing w:after="0" w:line="22"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Name: Marcella Burgess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-93980</wp:posOffset>
            </wp:positionV>
            <wp:extent cx="2623185" cy="6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623185" cy="6350"/>
                    </a:xfrm>
                    <a:prstGeom prst="rect">
                      <a:avLst/>
                    </a:prstGeom>
                    <a:noFill/>
                  </pic:spPr>
                </pic:pic>
              </a:graphicData>
            </a:graphic>
          </wp:anchor>
        </w:drawing>
      </w:r>
    </w:p>
    <w:p>
      <w:pPr>
        <w:spacing w:after="0" w:line="2" w:lineRule="exact"/>
        <w:rPr>
          <w:sz w:val="20"/>
          <w:szCs w:val="20"/>
          <w:color w:val="auto"/>
        </w:rPr>
      </w:pPr>
    </w:p>
    <w:p>
      <w:pPr>
        <w:ind w:left="5400"/>
        <w:spacing w:after="0"/>
        <w:tabs>
          <w:tab w:leader="none" w:pos="5820" w:val="left"/>
        </w:tabs>
        <w:rPr>
          <w:sz w:val="20"/>
          <w:szCs w:val="20"/>
          <w:color w:val="auto"/>
        </w:rPr>
      </w:pPr>
      <w:r>
        <w:rPr>
          <w:rFonts w:ascii="Arial" w:cs="Arial" w:eastAsia="Arial" w:hAnsi="Arial"/>
          <w:sz w:val="13"/>
          <w:szCs w:val="13"/>
          <w:color w:val="auto"/>
        </w:rPr>
        <w:t>Title:</w:t>
        <w:tab/>
        <w:t>Vice President</w:t>
      </w:r>
    </w:p>
    <w:p>
      <w:pPr>
        <w:spacing w:after="0" w:line="304" w:lineRule="exact"/>
        <w:rPr>
          <w:sz w:val="20"/>
          <w:szCs w:val="20"/>
          <w:color w:val="auto"/>
        </w:rPr>
      </w:pPr>
    </w:p>
    <w:p>
      <w:pPr>
        <w:jc w:val="center"/>
        <w:ind w:right="-199"/>
        <w:spacing w:after="0"/>
        <w:rPr>
          <w:sz w:val="20"/>
          <w:szCs w:val="20"/>
          <w:color w:val="auto"/>
        </w:rPr>
      </w:pPr>
      <w:r>
        <w:rPr>
          <w:rFonts w:ascii="Arial" w:cs="Arial" w:eastAsia="Arial" w:hAnsi="Arial"/>
          <w:sz w:val="13"/>
          <w:szCs w:val="13"/>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260"/>
          </w:cols>
          <w:pgMar w:left="220" w:top="733" w:right="419" w:bottom="1440" w:gutter="0" w:footer="0" w:header="0"/>
        </w:sectPr>
      </w:pPr>
    </w:p>
    <w:bookmarkStart w:id="62" w:name="page63"/>
    <w:bookmarkEnd w:id="62"/>
    <w:p>
      <w:pPr>
        <w:jc w:val="right"/>
        <w:spacing w:after="0"/>
        <w:rPr>
          <w:sz w:val="20"/>
          <w:szCs w:val="20"/>
          <w:color w:val="auto"/>
        </w:rPr>
      </w:pPr>
      <w:r>
        <w:rPr>
          <w:rFonts w:ascii="Arial" w:cs="Arial" w:eastAsia="Arial" w:hAnsi="Arial"/>
          <w:sz w:val="13"/>
          <w:szCs w:val="13"/>
          <w:b w:val="1"/>
          <w:bCs w:val="1"/>
          <w:color w:val="auto"/>
        </w:rPr>
        <w:t>EXHIBIT 6</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CONSENT OF THE TRUSTEE</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Pursuant to the requirements of Section 321 (b) of the Trust Indenture Act of 1939, and in connection with the proposed issue of </w:t>
      </w:r>
      <w:r>
        <w:rPr>
          <w:rFonts w:ascii="Arial" w:cs="Arial" w:eastAsia="Arial" w:hAnsi="Arial"/>
          <w:sz w:val="12"/>
          <w:szCs w:val="12"/>
          <w:b w:val="1"/>
          <w:bCs w:val="1"/>
          <w:color w:val="auto"/>
        </w:rPr>
        <w:t>Waste Management, Inc.,</w:t>
      </w:r>
      <w:r>
        <w:rPr>
          <w:rFonts w:ascii="Arial" w:cs="Arial" w:eastAsia="Arial" w:hAnsi="Arial"/>
          <w:sz w:val="12"/>
          <w:szCs w:val="12"/>
          <w:color w:val="auto"/>
        </w:rPr>
        <w:t xml:space="preserve"> The Bank of New York Mellon Trust Company, N.A.</w:t>
      </w:r>
    </w:p>
    <w:p>
      <w:pPr>
        <w:spacing w:after="0" w:line="36" w:lineRule="exact"/>
        <w:rPr>
          <w:sz w:val="20"/>
          <w:szCs w:val="20"/>
          <w:color w:val="auto"/>
        </w:rPr>
      </w:pPr>
    </w:p>
    <w:p>
      <w:pPr>
        <w:spacing w:after="0"/>
        <w:rPr>
          <w:sz w:val="20"/>
          <w:szCs w:val="20"/>
          <w:color w:val="auto"/>
        </w:rPr>
      </w:pPr>
      <w:r>
        <w:rPr>
          <w:rFonts w:ascii="Arial" w:cs="Arial" w:eastAsia="Arial" w:hAnsi="Arial"/>
          <w:sz w:val="12"/>
          <w:szCs w:val="12"/>
          <w:color w:val="auto"/>
        </w:rPr>
        <w:t>hereby consents that reports of examinations by Federal, State, Territorial or District authorities may be furnished by such authorities to the Securities and Exchange Commission upon request therefore.</w:t>
      </w:r>
    </w:p>
    <w:p>
      <w:pPr>
        <w:spacing w:after="0" w:line="174"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THE BANK OF NEW YORK MELLON TRUST COMPANY, N.A.</w:t>
      </w:r>
    </w:p>
    <w:p>
      <w:pPr>
        <w:spacing w:after="0" w:line="173"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By: /s/ Marcella Burgess</w:t>
      </w:r>
    </w:p>
    <w:p>
      <w:pPr>
        <w:spacing w:after="0" w:line="22"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Marcella Burgess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-93980</wp:posOffset>
            </wp:positionV>
            <wp:extent cx="2591435" cy="63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591435" cy="6350"/>
                    </a:xfrm>
                    <a:prstGeom prst="rect">
                      <a:avLst/>
                    </a:prstGeom>
                    <a:noFill/>
                  </pic:spPr>
                </pic:pic>
              </a:graphicData>
            </a:graphic>
          </wp:anchor>
        </w:drawing>
      </w:r>
    </w:p>
    <w:p>
      <w:pPr>
        <w:spacing w:after="0" w:line="2" w:lineRule="exact"/>
        <w:rPr>
          <w:sz w:val="20"/>
          <w:szCs w:val="20"/>
          <w:color w:val="auto"/>
        </w:rPr>
      </w:pPr>
    </w:p>
    <w:p>
      <w:pPr>
        <w:jc w:val="center"/>
        <w:ind w:right="-179"/>
        <w:spacing w:after="0"/>
        <w:rPr>
          <w:sz w:val="20"/>
          <w:szCs w:val="20"/>
          <w:color w:val="auto"/>
        </w:rPr>
      </w:pPr>
      <w:r>
        <w:rPr>
          <w:rFonts w:ascii="Arial" w:cs="Arial" w:eastAsia="Arial" w:hAnsi="Arial"/>
          <w:sz w:val="13"/>
          <w:szCs w:val="13"/>
          <w:color w:val="auto"/>
        </w:rPr>
        <w:t>Vice President</w:t>
      </w:r>
    </w:p>
    <w:p>
      <w:pPr>
        <w:spacing w:after="0" w:line="243" w:lineRule="exact"/>
        <w:rPr>
          <w:sz w:val="20"/>
          <w:szCs w:val="20"/>
          <w:color w:val="auto"/>
        </w:rPr>
      </w:pPr>
    </w:p>
    <w:p>
      <w:pPr>
        <w:spacing w:after="0"/>
        <w:rPr>
          <w:sz w:val="20"/>
          <w:szCs w:val="20"/>
          <w:color w:val="auto"/>
        </w:rPr>
      </w:pPr>
      <w:r>
        <w:rPr>
          <w:rFonts w:ascii="Arial" w:cs="Arial" w:eastAsia="Arial" w:hAnsi="Arial"/>
          <w:sz w:val="13"/>
          <w:szCs w:val="13"/>
          <w:color w:val="auto"/>
        </w:rPr>
        <w:t>Houston, Texas</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September 22, 2009</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87895" cy="19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1">
            <w:col w:w="11460"/>
          </w:cols>
          <w:pgMar w:left="220" w:top="731" w:right="219" w:bottom="1440" w:gutter="0" w:footer="0" w:header="0"/>
        </w:sectPr>
      </w:pPr>
    </w:p>
    <w:bookmarkStart w:id="63" w:name="page64"/>
    <w:bookmarkEnd w:id="63"/>
    <w:p>
      <w:pPr>
        <w:spacing w:after="0"/>
        <w:rPr>
          <w:sz w:val="20"/>
          <w:szCs w:val="20"/>
          <w:color w:val="auto"/>
        </w:rPr>
      </w:pPr>
      <w:r>
        <w:rPr>
          <w:rFonts w:ascii="Arial" w:cs="Arial" w:eastAsia="Arial" w:hAnsi="Arial"/>
          <w:sz w:val="13"/>
          <w:szCs w:val="13"/>
          <w:b w:val="1"/>
          <w:bCs w:val="1"/>
          <w:i w:val="1"/>
          <w:iCs w:val="1"/>
          <w:color w:val="auto"/>
        </w:rPr>
        <w:t>REPORT OF CONDITION (Continued)</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LIABILITIES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7180" w:type="dxa"/>
            <w:vAlign w:val="bottom"/>
            <w:tcBorders>
              <w:bottom w:val="single" w:sz="8" w:color="auto"/>
            </w:tcBorders>
          </w:tcPr>
          <w:p>
            <w:pPr>
              <w:spacing w:after="0"/>
              <w:rPr>
                <w:sz w:val="10"/>
                <w:szCs w:val="10"/>
                <w:color w:val="auto"/>
              </w:rPr>
            </w:pPr>
          </w:p>
        </w:tc>
        <w:tc>
          <w:tcPr>
            <w:tcW w:w="4260" w:type="dxa"/>
            <w:vAlign w:val="bottom"/>
            <w:tcBorders>
              <w:bottom w:val="single" w:sz="8" w:color="auto"/>
            </w:tcBorders>
          </w:tcPr>
          <w:p>
            <w:pPr>
              <w:jc w:val="right"/>
              <w:ind w:right="614"/>
              <w:spacing w:after="0"/>
              <w:rPr>
                <w:sz w:val="20"/>
                <w:szCs w:val="20"/>
                <w:color w:val="auto"/>
              </w:rPr>
            </w:pPr>
            <w:r>
              <w:rPr>
                <w:rFonts w:ascii="Arial" w:cs="Arial" w:eastAsia="Arial" w:hAnsi="Arial"/>
                <w:sz w:val="11"/>
                <w:szCs w:val="11"/>
                <w:color w:val="auto"/>
              </w:rPr>
              <w:t>Dollar Amounts in Thousands</w:t>
            </w:r>
          </w:p>
        </w:tc>
      </w:tr>
      <w:tr>
        <w:trPr>
          <w:trHeight w:val="151"/>
        </w:trPr>
        <w:tc>
          <w:tcPr>
            <w:tcW w:w="20" w:type="dxa"/>
            <w:vAlign w:val="bottom"/>
          </w:tcPr>
          <w:p>
            <w:pPr>
              <w:spacing w:after="0"/>
              <w:rPr>
                <w:sz w:val="13"/>
                <w:szCs w:val="13"/>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Deposits:</w:t>
            </w:r>
          </w:p>
        </w:tc>
        <w:tc>
          <w:tcPr>
            <w:tcW w:w="4260" w:type="dxa"/>
            <w:vAlign w:val="bottom"/>
            <w:shd w:val="clear" w:color="auto" w:fill="CCEEFF"/>
          </w:tcPr>
          <w:p>
            <w:pPr>
              <w:spacing w:after="0"/>
              <w:rPr>
                <w:sz w:val="13"/>
                <w:szCs w:val="13"/>
                <w:color w:val="auto"/>
              </w:rPr>
            </w:pPr>
          </w:p>
        </w:tc>
      </w:tr>
      <w:tr>
        <w:trPr>
          <w:trHeight w:val="161"/>
        </w:trPr>
        <w:tc>
          <w:tcPr>
            <w:tcW w:w="20" w:type="dxa"/>
            <w:vAlign w:val="bottom"/>
          </w:tcPr>
          <w:p>
            <w:pPr>
              <w:spacing w:after="0"/>
              <w:rPr>
                <w:sz w:val="14"/>
                <w:szCs w:val="14"/>
                <w:color w:val="auto"/>
              </w:rPr>
            </w:pPr>
          </w:p>
        </w:tc>
        <w:tc>
          <w:tcPr>
            <w:tcW w:w="7180" w:type="dxa"/>
            <w:vAlign w:val="bottom"/>
          </w:tcPr>
          <w:p>
            <w:pPr>
              <w:ind w:left="140"/>
              <w:spacing w:after="0"/>
              <w:rPr>
                <w:sz w:val="20"/>
                <w:szCs w:val="20"/>
                <w:color w:val="auto"/>
              </w:rPr>
            </w:pPr>
            <w:r>
              <w:rPr>
                <w:rFonts w:ascii="Arial" w:cs="Arial" w:eastAsia="Arial" w:hAnsi="Arial"/>
                <w:sz w:val="13"/>
                <w:szCs w:val="13"/>
                <w:color w:val="auto"/>
              </w:rPr>
              <w:t>In domestic offices</w:t>
            </w:r>
          </w:p>
        </w:tc>
        <w:tc>
          <w:tcPr>
            <w:tcW w:w="4260" w:type="dxa"/>
            <w:vAlign w:val="bottom"/>
          </w:tcPr>
          <w:p>
            <w:pPr>
              <w:jc w:val="right"/>
              <w:ind w:right="274"/>
              <w:spacing w:after="0"/>
              <w:rPr>
                <w:sz w:val="20"/>
                <w:szCs w:val="20"/>
                <w:color w:val="auto"/>
              </w:rPr>
            </w:pPr>
            <w:r>
              <w:rPr>
                <w:rFonts w:ascii="Arial" w:cs="Arial" w:eastAsia="Arial" w:hAnsi="Arial"/>
                <w:sz w:val="13"/>
                <w:szCs w:val="13"/>
                <w:b w:val="1"/>
                <w:bCs w:val="1"/>
                <w:color w:val="auto"/>
              </w:rPr>
              <w:t>599</w:t>
            </w:r>
          </w:p>
        </w:tc>
      </w:tr>
      <w:tr>
        <w:trPr>
          <w:trHeight w:val="161"/>
        </w:trPr>
        <w:tc>
          <w:tcPr>
            <w:tcW w:w="20" w:type="dxa"/>
            <w:vAlign w:val="bottom"/>
          </w:tcPr>
          <w:p>
            <w:pPr>
              <w:spacing w:after="0"/>
              <w:rPr>
                <w:sz w:val="14"/>
                <w:szCs w:val="14"/>
                <w:color w:val="auto"/>
              </w:rPr>
            </w:pPr>
          </w:p>
        </w:tc>
        <w:tc>
          <w:tcPr>
            <w:tcW w:w="71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Noninterest-bearing</w:t>
            </w:r>
          </w:p>
        </w:tc>
        <w:tc>
          <w:tcPr>
            <w:tcW w:w="4260" w:type="dxa"/>
            <w:vAlign w:val="bottom"/>
            <w:shd w:val="clear" w:color="auto" w:fill="CCEEFF"/>
          </w:tcPr>
          <w:p>
            <w:pPr>
              <w:jc w:val="right"/>
              <w:ind w:right="2054"/>
              <w:spacing w:after="0"/>
              <w:rPr>
                <w:sz w:val="20"/>
                <w:szCs w:val="20"/>
                <w:color w:val="auto"/>
              </w:rPr>
            </w:pPr>
            <w:r>
              <w:rPr>
                <w:rFonts w:ascii="Arial" w:cs="Arial" w:eastAsia="Arial" w:hAnsi="Arial"/>
                <w:sz w:val="13"/>
                <w:szCs w:val="13"/>
                <w:b w:val="1"/>
                <w:bCs w:val="1"/>
                <w:color w:val="auto"/>
              </w:rPr>
              <w:t>599</w:t>
            </w:r>
          </w:p>
        </w:tc>
      </w:tr>
      <w:tr>
        <w:trPr>
          <w:trHeight w:val="161"/>
        </w:trPr>
        <w:tc>
          <w:tcPr>
            <w:tcW w:w="20" w:type="dxa"/>
            <w:vAlign w:val="bottom"/>
          </w:tcPr>
          <w:p>
            <w:pPr>
              <w:spacing w:after="0"/>
              <w:rPr>
                <w:sz w:val="14"/>
                <w:szCs w:val="14"/>
                <w:color w:val="auto"/>
              </w:rPr>
            </w:pPr>
          </w:p>
        </w:tc>
        <w:tc>
          <w:tcPr>
            <w:tcW w:w="7180" w:type="dxa"/>
            <w:vAlign w:val="bottom"/>
          </w:tcPr>
          <w:p>
            <w:pPr>
              <w:ind w:left="280"/>
              <w:spacing w:after="0"/>
              <w:rPr>
                <w:sz w:val="20"/>
                <w:szCs w:val="20"/>
                <w:color w:val="auto"/>
              </w:rPr>
            </w:pPr>
            <w:r>
              <w:rPr>
                <w:rFonts w:ascii="Arial" w:cs="Arial" w:eastAsia="Arial" w:hAnsi="Arial"/>
                <w:sz w:val="13"/>
                <w:szCs w:val="13"/>
                <w:color w:val="auto"/>
              </w:rPr>
              <w:t>Interest-bearing</w:t>
            </w:r>
          </w:p>
        </w:tc>
        <w:tc>
          <w:tcPr>
            <w:tcW w:w="4260" w:type="dxa"/>
            <w:vAlign w:val="bottom"/>
          </w:tcPr>
          <w:p>
            <w:pPr>
              <w:jc w:val="right"/>
              <w:ind w:right="2054"/>
              <w:spacing w:after="0"/>
              <w:rPr>
                <w:sz w:val="20"/>
                <w:szCs w:val="20"/>
                <w:color w:val="auto"/>
              </w:rPr>
            </w:pPr>
            <w:r>
              <w:rPr>
                <w:rFonts w:ascii="Arial" w:cs="Arial" w:eastAsia="Arial" w:hAnsi="Arial"/>
                <w:sz w:val="13"/>
                <w:szCs w:val="13"/>
                <w:b w:val="1"/>
                <w:bCs w:val="1"/>
                <w:color w:val="auto"/>
              </w:rPr>
              <w:t>0</w:t>
            </w:r>
          </w:p>
        </w:tc>
      </w:tr>
      <w:tr>
        <w:trPr>
          <w:trHeight w:val="161"/>
        </w:trPr>
        <w:tc>
          <w:tcPr>
            <w:tcW w:w="20" w:type="dxa"/>
            <w:vAlign w:val="bottom"/>
          </w:tcPr>
          <w:p>
            <w:pPr>
              <w:spacing w:after="0"/>
              <w:rPr>
                <w:sz w:val="14"/>
                <w:szCs w:val="14"/>
                <w:color w:val="auto"/>
              </w:rPr>
            </w:pPr>
          </w:p>
        </w:tc>
        <w:tc>
          <w:tcPr>
            <w:tcW w:w="71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Federal funds purchased and securities sold under agreements to repurchase:</w:t>
            </w:r>
          </w:p>
        </w:tc>
        <w:tc>
          <w:tcPr>
            <w:tcW w:w="4260" w:type="dxa"/>
            <w:vAlign w:val="bottom"/>
            <w:shd w:val="clear" w:color="auto" w:fill="CCEEFF"/>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7180" w:type="dxa"/>
            <w:vAlign w:val="bottom"/>
          </w:tcPr>
          <w:p>
            <w:pPr>
              <w:ind w:left="280"/>
              <w:spacing w:after="0"/>
              <w:rPr>
                <w:sz w:val="20"/>
                <w:szCs w:val="20"/>
                <w:color w:val="auto"/>
              </w:rPr>
            </w:pPr>
            <w:r>
              <w:rPr>
                <w:rFonts w:ascii="Arial" w:cs="Arial" w:eastAsia="Arial" w:hAnsi="Arial"/>
                <w:sz w:val="13"/>
                <w:szCs w:val="13"/>
                <w:color w:val="auto"/>
              </w:rPr>
              <w:t>Federal funds purchased</w:t>
            </w:r>
          </w:p>
        </w:tc>
        <w:tc>
          <w:tcPr>
            <w:tcW w:w="4260" w:type="dxa"/>
            <w:vAlign w:val="bottom"/>
          </w:tcPr>
          <w:p>
            <w:pPr>
              <w:jc w:val="right"/>
              <w:ind w:right="274"/>
              <w:spacing w:after="0"/>
              <w:rPr>
                <w:sz w:val="20"/>
                <w:szCs w:val="20"/>
                <w:color w:val="auto"/>
              </w:rPr>
            </w:pPr>
            <w:r>
              <w:rPr>
                <w:rFonts w:ascii="Arial" w:cs="Arial" w:eastAsia="Arial" w:hAnsi="Arial"/>
                <w:sz w:val="13"/>
                <w:szCs w:val="13"/>
                <w:b w:val="1"/>
                <w:bCs w:val="1"/>
                <w:color w:val="auto"/>
              </w:rPr>
              <w:t>0</w:t>
            </w:r>
          </w:p>
        </w:tc>
      </w:tr>
      <w:tr>
        <w:trPr>
          <w:trHeight w:val="161"/>
        </w:trPr>
        <w:tc>
          <w:tcPr>
            <w:tcW w:w="20" w:type="dxa"/>
            <w:vAlign w:val="bottom"/>
          </w:tcPr>
          <w:p>
            <w:pPr>
              <w:spacing w:after="0"/>
              <w:rPr>
                <w:sz w:val="14"/>
                <w:szCs w:val="14"/>
                <w:color w:val="auto"/>
              </w:rPr>
            </w:pPr>
          </w:p>
        </w:tc>
        <w:tc>
          <w:tcPr>
            <w:tcW w:w="71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Securities sold under agreements to repurchase</w:t>
            </w:r>
          </w:p>
        </w:tc>
        <w:tc>
          <w:tcPr>
            <w:tcW w:w="4260" w:type="dxa"/>
            <w:vAlign w:val="bottom"/>
            <w:shd w:val="clear" w:color="auto" w:fill="CCEEFF"/>
          </w:tcPr>
          <w:p>
            <w:pPr>
              <w:jc w:val="right"/>
              <w:ind w:right="274"/>
              <w:spacing w:after="0"/>
              <w:rPr>
                <w:sz w:val="20"/>
                <w:szCs w:val="20"/>
                <w:color w:val="auto"/>
              </w:rPr>
            </w:pPr>
            <w:r>
              <w:rPr>
                <w:rFonts w:ascii="Arial" w:cs="Arial" w:eastAsia="Arial" w:hAnsi="Arial"/>
                <w:sz w:val="13"/>
                <w:szCs w:val="13"/>
                <w:b w:val="1"/>
                <w:bCs w:val="1"/>
                <w:color w:val="auto"/>
              </w:rPr>
              <w:t>0</w:t>
            </w:r>
          </w:p>
        </w:tc>
      </w:tr>
      <w:tr>
        <w:trPr>
          <w:trHeight w:val="161"/>
        </w:trPr>
        <w:tc>
          <w:tcPr>
            <w:tcW w:w="20" w:type="dxa"/>
            <w:vAlign w:val="bottom"/>
          </w:tcPr>
          <w:p>
            <w:pPr>
              <w:spacing w:after="0"/>
              <w:rPr>
                <w:sz w:val="14"/>
                <w:szCs w:val="14"/>
                <w:color w:val="auto"/>
              </w:rPr>
            </w:pPr>
          </w:p>
        </w:tc>
        <w:tc>
          <w:tcPr>
            <w:tcW w:w="7180" w:type="dxa"/>
            <w:vAlign w:val="bottom"/>
          </w:tcPr>
          <w:p>
            <w:pPr>
              <w:spacing w:after="0"/>
              <w:rPr>
                <w:sz w:val="20"/>
                <w:szCs w:val="20"/>
                <w:color w:val="auto"/>
              </w:rPr>
            </w:pPr>
            <w:r>
              <w:rPr>
                <w:rFonts w:ascii="Arial" w:cs="Arial" w:eastAsia="Arial" w:hAnsi="Arial"/>
                <w:sz w:val="13"/>
                <w:szCs w:val="13"/>
                <w:color w:val="auto"/>
              </w:rPr>
              <w:t>Trading liabilities</w:t>
            </w:r>
          </w:p>
        </w:tc>
        <w:tc>
          <w:tcPr>
            <w:tcW w:w="4260" w:type="dxa"/>
            <w:vAlign w:val="bottom"/>
          </w:tcPr>
          <w:p>
            <w:pPr>
              <w:jc w:val="right"/>
              <w:ind w:right="274"/>
              <w:spacing w:after="0"/>
              <w:rPr>
                <w:sz w:val="20"/>
                <w:szCs w:val="20"/>
                <w:color w:val="auto"/>
              </w:rPr>
            </w:pPr>
            <w:r>
              <w:rPr>
                <w:rFonts w:ascii="Arial" w:cs="Arial" w:eastAsia="Arial" w:hAnsi="Arial"/>
                <w:sz w:val="13"/>
                <w:szCs w:val="13"/>
                <w:b w:val="1"/>
                <w:bCs w:val="1"/>
                <w:color w:val="auto"/>
              </w:rPr>
              <w:t>0</w:t>
            </w:r>
          </w:p>
        </w:tc>
      </w:tr>
      <w:tr>
        <w:trPr>
          <w:trHeight w:val="161"/>
        </w:trPr>
        <w:tc>
          <w:tcPr>
            <w:tcW w:w="20" w:type="dxa"/>
            <w:vAlign w:val="bottom"/>
          </w:tcPr>
          <w:p>
            <w:pPr>
              <w:spacing w:after="0"/>
              <w:rPr>
                <w:sz w:val="14"/>
                <w:szCs w:val="14"/>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3"/>
                <w:szCs w:val="13"/>
                <w:color w:val="auto"/>
              </w:rPr>
              <w:t>Other borrowed money (includes mortgage indebtedness and obligations under capitalized leases)</w:t>
            </w:r>
          </w:p>
        </w:tc>
        <w:tc>
          <w:tcPr>
            <w:tcW w:w="4260" w:type="dxa"/>
            <w:vAlign w:val="bottom"/>
            <w:shd w:val="clear" w:color="auto" w:fill="CCEEFF"/>
          </w:tcPr>
          <w:p>
            <w:pPr>
              <w:jc w:val="right"/>
              <w:ind w:right="274"/>
              <w:spacing w:after="0"/>
              <w:rPr>
                <w:sz w:val="20"/>
                <w:szCs w:val="20"/>
                <w:color w:val="auto"/>
              </w:rPr>
            </w:pPr>
            <w:r>
              <w:rPr>
                <w:rFonts w:ascii="Arial" w:cs="Arial" w:eastAsia="Arial" w:hAnsi="Arial"/>
                <w:sz w:val="13"/>
                <w:szCs w:val="13"/>
                <w:b w:val="1"/>
                <w:bCs w:val="1"/>
                <w:color w:val="auto"/>
              </w:rPr>
              <w:t>268,691</w:t>
            </w:r>
          </w:p>
        </w:tc>
      </w:tr>
      <w:tr>
        <w:trPr>
          <w:trHeight w:val="161"/>
        </w:trPr>
        <w:tc>
          <w:tcPr>
            <w:tcW w:w="20" w:type="dxa"/>
            <w:vAlign w:val="bottom"/>
          </w:tcPr>
          <w:p>
            <w:pPr>
              <w:spacing w:after="0"/>
              <w:rPr>
                <w:sz w:val="14"/>
                <w:szCs w:val="14"/>
                <w:color w:val="auto"/>
              </w:rPr>
            </w:pPr>
          </w:p>
        </w:tc>
        <w:tc>
          <w:tcPr>
            <w:tcW w:w="7180" w:type="dxa"/>
            <w:vAlign w:val="bottom"/>
          </w:tcPr>
          <w:p>
            <w:pPr>
              <w:spacing w:after="0"/>
              <w:rPr>
                <w:sz w:val="20"/>
                <w:szCs w:val="20"/>
                <w:color w:val="auto"/>
              </w:rPr>
            </w:pPr>
            <w:r>
              <w:rPr>
                <w:rFonts w:ascii="Arial" w:cs="Arial" w:eastAsia="Arial" w:hAnsi="Arial"/>
                <w:sz w:val="13"/>
                <w:szCs w:val="13"/>
                <w:color w:val="auto"/>
              </w:rPr>
              <w:t>Subordinated notes and debentures</w:t>
            </w:r>
          </w:p>
        </w:tc>
        <w:tc>
          <w:tcPr>
            <w:tcW w:w="4260" w:type="dxa"/>
            <w:vAlign w:val="bottom"/>
          </w:tcPr>
          <w:p>
            <w:pPr>
              <w:jc w:val="right"/>
              <w:ind w:right="274"/>
              <w:spacing w:after="0"/>
              <w:rPr>
                <w:sz w:val="20"/>
                <w:szCs w:val="20"/>
                <w:color w:val="auto"/>
              </w:rPr>
            </w:pPr>
            <w:r>
              <w:rPr>
                <w:rFonts w:ascii="Arial" w:cs="Arial" w:eastAsia="Arial" w:hAnsi="Arial"/>
                <w:sz w:val="13"/>
                <w:szCs w:val="13"/>
                <w:b w:val="1"/>
                <w:bCs w:val="1"/>
                <w:color w:val="auto"/>
              </w:rPr>
              <w:t>0</w:t>
            </w:r>
          </w:p>
        </w:tc>
      </w:tr>
      <w:tr>
        <w:trPr>
          <w:trHeight w:val="161"/>
        </w:trPr>
        <w:tc>
          <w:tcPr>
            <w:tcW w:w="20" w:type="dxa"/>
            <w:vAlign w:val="bottom"/>
          </w:tcPr>
          <w:p>
            <w:pPr>
              <w:spacing w:after="0"/>
              <w:rPr>
                <w:sz w:val="14"/>
                <w:szCs w:val="14"/>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3"/>
                <w:szCs w:val="13"/>
                <w:color w:val="auto"/>
              </w:rPr>
              <w:t>Other liabilities</w:t>
            </w:r>
          </w:p>
        </w:tc>
        <w:tc>
          <w:tcPr>
            <w:tcW w:w="4260" w:type="dxa"/>
            <w:vAlign w:val="bottom"/>
            <w:shd w:val="clear" w:color="auto" w:fill="CCEEFF"/>
          </w:tcPr>
          <w:p>
            <w:pPr>
              <w:jc w:val="right"/>
              <w:ind w:right="274"/>
              <w:spacing w:after="0"/>
              <w:rPr>
                <w:sz w:val="20"/>
                <w:szCs w:val="20"/>
                <w:color w:val="auto"/>
              </w:rPr>
            </w:pPr>
            <w:r>
              <w:rPr>
                <w:rFonts w:ascii="Arial" w:cs="Arial" w:eastAsia="Arial" w:hAnsi="Arial"/>
                <w:sz w:val="13"/>
                <w:szCs w:val="13"/>
                <w:b w:val="1"/>
                <w:bCs w:val="1"/>
                <w:color w:val="auto"/>
              </w:rPr>
              <w:t>195,831</w:t>
            </w:r>
          </w:p>
        </w:tc>
      </w:tr>
      <w:tr>
        <w:trPr>
          <w:trHeight w:val="174"/>
        </w:trPr>
        <w:tc>
          <w:tcPr>
            <w:tcW w:w="20" w:type="dxa"/>
            <w:vAlign w:val="bottom"/>
          </w:tcPr>
          <w:p>
            <w:pPr>
              <w:spacing w:after="0"/>
              <w:rPr>
                <w:sz w:val="15"/>
                <w:szCs w:val="15"/>
                <w:color w:val="auto"/>
              </w:rPr>
            </w:pPr>
          </w:p>
        </w:tc>
        <w:tc>
          <w:tcPr>
            <w:tcW w:w="7180" w:type="dxa"/>
            <w:vAlign w:val="bottom"/>
          </w:tcPr>
          <w:p>
            <w:pPr>
              <w:spacing w:after="0"/>
              <w:rPr>
                <w:sz w:val="20"/>
                <w:szCs w:val="20"/>
                <w:color w:val="auto"/>
              </w:rPr>
            </w:pPr>
            <w:r>
              <w:rPr>
                <w:rFonts w:ascii="Arial" w:cs="Arial" w:eastAsia="Arial" w:hAnsi="Arial"/>
                <w:sz w:val="13"/>
                <w:szCs w:val="13"/>
                <w:color w:val="auto"/>
              </w:rPr>
              <w:t>Total liabilities</w:t>
            </w:r>
          </w:p>
        </w:tc>
        <w:tc>
          <w:tcPr>
            <w:tcW w:w="4260" w:type="dxa"/>
            <w:vAlign w:val="bottom"/>
          </w:tcPr>
          <w:p>
            <w:pPr>
              <w:jc w:val="right"/>
              <w:ind w:right="274"/>
              <w:spacing w:after="0"/>
              <w:rPr>
                <w:sz w:val="20"/>
                <w:szCs w:val="20"/>
                <w:color w:val="auto"/>
              </w:rPr>
            </w:pPr>
            <w:r>
              <w:rPr>
                <w:rFonts w:ascii="Arial" w:cs="Arial" w:eastAsia="Arial" w:hAnsi="Arial"/>
                <w:sz w:val="13"/>
                <w:szCs w:val="13"/>
                <w:b w:val="1"/>
                <w:bCs w:val="1"/>
                <w:color w:val="auto"/>
              </w:rPr>
              <w:t>465,121</w:t>
            </w:r>
          </w:p>
        </w:tc>
      </w:tr>
    </w:tbl>
    <w:p>
      <w:pPr>
        <w:spacing w:after="0" w:line="136" w:lineRule="exact"/>
        <w:rPr>
          <w:sz w:val="20"/>
          <w:szCs w:val="20"/>
          <w:color w:val="auto"/>
        </w:rPr>
      </w:pPr>
    </w:p>
    <w:p>
      <w:pPr>
        <w:sectPr>
          <w:pgSz w:w="11900" w:h="16838" w:orient="portrait"/>
          <w:cols w:equalWidth="0" w:num="1">
            <w:col w:w="11460"/>
          </w:cols>
          <w:pgMar w:left="220" w:top="733" w:right="219" w:bottom="1440" w:gutter="0" w:footer="0" w:header="0"/>
        </w:sectPr>
      </w:pPr>
    </w:p>
    <w:p>
      <w:pPr>
        <w:spacing w:after="0"/>
        <w:rPr>
          <w:sz w:val="20"/>
          <w:szCs w:val="20"/>
          <w:color w:val="auto"/>
        </w:rPr>
      </w:pPr>
      <w:r>
        <w:rPr>
          <w:rFonts w:ascii="Arial" w:cs="Arial" w:eastAsia="Arial" w:hAnsi="Arial"/>
          <w:sz w:val="13"/>
          <w:szCs w:val="13"/>
          <w:b w:val="1"/>
          <w:bCs w:val="1"/>
          <w:color w:val="auto"/>
        </w:rPr>
        <w:t>EQUITY CAPITAL</w:t>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Bank Equity Capital</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Perpetual preferred stock and related surplus</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Common stock</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Surplus (exclude all surplus related to preferred stock)</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Retained earnings</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Accumulated other comprehensive income</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Other equity capital components</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Total bank equity capital</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Minority interest in consolidated subsidiaries</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Total equity capital</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Total liabilities, minority interest, and equity capital</w:t>
      </w:r>
    </w:p>
    <w:p>
      <w:pPr>
        <w:spacing w:after="0" w:line="162" w:lineRule="exact"/>
        <w:rPr>
          <w:sz w:val="20"/>
          <w:szCs w:val="20"/>
          <w:color w:val="auto"/>
        </w:rPr>
      </w:pPr>
    </w:p>
    <w:p>
      <w:pPr>
        <w:ind w:right="60"/>
        <w:spacing w:after="0" w:line="309" w:lineRule="auto"/>
        <w:rPr>
          <w:sz w:val="20"/>
          <w:szCs w:val="20"/>
          <w:color w:val="auto"/>
        </w:rPr>
      </w:pPr>
      <w:r>
        <w:rPr>
          <w:rFonts w:ascii="Arial" w:cs="Arial" w:eastAsia="Arial" w:hAnsi="Arial"/>
          <w:sz w:val="12"/>
          <w:szCs w:val="12"/>
          <w:color w:val="auto"/>
        </w:rPr>
        <w:t>We, the undersigned directors, attest to the correctness of this statement of resources and liabilities. We declare that it has been examined by us, and to the best of our knowledge and belief has been prepared in conformance with the instructions and is true and correct.</w:t>
      </w:r>
    </w:p>
    <w:p>
      <w:pPr>
        <w:spacing w:after="0" w:line="293" w:lineRule="exact"/>
        <w:rPr>
          <w:sz w:val="20"/>
          <w:szCs w:val="20"/>
          <w:color w:val="auto"/>
        </w:rPr>
      </w:pPr>
    </w:p>
    <w:p>
      <w:pPr>
        <w:spacing w:after="0"/>
        <w:tabs>
          <w:tab w:leader="none" w:pos="1880" w:val="left"/>
        </w:tabs>
        <w:rPr>
          <w:sz w:val="20"/>
          <w:szCs w:val="20"/>
          <w:color w:val="auto"/>
        </w:rPr>
      </w:pPr>
      <w:r>
        <w:rPr>
          <w:rFonts w:ascii="Arial" w:cs="Arial" w:eastAsia="Arial" w:hAnsi="Arial"/>
          <w:sz w:val="13"/>
          <w:szCs w:val="13"/>
          <w:color w:val="auto"/>
        </w:rPr>
        <w:t>Director #1</w:t>
      </w:r>
      <w:r>
        <w:rPr>
          <w:sz w:val="20"/>
          <w:szCs w:val="20"/>
          <w:color w:val="auto"/>
        </w:rPr>
        <w:tab/>
      </w:r>
      <w:r>
        <w:rPr>
          <w:rFonts w:ascii="Arial" w:cs="Arial" w:eastAsia="Arial" w:hAnsi="Arial"/>
          <w:sz w:val="12"/>
          <w:szCs w:val="12"/>
          <w:color w:val="auto"/>
        </w:rPr>
        <w:t>Troy Kilpatrick, Managing Director</w:t>
      </w:r>
    </w:p>
    <w:p>
      <w:pPr>
        <w:spacing w:after="0" w:line="32" w:lineRule="exact"/>
        <w:rPr>
          <w:sz w:val="20"/>
          <w:szCs w:val="20"/>
          <w:color w:val="auto"/>
        </w:rPr>
      </w:pPr>
    </w:p>
    <w:p>
      <w:pPr>
        <w:spacing w:after="0"/>
        <w:tabs>
          <w:tab w:leader="none" w:pos="1880" w:val="left"/>
        </w:tabs>
        <w:rPr>
          <w:sz w:val="20"/>
          <w:szCs w:val="20"/>
          <w:color w:val="auto"/>
        </w:rPr>
      </w:pPr>
      <w:r>
        <w:rPr>
          <w:rFonts w:ascii="Arial" w:cs="Arial" w:eastAsia="Arial" w:hAnsi="Arial"/>
          <w:sz w:val="13"/>
          <w:szCs w:val="13"/>
          <w:color w:val="auto"/>
        </w:rPr>
        <w:t>Director #2</w:t>
      </w:r>
      <w:r>
        <w:rPr>
          <w:sz w:val="20"/>
          <w:szCs w:val="20"/>
          <w:color w:val="auto"/>
        </w:rPr>
        <w:tab/>
      </w:r>
      <w:r>
        <w:rPr>
          <w:rFonts w:ascii="Arial" w:cs="Arial" w:eastAsia="Arial" w:hAnsi="Arial"/>
          <w:sz w:val="12"/>
          <w:szCs w:val="12"/>
          <w:color w:val="auto"/>
        </w:rPr>
        <w:t>Frank Sulzberger, Managing Director</w:t>
      </w:r>
    </w:p>
    <w:p>
      <w:pPr>
        <w:spacing w:after="0" w:line="32" w:lineRule="exact"/>
        <w:rPr>
          <w:sz w:val="20"/>
          <w:szCs w:val="20"/>
          <w:color w:val="auto"/>
        </w:rPr>
      </w:pPr>
    </w:p>
    <w:p>
      <w:pPr>
        <w:spacing w:after="0"/>
        <w:tabs>
          <w:tab w:leader="none" w:pos="1880" w:val="left"/>
        </w:tabs>
        <w:rPr>
          <w:sz w:val="20"/>
          <w:szCs w:val="20"/>
          <w:color w:val="auto"/>
        </w:rPr>
      </w:pPr>
      <w:r>
        <w:rPr>
          <w:rFonts w:ascii="Arial" w:cs="Arial" w:eastAsia="Arial" w:hAnsi="Arial"/>
          <w:sz w:val="13"/>
          <w:szCs w:val="13"/>
          <w:color w:val="auto"/>
        </w:rPr>
        <w:t>Director #3</w:t>
      </w:r>
      <w:r>
        <w:rPr>
          <w:sz w:val="20"/>
          <w:szCs w:val="20"/>
          <w:color w:val="auto"/>
        </w:rPr>
        <w:tab/>
      </w:r>
      <w:r>
        <w:rPr>
          <w:rFonts w:ascii="Arial" w:cs="Arial" w:eastAsia="Arial" w:hAnsi="Arial"/>
          <w:sz w:val="12"/>
          <w:szCs w:val="12"/>
          <w:color w:val="auto"/>
        </w:rPr>
        <w:t>William Lindelof Managing Director</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jc w:val="right"/>
        <w:ind w:right="340"/>
        <w:spacing w:after="0"/>
        <w:rPr>
          <w:sz w:val="20"/>
          <w:szCs w:val="20"/>
          <w:color w:val="auto"/>
        </w:rPr>
      </w:pPr>
      <w:r>
        <w:rPr>
          <w:rFonts w:ascii="Arial" w:cs="Arial" w:eastAsia="Arial" w:hAnsi="Arial"/>
          <w:sz w:val="13"/>
          <w:szCs w:val="13"/>
          <w:b w:val="1"/>
          <w:bCs w:val="1"/>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-290830</wp:posOffset>
            </wp:positionV>
            <wp:extent cx="7281545" cy="1022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1545" cy="10223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-86360</wp:posOffset>
            </wp:positionV>
            <wp:extent cx="7281545" cy="1022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1545" cy="102235"/>
                    </a:xfrm>
                    <a:prstGeom prst="rect">
                      <a:avLst/>
                    </a:prstGeom>
                    <a:noFill/>
                  </pic:spPr>
                </pic:pic>
              </a:graphicData>
            </a:graphic>
          </wp:anchor>
        </w:drawing>
      </w:r>
    </w:p>
    <w:p>
      <w:pPr>
        <w:spacing w:after="0" w:line="4" w:lineRule="exact"/>
        <w:rPr>
          <w:sz w:val="20"/>
          <w:szCs w:val="20"/>
          <w:color w:val="auto"/>
        </w:rPr>
      </w:pPr>
    </w:p>
    <w:p>
      <w:pPr>
        <w:jc w:val="right"/>
        <w:ind w:right="340"/>
        <w:spacing w:after="0"/>
        <w:rPr>
          <w:sz w:val="20"/>
          <w:szCs w:val="20"/>
          <w:color w:val="auto"/>
        </w:rPr>
      </w:pPr>
      <w:r>
        <w:rPr>
          <w:rFonts w:ascii="Arial" w:cs="Arial" w:eastAsia="Arial" w:hAnsi="Arial"/>
          <w:sz w:val="13"/>
          <w:szCs w:val="13"/>
          <w:b w:val="1"/>
          <w:bCs w:val="1"/>
          <w:color w:val="auto"/>
        </w:rPr>
        <w:t>1,000</w:t>
      </w:r>
    </w:p>
    <w:p>
      <w:pPr>
        <w:spacing w:after="0" w:line="12" w:lineRule="exact"/>
        <w:rPr>
          <w:sz w:val="20"/>
          <w:szCs w:val="20"/>
          <w:color w:val="auto"/>
        </w:rPr>
      </w:pPr>
    </w:p>
    <w:p>
      <w:pPr>
        <w:jc w:val="right"/>
        <w:ind w:right="340"/>
        <w:spacing w:after="0"/>
        <w:rPr>
          <w:sz w:val="20"/>
          <w:szCs w:val="20"/>
          <w:color w:val="auto"/>
        </w:rPr>
      </w:pPr>
      <w:r>
        <w:rPr>
          <w:rFonts w:ascii="Arial" w:cs="Arial" w:eastAsia="Arial" w:hAnsi="Arial"/>
          <w:sz w:val="13"/>
          <w:szCs w:val="13"/>
          <w:b w:val="1"/>
          <w:bCs w:val="1"/>
          <w:color w:val="auto"/>
        </w:rPr>
        <w:t>1,121,520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-93980</wp:posOffset>
            </wp:positionV>
            <wp:extent cx="7281545" cy="1022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1545" cy="102235"/>
                    </a:xfrm>
                    <a:prstGeom prst="rect">
                      <a:avLst/>
                    </a:prstGeom>
                    <a:noFill/>
                  </pic:spPr>
                </pic:pic>
              </a:graphicData>
            </a:graphic>
          </wp:anchor>
        </w:drawing>
      </w:r>
    </w:p>
    <w:p>
      <w:pPr>
        <w:jc w:val="right"/>
        <w:ind w:right="340"/>
        <w:spacing w:after="0"/>
        <w:rPr>
          <w:sz w:val="20"/>
          <w:szCs w:val="20"/>
          <w:color w:val="auto"/>
        </w:rPr>
      </w:pPr>
      <w:r>
        <w:rPr>
          <w:rFonts w:ascii="Arial" w:cs="Arial" w:eastAsia="Arial" w:hAnsi="Arial"/>
          <w:sz w:val="13"/>
          <w:szCs w:val="13"/>
          <w:b w:val="1"/>
          <w:bCs w:val="1"/>
          <w:color w:val="auto"/>
        </w:rPr>
        <w:t>321,726</w:t>
      </w:r>
    </w:p>
    <w:p>
      <w:pPr>
        <w:spacing w:after="0" w:line="12" w:lineRule="exact"/>
        <w:rPr>
          <w:sz w:val="20"/>
          <w:szCs w:val="20"/>
          <w:color w:val="auto"/>
        </w:rPr>
      </w:pPr>
    </w:p>
    <w:p>
      <w:pPr>
        <w:jc w:val="right"/>
        <w:ind w:right="340"/>
        <w:spacing w:after="0"/>
        <w:rPr>
          <w:sz w:val="20"/>
          <w:szCs w:val="20"/>
          <w:color w:val="auto"/>
        </w:rPr>
      </w:pPr>
      <w:r>
        <w:rPr>
          <w:rFonts w:ascii="Arial" w:cs="Arial" w:eastAsia="Arial" w:hAnsi="Arial"/>
          <w:sz w:val="13"/>
          <w:szCs w:val="13"/>
          <w:b w:val="1"/>
          <w:bCs w:val="1"/>
          <w:color w:val="auto"/>
        </w:rPr>
        <w:t>2,591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-93980</wp:posOffset>
            </wp:positionV>
            <wp:extent cx="7281545" cy="1022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1545" cy="102235"/>
                    </a:xfrm>
                    <a:prstGeom prst="rect">
                      <a:avLst/>
                    </a:prstGeom>
                    <a:noFill/>
                  </pic:spPr>
                </pic:pic>
              </a:graphicData>
            </a:graphic>
          </wp:anchor>
        </w:drawing>
      </w:r>
    </w:p>
    <w:p>
      <w:pPr>
        <w:jc w:val="right"/>
        <w:ind w:right="340"/>
        <w:spacing w:after="0"/>
        <w:rPr>
          <w:sz w:val="20"/>
          <w:szCs w:val="20"/>
          <w:color w:val="auto"/>
        </w:rPr>
      </w:pPr>
      <w:r>
        <w:rPr>
          <w:rFonts w:ascii="Arial" w:cs="Arial" w:eastAsia="Arial" w:hAnsi="Arial"/>
          <w:sz w:val="13"/>
          <w:szCs w:val="13"/>
          <w:b w:val="1"/>
          <w:bCs w:val="1"/>
          <w:color w:val="auto"/>
        </w:rPr>
        <w:t>0</w:t>
      </w:r>
    </w:p>
    <w:p>
      <w:pPr>
        <w:spacing w:after="0" w:line="12" w:lineRule="exact"/>
        <w:rPr>
          <w:sz w:val="20"/>
          <w:szCs w:val="20"/>
          <w:color w:val="auto"/>
        </w:rPr>
      </w:pPr>
    </w:p>
    <w:p>
      <w:pPr>
        <w:jc w:val="right"/>
        <w:ind w:right="340"/>
        <w:spacing w:after="0"/>
        <w:rPr>
          <w:sz w:val="20"/>
          <w:szCs w:val="20"/>
          <w:color w:val="auto"/>
        </w:rPr>
      </w:pPr>
      <w:r>
        <w:rPr>
          <w:rFonts w:ascii="Arial" w:cs="Arial" w:eastAsia="Arial" w:hAnsi="Arial"/>
          <w:sz w:val="13"/>
          <w:szCs w:val="13"/>
          <w:b w:val="1"/>
          <w:bCs w:val="1"/>
          <w:color w:val="auto"/>
        </w:rPr>
        <w:t>1,446,837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-93980</wp:posOffset>
            </wp:positionV>
            <wp:extent cx="7281545" cy="1022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1545" cy="102235"/>
                    </a:xfrm>
                    <a:prstGeom prst="rect">
                      <a:avLst/>
                    </a:prstGeom>
                    <a:noFill/>
                  </pic:spPr>
                </pic:pic>
              </a:graphicData>
            </a:graphic>
          </wp:anchor>
        </w:drawing>
      </w:r>
    </w:p>
    <w:p>
      <w:pPr>
        <w:jc w:val="right"/>
        <w:ind w:right="340"/>
        <w:spacing w:after="0"/>
        <w:rPr>
          <w:sz w:val="20"/>
          <w:szCs w:val="20"/>
          <w:color w:val="auto"/>
        </w:rPr>
      </w:pPr>
      <w:r>
        <w:rPr>
          <w:rFonts w:ascii="Arial" w:cs="Arial" w:eastAsia="Arial" w:hAnsi="Arial"/>
          <w:sz w:val="13"/>
          <w:szCs w:val="13"/>
          <w:b w:val="1"/>
          <w:bCs w:val="1"/>
          <w:color w:val="auto"/>
        </w:rPr>
        <w:t>0</w:t>
      </w:r>
    </w:p>
    <w:p>
      <w:pPr>
        <w:spacing w:after="0" w:line="12" w:lineRule="exact"/>
        <w:rPr>
          <w:sz w:val="20"/>
          <w:szCs w:val="20"/>
          <w:color w:val="auto"/>
        </w:rPr>
      </w:pPr>
    </w:p>
    <w:p>
      <w:pPr>
        <w:jc w:val="right"/>
        <w:ind w:right="340"/>
        <w:spacing w:after="0"/>
        <w:rPr>
          <w:sz w:val="20"/>
          <w:szCs w:val="20"/>
          <w:color w:val="auto"/>
        </w:rPr>
      </w:pPr>
      <w:r>
        <w:rPr>
          <w:rFonts w:ascii="Arial" w:cs="Arial" w:eastAsia="Arial" w:hAnsi="Arial"/>
          <w:sz w:val="13"/>
          <w:szCs w:val="13"/>
          <w:b w:val="1"/>
          <w:bCs w:val="1"/>
          <w:color w:val="auto"/>
        </w:rPr>
        <w:t>1,446,837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-93980</wp:posOffset>
            </wp:positionV>
            <wp:extent cx="7281545" cy="1022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1545" cy="102235"/>
                    </a:xfrm>
                    <a:prstGeom prst="rect">
                      <a:avLst/>
                    </a:prstGeom>
                    <a:noFill/>
                  </pic:spPr>
                </pic:pic>
              </a:graphicData>
            </a:graphic>
          </wp:anchor>
        </w:drawing>
      </w:r>
    </w:p>
    <w:p>
      <w:pPr>
        <w:jc w:val="right"/>
        <w:ind w:right="340"/>
        <w:spacing w:after="0"/>
        <w:rPr>
          <w:sz w:val="20"/>
          <w:szCs w:val="20"/>
          <w:color w:val="auto"/>
        </w:rPr>
      </w:pPr>
      <w:r>
        <w:rPr>
          <w:rFonts w:ascii="Arial" w:cs="Arial" w:eastAsia="Arial" w:hAnsi="Arial"/>
          <w:sz w:val="13"/>
          <w:szCs w:val="13"/>
          <w:b w:val="1"/>
          <w:bCs w:val="1"/>
          <w:color w:val="auto"/>
        </w:rPr>
        <w:t>1,911,958</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 Karen Bayz, Managing Director /s/ Karen A, Bayz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2437765" cy="63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437765" cy="6350"/>
                    </a:xfrm>
                    <a:prstGeom prst="rect">
                      <a:avLst/>
                    </a:prstGeom>
                    <a:noFill/>
                  </pic:spPr>
                </pic:pic>
              </a:graphicData>
            </a:graphic>
          </wp:anchor>
        </w:drawing>
      </w:r>
    </w:p>
    <w:p>
      <w:pPr>
        <w:spacing w:after="0" w:line="12" w:lineRule="exact"/>
        <w:rPr>
          <w:sz w:val="20"/>
          <w:szCs w:val="20"/>
          <w:color w:val="auto"/>
        </w:rPr>
      </w:pPr>
    </w:p>
    <w:p>
      <w:pPr>
        <w:ind w:left="1540"/>
        <w:spacing w:after="0"/>
        <w:rPr>
          <w:sz w:val="20"/>
          <w:szCs w:val="20"/>
          <w:color w:val="auto"/>
        </w:rPr>
      </w:pPr>
      <w:r>
        <w:rPr>
          <w:rFonts w:ascii="Arial" w:cs="Arial" w:eastAsia="Arial" w:hAnsi="Arial"/>
          <w:sz w:val="13"/>
          <w:szCs w:val="13"/>
          <w:b w:val="1"/>
          <w:bCs w:val="1"/>
          <w:color w:val="auto"/>
        </w:rPr>
        <w:t>(Name, Title)</w:t>
      </w:r>
    </w:p>
    <w:p>
      <w:pPr>
        <w:spacing w:after="0" w:line="24" w:lineRule="exact"/>
        <w:rPr>
          <w:sz w:val="20"/>
          <w:szCs w:val="20"/>
          <w:color w:val="auto"/>
        </w:rPr>
      </w:pPr>
    </w:p>
    <w:p>
      <w:pPr>
        <w:ind w:right="2060"/>
        <w:spacing w:after="0" w:line="320" w:lineRule="auto"/>
        <w:rPr>
          <w:sz w:val="20"/>
          <w:szCs w:val="20"/>
          <w:color w:val="auto"/>
        </w:rPr>
      </w:pPr>
      <w:r>
        <w:rPr>
          <w:rFonts w:ascii="Arial" w:cs="Arial" w:eastAsia="Arial" w:hAnsi="Arial"/>
          <w:sz w:val="12"/>
          <w:szCs w:val="12"/>
          <w:color w:val="auto"/>
        </w:rPr>
        <w:t>of the above named bank do hereby declare that this Report of Condition is true and correct to the best of my knowledge and belief.</w:t>
      </w:r>
    </w:p>
    <w:p>
      <w:pPr>
        <w:spacing w:after="0" w:line="105" w:lineRule="exact"/>
        <w:rPr>
          <w:sz w:val="20"/>
          <w:szCs w:val="20"/>
          <w:color w:val="auto"/>
        </w:rPr>
      </w:pPr>
    </w:p>
    <w:p>
      <w:pPr>
        <w:spacing w:after="0"/>
        <w:rPr>
          <w:sz w:val="20"/>
          <w:szCs w:val="20"/>
          <w:color w:val="auto"/>
        </w:rPr>
      </w:pPr>
      <w:r>
        <w:rPr>
          <w:rFonts w:ascii="Arial" w:cs="Arial" w:eastAsia="Arial" w:hAnsi="Arial"/>
          <w:sz w:val="13"/>
          <w:szCs w:val="13"/>
          <w:color w:val="auto"/>
        </w:rPr>
        <w:t>/s/ Troy Kilpatrick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2437765" cy="63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437765" cy="635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/s/ Frank Sulzberger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2437765" cy="63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437765" cy="635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/s/ William Lindelof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2437765" cy="63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437765" cy="6350"/>
                    </a:xfrm>
                    <a:prstGeom prst="rect">
                      <a:avLst/>
                    </a:prstGeom>
                    <a:noFill/>
                  </pic:spPr>
                </pic:pic>
              </a:graphicData>
            </a:graphic>
          </wp:anchor>
        </w:drawing>
        <w:drawing>
          <wp:anchor simplePos="0" relativeHeight="251657728" behindDoc="1" locked="0" layoutInCell="0" allowOverlap="1">
            <wp:simplePos x="0" y="0"/>
            <wp:positionH relativeFrom="column">
              <wp:posOffset>-3634105</wp:posOffset>
            </wp:positionH>
            <wp:positionV relativeFrom="paragraph">
              <wp:posOffset>126365</wp:posOffset>
            </wp:positionV>
            <wp:extent cx="7287895" cy="19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7895" cy="19050"/>
                    </a:xfrm>
                    <a:prstGeom prst="rect">
                      <a:avLst/>
                    </a:prstGeom>
                    <a:noFill/>
                  </pic:spPr>
                </pic:pic>
              </a:graphicData>
            </a:graphic>
          </wp:anchor>
        </w:drawing>
      </w:r>
    </w:p>
    <w:p>
      <w:pPr>
        <w:sectPr>
          <w:pgSz w:w="11900" w:h="16838" w:orient="portrait"/>
          <w:cols w:equalWidth="0" w:num="2">
            <w:col w:w="5000" w:space="720"/>
            <w:col w:w="5740"/>
          </w:cols>
          <w:pgMar w:left="220" w:top="733" w:right="21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3"/>
          <w:szCs w:val="13"/>
          <w:b w:val="1"/>
          <w:bCs w:val="1"/>
          <w:i w:val="1"/>
          <w:iCs w:val="1"/>
          <w:color w:val="auto"/>
        </w:rPr>
        <w:t>REPORT OF CONDITION</w:t>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color w:val="auto"/>
        </w:rPr>
        <w:t>Consolidating domestic subsidiaries of</w:t>
      </w:r>
    </w:p>
    <w:p>
      <w:pPr>
        <w:spacing w:after="0" w:line="90" w:lineRule="exact"/>
        <w:rPr>
          <w:sz w:val="20"/>
          <w:szCs w:val="20"/>
          <w:color w:val="auto"/>
        </w:rPr>
      </w:pPr>
    </w:p>
    <w:p>
      <w:pPr>
        <w:ind w:left="1040"/>
        <w:spacing w:after="0"/>
        <w:rPr>
          <w:sz w:val="20"/>
          <w:szCs w:val="20"/>
          <w:color w:val="auto"/>
        </w:rPr>
      </w:pPr>
      <w:r>
        <w:rPr>
          <w:rFonts w:ascii="Arial" w:cs="Arial" w:eastAsia="Arial" w:hAnsi="Arial"/>
          <w:sz w:val="13"/>
          <w:szCs w:val="13"/>
          <w:b w:val="1"/>
          <w:bCs w:val="1"/>
          <w:color w:val="auto"/>
        </w:rPr>
        <w:t>The Bank of New York Mellon Trust Company N. A.</w:t>
      </w:r>
    </w:p>
    <w:p>
      <w:pPr>
        <w:spacing w:after="0" w:line="24" w:lineRule="exact"/>
        <w:rPr>
          <w:sz w:val="20"/>
          <w:szCs w:val="20"/>
          <w:color w:val="auto"/>
        </w:rPr>
      </w:pPr>
    </w:p>
    <w:p>
      <w:pPr>
        <w:ind w:left="1040"/>
        <w:spacing w:after="0"/>
        <w:rPr>
          <w:sz w:val="20"/>
          <w:szCs w:val="20"/>
          <w:color w:val="auto"/>
        </w:rPr>
      </w:pPr>
      <w:r>
        <w:rPr>
          <w:rFonts w:ascii="Arial" w:cs="Arial" w:eastAsia="Arial" w:hAnsi="Arial"/>
          <w:sz w:val="13"/>
          <w:szCs w:val="13"/>
          <w:b w:val="1"/>
          <w:bCs w:val="1"/>
          <w:color w:val="auto"/>
        </w:rPr>
        <w:t>in the state of CA at close of business on June 30, 2009</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color w:val="auto"/>
        </w:rPr>
        <w:t>Published in response to call made by (Enter additional information below)</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Statement of Resources and Liabilities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6540" w:type="dxa"/>
            <w:vAlign w:val="bottom"/>
            <w:tcBorders>
              <w:bottom w:val="single" w:sz="8" w:color="auto"/>
            </w:tcBorders>
          </w:tcPr>
          <w:p>
            <w:pPr>
              <w:spacing w:after="0"/>
              <w:rPr>
                <w:sz w:val="10"/>
                <w:szCs w:val="10"/>
                <w:color w:val="auto"/>
              </w:rPr>
            </w:pPr>
          </w:p>
        </w:tc>
        <w:tc>
          <w:tcPr>
            <w:tcW w:w="4900" w:type="dxa"/>
            <w:vAlign w:val="bottom"/>
            <w:tcBorders>
              <w:bottom w:val="single" w:sz="8" w:color="auto"/>
            </w:tcBorders>
          </w:tcPr>
          <w:p>
            <w:pPr>
              <w:jc w:val="right"/>
              <w:ind w:right="554"/>
              <w:spacing w:after="0"/>
              <w:rPr>
                <w:sz w:val="20"/>
                <w:szCs w:val="20"/>
                <w:color w:val="auto"/>
              </w:rPr>
            </w:pPr>
            <w:r>
              <w:rPr>
                <w:rFonts w:ascii="Arial" w:cs="Arial" w:eastAsia="Arial" w:hAnsi="Arial"/>
                <w:sz w:val="11"/>
                <w:szCs w:val="11"/>
                <w:color w:val="auto"/>
              </w:rPr>
              <w:t>Dollar Amounts in Thousands</w:t>
            </w:r>
          </w:p>
        </w:tc>
      </w:tr>
      <w:tr>
        <w:trPr>
          <w:trHeight w:val="151"/>
        </w:trPr>
        <w:tc>
          <w:tcPr>
            <w:tcW w:w="20" w:type="dxa"/>
            <w:vAlign w:val="bottom"/>
          </w:tcPr>
          <w:p>
            <w:pPr>
              <w:spacing w:after="0"/>
              <w:rPr>
                <w:sz w:val="13"/>
                <w:szCs w:val="13"/>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ASSETS</w:t>
            </w:r>
          </w:p>
        </w:tc>
        <w:tc>
          <w:tcPr>
            <w:tcW w:w="4900" w:type="dxa"/>
            <w:vAlign w:val="bottom"/>
            <w:shd w:val="clear" w:color="auto" w:fill="CCEEFF"/>
          </w:tcPr>
          <w:p>
            <w:pPr>
              <w:spacing w:after="0"/>
              <w:rPr>
                <w:sz w:val="13"/>
                <w:szCs w:val="13"/>
                <w:color w:val="auto"/>
              </w:rPr>
            </w:pPr>
          </w:p>
        </w:tc>
      </w:tr>
      <w:tr>
        <w:trPr>
          <w:trHeight w:val="161"/>
        </w:trPr>
        <w:tc>
          <w:tcPr>
            <w:tcW w:w="20" w:type="dxa"/>
            <w:vAlign w:val="bottom"/>
          </w:tcPr>
          <w:p>
            <w:pPr>
              <w:spacing w:after="0"/>
              <w:rPr>
                <w:sz w:val="14"/>
                <w:szCs w:val="14"/>
                <w:color w:val="auto"/>
              </w:rPr>
            </w:pPr>
          </w:p>
        </w:tc>
        <w:tc>
          <w:tcPr>
            <w:tcW w:w="6540" w:type="dxa"/>
            <w:vAlign w:val="bottom"/>
          </w:tcPr>
          <w:p>
            <w:pPr>
              <w:spacing w:after="0"/>
              <w:rPr>
                <w:sz w:val="20"/>
                <w:szCs w:val="20"/>
                <w:color w:val="auto"/>
              </w:rPr>
            </w:pPr>
            <w:r>
              <w:rPr>
                <w:rFonts w:ascii="Arial" w:cs="Arial" w:eastAsia="Arial" w:hAnsi="Arial"/>
                <w:sz w:val="13"/>
                <w:szCs w:val="13"/>
                <w:color w:val="auto"/>
              </w:rPr>
              <w:t>Cash and balances due from depository institutions:</w:t>
            </w:r>
          </w:p>
        </w:tc>
        <w:tc>
          <w:tcPr>
            <w:tcW w:w="490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65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Noninterest-bearing balances and currency and coin</w:t>
            </w:r>
          </w:p>
        </w:tc>
        <w:tc>
          <w:tcPr>
            <w:tcW w:w="4900" w:type="dxa"/>
            <w:vAlign w:val="bottom"/>
            <w:shd w:val="clear" w:color="auto" w:fill="CCEEFF"/>
          </w:tcPr>
          <w:p>
            <w:pPr>
              <w:jc w:val="right"/>
              <w:ind w:right="274"/>
              <w:spacing w:after="0"/>
              <w:rPr>
                <w:sz w:val="20"/>
                <w:szCs w:val="20"/>
                <w:color w:val="auto"/>
              </w:rPr>
            </w:pPr>
            <w:r>
              <w:rPr>
                <w:rFonts w:ascii="Arial" w:cs="Arial" w:eastAsia="Arial" w:hAnsi="Arial"/>
                <w:sz w:val="13"/>
                <w:szCs w:val="13"/>
                <w:b w:val="1"/>
                <w:bCs w:val="1"/>
                <w:color w:val="auto"/>
              </w:rPr>
              <w:t>4,627</w:t>
            </w:r>
          </w:p>
        </w:tc>
      </w:tr>
      <w:tr>
        <w:trPr>
          <w:trHeight w:val="161"/>
        </w:trPr>
        <w:tc>
          <w:tcPr>
            <w:tcW w:w="20" w:type="dxa"/>
            <w:vAlign w:val="bottom"/>
          </w:tcPr>
          <w:p>
            <w:pPr>
              <w:spacing w:after="0"/>
              <w:rPr>
                <w:sz w:val="14"/>
                <w:szCs w:val="14"/>
                <w:color w:val="auto"/>
              </w:rPr>
            </w:pPr>
          </w:p>
        </w:tc>
        <w:tc>
          <w:tcPr>
            <w:tcW w:w="6540" w:type="dxa"/>
            <w:vAlign w:val="bottom"/>
          </w:tcPr>
          <w:p>
            <w:pPr>
              <w:ind w:left="140"/>
              <w:spacing w:after="0"/>
              <w:rPr>
                <w:sz w:val="20"/>
                <w:szCs w:val="20"/>
                <w:color w:val="auto"/>
              </w:rPr>
            </w:pPr>
            <w:r>
              <w:rPr>
                <w:rFonts w:ascii="Arial" w:cs="Arial" w:eastAsia="Arial" w:hAnsi="Arial"/>
                <w:sz w:val="13"/>
                <w:szCs w:val="13"/>
                <w:color w:val="auto"/>
              </w:rPr>
              <w:t>Interest-bearing balances</w:t>
            </w:r>
          </w:p>
        </w:tc>
        <w:tc>
          <w:tcPr>
            <w:tcW w:w="4900" w:type="dxa"/>
            <w:vAlign w:val="bottom"/>
          </w:tcPr>
          <w:p>
            <w:pPr>
              <w:jc w:val="right"/>
              <w:ind w:right="274"/>
              <w:spacing w:after="0"/>
              <w:rPr>
                <w:sz w:val="20"/>
                <w:szCs w:val="20"/>
                <w:color w:val="auto"/>
              </w:rPr>
            </w:pPr>
            <w:r>
              <w:rPr>
                <w:rFonts w:ascii="Arial" w:cs="Arial" w:eastAsia="Arial" w:hAnsi="Arial"/>
                <w:sz w:val="13"/>
                <w:szCs w:val="13"/>
                <w:b w:val="1"/>
                <w:bCs w:val="1"/>
                <w:color w:val="auto"/>
              </w:rPr>
              <w:t>111,263</w:t>
            </w:r>
          </w:p>
        </w:tc>
      </w:tr>
      <w:tr>
        <w:trPr>
          <w:trHeight w:val="161"/>
        </w:trPr>
        <w:tc>
          <w:tcPr>
            <w:tcW w:w="20" w:type="dxa"/>
            <w:vAlign w:val="bottom"/>
          </w:tcPr>
          <w:p>
            <w:pPr>
              <w:spacing w:after="0"/>
              <w:rPr>
                <w:sz w:val="14"/>
                <w:szCs w:val="14"/>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3"/>
                <w:szCs w:val="13"/>
                <w:color w:val="auto"/>
              </w:rPr>
              <w:t>Securities:</w:t>
            </w:r>
          </w:p>
        </w:tc>
        <w:tc>
          <w:tcPr>
            <w:tcW w:w="4900" w:type="dxa"/>
            <w:vAlign w:val="bottom"/>
            <w:shd w:val="clear" w:color="auto" w:fill="CCEEFF"/>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6540" w:type="dxa"/>
            <w:vAlign w:val="bottom"/>
          </w:tcPr>
          <w:p>
            <w:pPr>
              <w:ind w:left="140"/>
              <w:spacing w:after="0"/>
              <w:rPr>
                <w:sz w:val="20"/>
                <w:szCs w:val="20"/>
                <w:color w:val="auto"/>
              </w:rPr>
            </w:pPr>
            <w:r>
              <w:rPr>
                <w:rFonts w:ascii="Arial" w:cs="Arial" w:eastAsia="Arial" w:hAnsi="Arial"/>
                <w:sz w:val="13"/>
                <w:szCs w:val="13"/>
                <w:color w:val="auto"/>
              </w:rPr>
              <w:t>Held-to-maturity securities</w:t>
            </w:r>
          </w:p>
        </w:tc>
        <w:tc>
          <w:tcPr>
            <w:tcW w:w="4900" w:type="dxa"/>
            <w:vAlign w:val="bottom"/>
          </w:tcPr>
          <w:p>
            <w:pPr>
              <w:jc w:val="right"/>
              <w:ind w:right="274"/>
              <w:spacing w:after="0"/>
              <w:rPr>
                <w:sz w:val="20"/>
                <w:szCs w:val="20"/>
                <w:color w:val="auto"/>
              </w:rPr>
            </w:pPr>
            <w:r>
              <w:rPr>
                <w:rFonts w:ascii="Arial" w:cs="Arial" w:eastAsia="Arial" w:hAnsi="Arial"/>
                <w:sz w:val="13"/>
                <w:szCs w:val="13"/>
                <w:b w:val="1"/>
                <w:bCs w:val="1"/>
                <w:color w:val="auto"/>
              </w:rPr>
              <w:t>22</w:t>
            </w:r>
          </w:p>
        </w:tc>
      </w:tr>
      <w:tr>
        <w:trPr>
          <w:trHeight w:val="161"/>
        </w:trPr>
        <w:tc>
          <w:tcPr>
            <w:tcW w:w="20" w:type="dxa"/>
            <w:vAlign w:val="bottom"/>
          </w:tcPr>
          <w:p>
            <w:pPr>
              <w:spacing w:after="0"/>
              <w:rPr>
                <w:sz w:val="14"/>
                <w:szCs w:val="14"/>
                <w:color w:val="auto"/>
              </w:rPr>
            </w:pPr>
          </w:p>
        </w:tc>
        <w:tc>
          <w:tcPr>
            <w:tcW w:w="65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Available-for-sale securities</w:t>
            </w:r>
          </w:p>
        </w:tc>
        <w:tc>
          <w:tcPr>
            <w:tcW w:w="4900" w:type="dxa"/>
            <w:vAlign w:val="bottom"/>
            <w:shd w:val="clear" w:color="auto" w:fill="CCEEFF"/>
          </w:tcPr>
          <w:p>
            <w:pPr>
              <w:jc w:val="right"/>
              <w:ind w:right="274"/>
              <w:spacing w:after="0"/>
              <w:rPr>
                <w:sz w:val="20"/>
                <w:szCs w:val="20"/>
                <w:color w:val="auto"/>
              </w:rPr>
            </w:pPr>
            <w:r>
              <w:rPr>
                <w:rFonts w:ascii="Arial" w:cs="Arial" w:eastAsia="Arial" w:hAnsi="Arial"/>
                <w:sz w:val="13"/>
                <w:szCs w:val="13"/>
                <w:b w:val="1"/>
                <w:bCs w:val="1"/>
                <w:color w:val="auto"/>
              </w:rPr>
              <w:t>492,259</w:t>
            </w:r>
          </w:p>
        </w:tc>
      </w:tr>
      <w:tr>
        <w:trPr>
          <w:trHeight w:val="161"/>
        </w:trPr>
        <w:tc>
          <w:tcPr>
            <w:tcW w:w="20" w:type="dxa"/>
            <w:vAlign w:val="bottom"/>
          </w:tcPr>
          <w:p>
            <w:pPr>
              <w:spacing w:after="0"/>
              <w:rPr>
                <w:sz w:val="14"/>
                <w:szCs w:val="14"/>
                <w:color w:val="auto"/>
              </w:rPr>
            </w:pPr>
          </w:p>
        </w:tc>
        <w:tc>
          <w:tcPr>
            <w:tcW w:w="6540" w:type="dxa"/>
            <w:vAlign w:val="bottom"/>
          </w:tcPr>
          <w:p>
            <w:pPr>
              <w:spacing w:after="0"/>
              <w:rPr>
                <w:sz w:val="20"/>
                <w:szCs w:val="20"/>
                <w:color w:val="auto"/>
              </w:rPr>
            </w:pPr>
            <w:r>
              <w:rPr>
                <w:rFonts w:ascii="Arial" w:cs="Arial" w:eastAsia="Arial" w:hAnsi="Arial"/>
                <w:sz w:val="13"/>
                <w:szCs w:val="13"/>
                <w:color w:val="auto"/>
              </w:rPr>
              <w:t>Federal funds sold and securities purchased under agreements to resell:</w:t>
            </w:r>
          </w:p>
        </w:tc>
        <w:tc>
          <w:tcPr>
            <w:tcW w:w="490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65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Federal funds sold</w:t>
            </w:r>
          </w:p>
        </w:tc>
        <w:tc>
          <w:tcPr>
            <w:tcW w:w="4900" w:type="dxa"/>
            <w:vAlign w:val="bottom"/>
            <w:shd w:val="clear" w:color="auto" w:fill="CCEEFF"/>
          </w:tcPr>
          <w:p>
            <w:pPr>
              <w:jc w:val="right"/>
              <w:ind w:right="274"/>
              <w:spacing w:after="0"/>
              <w:rPr>
                <w:sz w:val="20"/>
                <w:szCs w:val="20"/>
                <w:color w:val="auto"/>
              </w:rPr>
            </w:pPr>
            <w:r>
              <w:rPr>
                <w:rFonts w:ascii="Arial" w:cs="Arial" w:eastAsia="Arial" w:hAnsi="Arial"/>
                <w:sz w:val="13"/>
                <w:szCs w:val="13"/>
                <w:b w:val="1"/>
                <w:bCs w:val="1"/>
                <w:color w:val="auto"/>
              </w:rPr>
              <w:t>0</w:t>
            </w:r>
          </w:p>
        </w:tc>
      </w:tr>
      <w:tr>
        <w:trPr>
          <w:trHeight w:val="161"/>
        </w:trPr>
        <w:tc>
          <w:tcPr>
            <w:tcW w:w="20" w:type="dxa"/>
            <w:vAlign w:val="bottom"/>
          </w:tcPr>
          <w:p>
            <w:pPr>
              <w:spacing w:after="0"/>
              <w:rPr>
                <w:sz w:val="14"/>
                <w:szCs w:val="14"/>
                <w:color w:val="auto"/>
              </w:rPr>
            </w:pPr>
          </w:p>
        </w:tc>
        <w:tc>
          <w:tcPr>
            <w:tcW w:w="6540" w:type="dxa"/>
            <w:vAlign w:val="bottom"/>
          </w:tcPr>
          <w:p>
            <w:pPr>
              <w:ind w:left="140"/>
              <w:spacing w:after="0"/>
              <w:rPr>
                <w:sz w:val="20"/>
                <w:szCs w:val="20"/>
                <w:color w:val="auto"/>
              </w:rPr>
            </w:pPr>
            <w:r>
              <w:rPr>
                <w:rFonts w:ascii="Arial" w:cs="Arial" w:eastAsia="Arial" w:hAnsi="Arial"/>
                <w:sz w:val="13"/>
                <w:szCs w:val="13"/>
                <w:color w:val="auto"/>
              </w:rPr>
              <w:t>Securities purchased under agreements to resell</w:t>
            </w:r>
          </w:p>
        </w:tc>
        <w:tc>
          <w:tcPr>
            <w:tcW w:w="4900" w:type="dxa"/>
            <w:vAlign w:val="bottom"/>
          </w:tcPr>
          <w:p>
            <w:pPr>
              <w:jc w:val="right"/>
              <w:ind w:right="274"/>
              <w:spacing w:after="0"/>
              <w:rPr>
                <w:sz w:val="20"/>
                <w:szCs w:val="20"/>
                <w:color w:val="auto"/>
              </w:rPr>
            </w:pPr>
            <w:r>
              <w:rPr>
                <w:rFonts w:ascii="Arial" w:cs="Arial" w:eastAsia="Arial" w:hAnsi="Arial"/>
                <w:sz w:val="13"/>
                <w:szCs w:val="13"/>
                <w:b w:val="1"/>
                <w:bCs w:val="1"/>
                <w:color w:val="auto"/>
              </w:rPr>
              <w:t>0</w:t>
            </w:r>
          </w:p>
        </w:tc>
      </w:tr>
      <w:tr>
        <w:trPr>
          <w:trHeight w:val="161"/>
        </w:trPr>
        <w:tc>
          <w:tcPr>
            <w:tcW w:w="20" w:type="dxa"/>
            <w:vAlign w:val="bottom"/>
          </w:tcPr>
          <w:p>
            <w:pPr>
              <w:spacing w:after="0"/>
              <w:rPr>
                <w:sz w:val="14"/>
                <w:szCs w:val="14"/>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3"/>
                <w:szCs w:val="13"/>
                <w:color w:val="auto"/>
              </w:rPr>
              <w:t>Loans and lease financing receivables:</w:t>
            </w:r>
          </w:p>
        </w:tc>
        <w:tc>
          <w:tcPr>
            <w:tcW w:w="4900" w:type="dxa"/>
            <w:vAlign w:val="bottom"/>
            <w:shd w:val="clear" w:color="auto" w:fill="CCEEFF"/>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6540" w:type="dxa"/>
            <w:vAlign w:val="bottom"/>
          </w:tcPr>
          <w:p>
            <w:pPr>
              <w:ind w:left="140"/>
              <w:spacing w:after="0"/>
              <w:rPr>
                <w:sz w:val="20"/>
                <w:szCs w:val="20"/>
                <w:color w:val="auto"/>
              </w:rPr>
            </w:pPr>
            <w:r>
              <w:rPr>
                <w:rFonts w:ascii="Arial" w:cs="Arial" w:eastAsia="Arial" w:hAnsi="Arial"/>
                <w:sz w:val="13"/>
                <w:szCs w:val="13"/>
                <w:color w:val="auto"/>
              </w:rPr>
              <w:t>Loans and leases held for sale</w:t>
            </w:r>
          </w:p>
        </w:tc>
        <w:tc>
          <w:tcPr>
            <w:tcW w:w="4900" w:type="dxa"/>
            <w:vAlign w:val="bottom"/>
          </w:tcPr>
          <w:p>
            <w:pPr>
              <w:jc w:val="right"/>
              <w:ind w:right="274"/>
              <w:spacing w:after="0"/>
              <w:rPr>
                <w:sz w:val="20"/>
                <w:szCs w:val="20"/>
                <w:color w:val="auto"/>
              </w:rPr>
            </w:pPr>
            <w:r>
              <w:rPr>
                <w:rFonts w:ascii="Arial" w:cs="Arial" w:eastAsia="Arial" w:hAnsi="Arial"/>
                <w:sz w:val="13"/>
                <w:szCs w:val="13"/>
                <w:b w:val="1"/>
                <w:bCs w:val="1"/>
                <w:color w:val="auto"/>
              </w:rPr>
              <w:t>0</w:t>
            </w:r>
          </w:p>
        </w:tc>
      </w:tr>
      <w:tr>
        <w:trPr>
          <w:trHeight w:val="161"/>
        </w:trPr>
        <w:tc>
          <w:tcPr>
            <w:tcW w:w="20" w:type="dxa"/>
            <w:vAlign w:val="bottom"/>
          </w:tcPr>
          <w:p>
            <w:pPr>
              <w:spacing w:after="0"/>
              <w:rPr>
                <w:sz w:val="14"/>
                <w:szCs w:val="14"/>
                <w:color w:val="auto"/>
              </w:rPr>
            </w:pPr>
          </w:p>
        </w:tc>
        <w:tc>
          <w:tcPr>
            <w:tcW w:w="65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Loans and leases, net of unearned income</w:t>
            </w:r>
          </w:p>
        </w:tc>
        <w:tc>
          <w:tcPr>
            <w:tcW w:w="4900" w:type="dxa"/>
            <w:vAlign w:val="bottom"/>
            <w:shd w:val="clear" w:color="auto" w:fill="CCEEFF"/>
          </w:tcPr>
          <w:p>
            <w:pPr>
              <w:jc w:val="right"/>
              <w:ind w:right="2034"/>
              <w:spacing w:after="0"/>
              <w:rPr>
                <w:sz w:val="20"/>
                <w:szCs w:val="20"/>
                <w:color w:val="auto"/>
              </w:rPr>
            </w:pPr>
            <w:r>
              <w:rPr>
                <w:rFonts w:ascii="Arial" w:cs="Arial" w:eastAsia="Arial" w:hAnsi="Arial"/>
                <w:sz w:val="13"/>
                <w:szCs w:val="13"/>
                <w:b w:val="1"/>
                <w:bCs w:val="1"/>
                <w:color w:val="auto"/>
              </w:rPr>
              <w:t>0</w:t>
            </w:r>
          </w:p>
        </w:tc>
      </w:tr>
      <w:tr>
        <w:trPr>
          <w:trHeight w:val="161"/>
        </w:trPr>
        <w:tc>
          <w:tcPr>
            <w:tcW w:w="20" w:type="dxa"/>
            <w:vAlign w:val="bottom"/>
          </w:tcPr>
          <w:p>
            <w:pPr>
              <w:spacing w:after="0"/>
              <w:rPr>
                <w:sz w:val="14"/>
                <w:szCs w:val="14"/>
                <w:color w:val="auto"/>
              </w:rPr>
            </w:pPr>
          </w:p>
        </w:tc>
        <w:tc>
          <w:tcPr>
            <w:tcW w:w="6540" w:type="dxa"/>
            <w:vAlign w:val="bottom"/>
          </w:tcPr>
          <w:p>
            <w:pPr>
              <w:ind w:left="140"/>
              <w:spacing w:after="0"/>
              <w:rPr>
                <w:sz w:val="20"/>
                <w:szCs w:val="20"/>
                <w:color w:val="auto"/>
              </w:rPr>
            </w:pPr>
            <w:r>
              <w:rPr>
                <w:rFonts w:ascii="Arial" w:cs="Arial" w:eastAsia="Arial" w:hAnsi="Arial"/>
                <w:sz w:val="13"/>
                <w:szCs w:val="13"/>
                <w:color w:val="auto"/>
              </w:rPr>
              <w:t>LESS: Allowance for loan and lease losses</w:t>
            </w:r>
          </w:p>
        </w:tc>
        <w:tc>
          <w:tcPr>
            <w:tcW w:w="4900" w:type="dxa"/>
            <w:vAlign w:val="bottom"/>
          </w:tcPr>
          <w:p>
            <w:pPr>
              <w:jc w:val="right"/>
              <w:ind w:right="2034"/>
              <w:spacing w:after="0"/>
              <w:rPr>
                <w:sz w:val="20"/>
                <w:szCs w:val="20"/>
                <w:color w:val="auto"/>
              </w:rPr>
            </w:pPr>
            <w:r>
              <w:rPr>
                <w:rFonts w:ascii="Arial" w:cs="Arial" w:eastAsia="Arial" w:hAnsi="Arial"/>
                <w:sz w:val="13"/>
                <w:szCs w:val="13"/>
                <w:b w:val="1"/>
                <w:bCs w:val="1"/>
                <w:color w:val="auto"/>
              </w:rPr>
              <w:t>0</w:t>
            </w:r>
          </w:p>
        </w:tc>
      </w:tr>
      <w:tr>
        <w:trPr>
          <w:trHeight w:val="161"/>
        </w:trPr>
        <w:tc>
          <w:tcPr>
            <w:tcW w:w="20" w:type="dxa"/>
            <w:vAlign w:val="bottom"/>
          </w:tcPr>
          <w:p>
            <w:pPr>
              <w:spacing w:after="0"/>
              <w:rPr>
                <w:sz w:val="14"/>
                <w:szCs w:val="14"/>
                <w:color w:val="auto"/>
              </w:rPr>
            </w:pPr>
          </w:p>
        </w:tc>
        <w:tc>
          <w:tcPr>
            <w:tcW w:w="65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Loans and leases, net of unearned income and allowance</w:t>
            </w:r>
          </w:p>
        </w:tc>
        <w:tc>
          <w:tcPr>
            <w:tcW w:w="4900" w:type="dxa"/>
            <w:vAlign w:val="bottom"/>
            <w:shd w:val="clear" w:color="auto" w:fill="CCEEFF"/>
          </w:tcPr>
          <w:p>
            <w:pPr>
              <w:jc w:val="right"/>
              <w:ind w:right="274"/>
              <w:spacing w:after="0"/>
              <w:rPr>
                <w:sz w:val="20"/>
                <w:szCs w:val="20"/>
                <w:color w:val="auto"/>
              </w:rPr>
            </w:pPr>
            <w:r>
              <w:rPr>
                <w:rFonts w:ascii="Arial" w:cs="Arial" w:eastAsia="Arial" w:hAnsi="Arial"/>
                <w:sz w:val="13"/>
                <w:szCs w:val="13"/>
                <w:b w:val="1"/>
                <w:bCs w:val="1"/>
                <w:color w:val="auto"/>
              </w:rPr>
              <w:t>0</w:t>
            </w:r>
          </w:p>
        </w:tc>
      </w:tr>
      <w:tr>
        <w:trPr>
          <w:trHeight w:val="161"/>
        </w:trPr>
        <w:tc>
          <w:tcPr>
            <w:tcW w:w="20" w:type="dxa"/>
            <w:vAlign w:val="bottom"/>
          </w:tcPr>
          <w:p>
            <w:pPr>
              <w:spacing w:after="0"/>
              <w:rPr>
                <w:sz w:val="14"/>
                <w:szCs w:val="14"/>
                <w:color w:val="auto"/>
              </w:rPr>
            </w:pPr>
          </w:p>
        </w:tc>
        <w:tc>
          <w:tcPr>
            <w:tcW w:w="6540" w:type="dxa"/>
            <w:vAlign w:val="bottom"/>
          </w:tcPr>
          <w:p>
            <w:pPr>
              <w:spacing w:after="0"/>
              <w:rPr>
                <w:sz w:val="20"/>
                <w:szCs w:val="20"/>
                <w:color w:val="auto"/>
              </w:rPr>
            </w:pPr>
            <w:r>
              <w:rPr>
                <w:rFonts w:ascii="Arial" w:cs="Arial" w:eastAsia="Arial" w:hAnsi="Arial"/>
                <w:sz w:val="13"/>
                <w:szCs w:val="13"/>
                <w:color w:val="auto"/>
              </w:rPr>
              <w:t>Trading Assets</w:t>
            </w:r>
          </w:p>
        </w:tc>
        <w:tc>
          <w:tcPr>
            <w:tcW w:w="4900" w:type="dxa"/>
            <w:vAlign w:val="bottom"/>
          </w:tcPr>
          <w:p>
            <w:pPr>
              <w:jc w:val="right"/>
              <w:ind w:right="274"/>
              <w:spacing w:after="0"/>
              <w:rPr>
                <w:sz w:val="20"/>
                <w:szCs w:val="20"/>
                <w:color w:val="auto"/>
              </w:rPr>
            </w:pPr>
            <w:r>
              <w:rPr>
                <w:rFonts w:ascii="Arial" w:cs="Arial" w:eastAsia="Arial" w:hAnsi="Arial"/>
                <w:sz w:val="13"/>
                <w:szCs w:val="13"/>
                <w:b w:val="1"/>
                <w:bCs w:val="1"/>
                <w:color w:val="auto"/>
              </w:rPr>
              <w:t>0</w:t>
            </w:r>
          </w:p>
        </w:tc>
      </w:tr>
      <w:tr>
        <w:trPr>
          <w:trHeight w:val="161"/>
        </w:trPr>
        <w:tc>
          <w:tcPr>
            <w:tcW w:w="20" w:type="dxa"/>
            <w:vAlign w:val="bottom"/>
          </w:tcPr>
          <w:p>
            <w:pPr>
              <w:spacing w:after="0"/>
              <w:rPr>
                <w:sz w:val="14"/>
                <w:szCs w:val="14"/>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3"/>
                <w:szCs w:val="13"/>
                <w:color w:val="auto"/>
              </w:rPr>
              <w:t>Premises and fixed assets (including capitalized leases)</w:t>
            </w:r>
          </w:p>
        </w:tc>
        <w:tc>
          <w:tcPr>
            <w:tcW w:w="4900" w:type="dxa"/>
            <w:vAlign w:val="bottom"/>
            <w:shd w:val="clear" w:color="auto" w:fill="CCEEFF"/>
          </w:tcPr>
          <w:p>
            <w:pPr>
              <w:jc w:val="right"/>
              <w:ind w:right="274"/>
              <w:spacing w:after="0"/>
              <w:rPr>
                <w:sz w:val="20"/>
                <w:szCs w:val="20"/>
                <w:color w:val="auto"/>
              </w:rPr>
            </w:pPr>
            <w:r>
              <w:rPr>
                <w:rFonts w:ascii="Arial" w:cs="Arial" w:eastAsia="Arial" w:hAnsi="Arial"/>
                <w:sz w:val="13"/>
                <w:szCs w:val="13"/>
                <w:b w:val="1"/>
                <w:bCs w:val="1"/>
                <w:color w:val="auto"/>
              </w:rPr>
              <w:t>11,783</w:t>
            </w:r>
          </w:p>
        </w:tc>
      </w:tr>
      <w:tr>
        <w:trPr>
          <w:trHeight w:val="161"/>
        </w:trPr>
        <w:tc>
          <w:tcPr>
            <w:tcW w:w="20" w:type="dxa"/>
            <w:vAlign w:val="bottom"/>
          </w:tcPr>
          <w:p>
            <w:pPr>
              <w:spacing w:after="0"/>
              <w:rPr>
                <w:sz w:val="14"/>
                <w:szCs w:val="14"/>
                <w:color w:val="auto"/>
              </w:rPr>
            </w:pPr>
          </w:p>
        </w:tc>
        <w:tc>
          <w:tcPr>
            <w:tcW w:w="6540" w:type="dxa"/>
            <w:vAlign w:val="bottom"/>
          </w:tcPr>
          <w:p>
            <w:pPr>
              <w:spacing w:after="0"/>
              <w:rPr>
                <w:sz w:val="20"/>
                <w:szCs w:val="20"/>
                <w:color w:val="auto"/>
              </w:rPr>
            </w:pPr>
            <w:r>
              <w:rPr>
                <w:rFonts w:ascii="Arial" w:cs="Arial" w:eastAsia="Arial" w:hAnsi="Arial"/>
                <w:sz w:val="13"/>
                <w:szCs w:val="13"/>
                <w:color w:val="auto"/>
              </w:rPr>
              <w:t>Other real estate owned</w:t>
            </w:r>
          </w:p>
        </w:tc>
        <w:tc>
          <w:tcPr>
            <w:tcW w:w="4900" w:type="dxa"/>
            <w:vAlign w:val="bottom"/>
          </w:tcPr>
          <w:p>
            <w:pPr>
              <w:jc w:val="right"/>
              <w:ind w:right="274"/>
              <w:spacing w:after="0"/>
              <w:rPr>
                <w:sz w:val="20"/>
                <w:szCs w:val="20"/>
                <w:color w:val="auto"/>
              </w:rPr>
            </w:pPr>
            <w:r>
              <w:rPr>
                <w:rFonts w:ascii="Arial" w:cs="Arial" w:eastAsia="Arial" w:hAnsi="Arial"/>
                <w:sz w:val="13"/>
                <w:szCs w:val="13"/>
                <w:b w:val="1"/>
                <w:bCs w:val="1"/>
                <w:color w:val="auto"/>
              </w:rPr>
              <w:t>0</w:t>
            </w:r>
          </w:p>
        </w:tc>
      </w:tr>
      <w:tr>
        <w:trPr>
          <w:trHeight w:val="161"/>
        </w:trPr>
        <w:tc>
          <w:tcPr>
            <w:tcW w:w="20" w:type="dxa"/>
            <w:vAlign w:val="bottom"/>
          </w:tcPr>
          <w:p>
            <w:pPr>
              <w:spacing w:after="0"/>
              <w:rPr>
                <w:sz w:val="14"/>
                <w:szCs w:val="14"/>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3"/>
                <w:szCs w:val="13"/>
                <w:color w:val="auto"/>
              </w:rPr>
              <w:t>Investments in unconsolidated subsidiaries and associated companies</w:t>
            </w:r>
          </w:p>
        </w:tc>
        <w:tc>
          <w:tcPr>
            <w:tcW w:w="4900" w:type="dxa"/>
            <w:vAlign w:val="bottom"/>
            <w:shd w:val="clear" w:color="auto" w:fill="CCEEFF"/>
          </w:tcPr>
          <w:p>
            <w:pPr>
              <w:jc w:val="right"/>
              <w:ind w:right="274"/>
              <w:spacing w:after="0"/>
              <w:rPr>
                <w:sz w:val="20"/>
                <w:szCs w:val="20"/>
                <w:color w:val="auto"/>
              </w:rPr>
            </w:pPr>
            <w:r>
              <w:rPr>
                <w:rFonts w:ascii="Arial" w:cs="Arial" w:eastAsia="Arial" w:hAnsi="Arial"/>
                <w:sz w:val="13"/>
                <w:szCs w:val="13"/>
                <w:b w:val="1"/>
                <w:bCs w:val="1"/>
                <w:color w:val="auto"/>
              </w:rPr>
              <w:t>1</w:t>
            </w:r>
          </w:p>
        </w:tc>
      </w:tr>
      <w:tr>
        <w:trPr>
          <w:trHeight w:val="161"/>
        </w:trPr>
        <w:tc>
          <w:tcPr>
            <w:tcW w:w="20" w:type="dxa"/>
            <w:vAlign w:val="bottom"/>
          </w:tcPr>
          <w:p>
            <w:pPr>
              <w:spacing w:after="0"/>
              <w:rPr>
                <w:sz w:val="14"/>
                <w:szCs w:val="14"/>
                <w:color w:val="auto"/>
              </w:rPr>
            </w:pPr>
          </w:p>
        </w:tc>
        <w:tc>
          <w:tcPr>
            <w:tcW w:w="6540" w:type="dxa"/>
            <w:vAlign w:val="bottom"/>
          </w:tcPr>
          <w:p>
            <w:pPr>
              <w:spacing w:after="0"/>
              <w:rPr>
                <w:sz w:val="20"/>
                <w:szCs w:val="20"/>
                <w:color w:val="auto"/>
              </w:rPr>
            </w:pPr>
            <w:r>
              <w:rPr>
                <w:rFonts w:ascii="Arial" w:cs="Arial" w:eastAsia="Arial" w:hAnsi="Arial"/>
                <w:sz w:val="13"/>
                <w:szCs w:val="13"/>
                <w:b w:val="1"/>
                <w:bCs w:val="1"/>
                <w:color w:val="auto"/>
              </w:rPr>
              <w:t>Direct and indirect investments in real estate ventures</w:t>
            </w:r>
          </w:p>
        </w:tc>
        <w:tc>
          <w:tcPr>
            <w:tcW w:w="4900" w:type="dxa"/>
            <w:vAlign w:val="bottom"/>
          </w:tcPr>
          <w:p>
            <w:pPr>
              <w:jc w:val="right"/>
              <w:ind w:right="274"/>
              <w:spacing w:after="0"/>
              <w:rPr>
                <w:sz w:val="20"/>
                <w:szCs w:val="20"/>
                <w:color w:val="auto"/>
              </w:rPr>
            </w:pPr>
            <w:r>
              <w:rPr>
                <w:rFonts w:ascii="Arial" w:cs="Arial" w:eastAsia="Arial" w:hAnsi="Arial"/>
                <w:sz w:val="13"/>
                <w:szCs w:val="13"/>
                <w:b w:val="1"/>
                <w:bCs w:val="1"/>
                <w:color w:val="auto"/>
              </w:rPr>
              <w:t>0</w:t>
            </w:r>
          </w:p>
        </w:tc>
      </w:tr>
      <w:tr>
        <w:trPr>
          <w:trHeight w:val="161"/>
        </w:trPr>
        <w:tc>
          <w:tcPr>
            <w:tcW w:w="20" w:type="dxa"/>
            <w:vAlign w:val="bottom"/>
          </w:tcPr>
          <w:p>
            <w:pPr>
              <w:spacing w:after="0"/>
              <w:rPr>
                <w:sz w:val="14"/>
                <w:szCs w:val="14"/>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3"/>
                <w:szCs w:val="13"/>
                <w:color w:val="auto"/>
              </w:rPr>
              <w:t>Intangible assets:</w:t>
            </w:r>
          </w:p>
        </w:tc>
        <w:tc>
          <w:tcPr>
            <w:tcW w:w="4900" w:type="dxa"/>
            <w:vAlign w:val="bottom"/>
            <w:shd w:val="clear" w:color="auto" w:fill="CCEEFF"/>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6540" w:type="dxa"/>
            <w:vAlign w:val="bottom"/>
          </w:tcPr>
          <w:p>
            <w:pPr>
              <w:ind w:left="140"/>
              <w:spacing w:after="0"/>
              <w:rPr>
                <w:sz w:val="20"/>
                <w:szCs w:val="20"/>
                <w:color w:val="auto"/>
              </w:rPr>
            </w:pPr>
            <w:r>
              <w:rPr>
                <w:rFonts w:ascii="Arial" w:cs="Arial" w:eastAsia="Arial" w:hAnsi="Arial"/>
                <w:sz w:val="13"/>
                <w:szCs w:val="13"/>
                <w:color w:val="auto"/>
              </w:rPr>
              <w:t>Goodwill</w:t>
            </w:r>
          </w:p>
        </w:tc>
        <w:tc>
          <w:tcPr>
            <w:tcW w:w="4900" w:type="dxa"/>
            <w:vAlign w:val="bottom"/>
          </w:tcPr>
          <w:p>
            <w:pPr>
              <w:jc w:val="right"/>
              <w:ind w:right="274"/>
              <w:spacing w:after="0"/>
              <w:rPr>
                <w:sz w:val="20"/>
                <w:szCs w:val="20"/>
                <w:color w:val="auto"/>
              </w:rPr>
            </w:pPr>
            <w:r>
              <w:rPr>
                <w:rFonts w:ascii="Arial" w:cs="Arial" w:eastAsia="Arial" w:hAnsi="Arial"/>
                <w:sz w:val="13"/>
                <w:szCs w:val="13"/>
                <w:b w:val="1"/>
                <w:bCs w:val="1"/>
                <w:color w:val="auto"/>
              </w:rPr>
              <w:t>876,153</w:t>
            </w:r>
          </w:p>
        </w:tc>
      </w:tr>
      <w:tr>
        <w:trPr>
          <w:trHeight w:val="161"/>
        </w:trPr>
        <w:tc>
          <w:tcPr>
            <w:tcW w:w="20" w:type="dxa"/>
            <w:vAlign w:val="bottom"/>
          </w:tcPr>
          <w:p>
            <w:pPr>
              <w:spacing w:after="0"/>
              <w:rPr>
                <w:sz w:val="14"/>
                <w:szCs w:val="14"/>
                <w:color w:val="auto"/>
              </w:rPr>
            </w:pPr>
          </w:p>
        </w:tc>
        <w:tc>
          <w:tcPr>
            <w:tcW w:w="65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intangible assets</w:t>
            </w:r>
          </w:p>
        </w:tc>
        <w:tc>
          <w:tcPr>
            <w:tcW w:w="4900" w:type="dxa"/>
            <w:vAlign w:val="bottom"/>
            <w:shd w:val="clear" w:color="auto" w:fill="CCEEFF"/>
          </w:tcPr>
          <w:p>
            <w:pPr>
              <w:jc w:val="right"/>
              <w:ind w:right="274"/>
              <w:spacing w:after="0"/>
              <w:rPr>
                <w:sz w:val="20"/>
                <w:szCs w:val="20"/>
                <w:color w:val="auto"/>
              </w:rPr>
            </w:pPr>
            <w:r>
              <w:rPr>
                <w:rFonts w:ascii="Arial" w:cs="Arial" w:eastAsia="Arial" w:hAnsi="Arial"/>
                <w:sz w:val="13"/>
                <w:szCs w:val="13"/>
                <w:b w:val="1"/>
                <w:bCs w:val="1"/>
                <w:color w:val="auto"/>
              </w:rPr>
              <w:t>258,262</w:t>
            </w:r>
          </w:p>
        </w:tc>
      </w:tr>
      <w:tr>
        <w:trPr>
          <w:trHeight w:val="161"/>
        </w:trPr>
        <w:tc>
          <w:tcPr>
            <w:tcW w:w="20" w:type="dxa"/>
            <w:vAlign w:val="bottom"/>
          </w:tcPr>
          <w:p>
            <w:pPr>
              <w:spacing w:after="0"/>
              <w:rPr>
                <w:sz w:val="14"/>
                <w:szCs w:val="14"/>
                <w:color w:val="auto"/>
              </w:rPr>
            </w:pPr>
          </w:p>
        </w:tc>
        <w:tc>
          <w:tcPr>
            <w:tcW w:w="6540" w:type="dxa"/>
            <w:vAlign w:val="bottom"/>
          </w:tcPr>
          <w:p>
            <w:pPr>
              <w:spacing w:after="0"/>
              <w:rPr>
                <w:sz w:val="20"/>
                <w:szCs w:val="20"/>
                <w:color w:val="auto"/>
              </w:rPr>
            </w:pPr>
            <w:r>
              <w:rPr>
                <w:rFonts w:ascii="Arial" w:cs="Arial" w:eastAsia="Arial" w:hAnsi="Arial"/>
                <w:sz w:val="13"/>
                <w:szCs w:val="13"/>
                <w:color w:val="auto"/>
              </w:rPr>
              <w:t>Other assets</w:t>
            </w:r>
          </w:p>
        </w:tc>
        <w:tc>
          <w:tcPr>
            <w:tcW w:w="4900" w:type="dxa"/>
            <w:vAlign w:val="bottom"/>
          </w:tcPr>
          <w:p>
            <w:pPr>
              <w:jc w:val="right"/>
              <w:ind w:right="274"/>
              <w:spacing w:after="0"/>
              <w:rPr>
                <w:sz w:val="20"/>
                <w:szCs w:val="20"/>
                <w:color w:val="auto"/>
              </w:rPr>
            </w:pPr>
            <w:r>
              <w:rPr>
                <w:rFonts w:ascii="Arial" w:cs="Arial" w:eastAsia="Arial" w:hAnsi="Arial"/>
                <w:sz w:val="13"/>
                <w:szCs w:val="13"/>
                <w:b w:val="1"/>
                <w:bCs w:val="1"/>
                <w:color w:val="auto"/>
              </w:rPr>
              <w:t>157,588</w:t>
            </w:r>
          </w:p>
        </w:tc>
      </w:tr>
      <w:tr>
        <w:trPr>
          <w:trHeight w:val="161"/>
        </w:trPr>
        <w:tc>
          <w:tcPr>
            <w:tcW w:w="20" w:type="dxa"/>
            <w:vAlign w:val="bottom"/>
          </w:tcPr>
          <w:p>
            <w:pPr>
              <w:spacing w:after="0"/>
              <w:rPr>
                <w:sz w:val="14"/>
                <w:szCs w:val="14"/>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3"/>
                <w:szCs w:val="13"/>
                <w:color w:val="auto"/>
              </w:rPr>
              <w:t>Total assets</w:t>
            </w:r>
          </w:p>
        </w:tc>
        <w:tc>
          <w:tcPr>
            <w:tcW w:w="4900" w:type="dxa"/>
            <w:vAlign w:val="bottom"/>
            <w:shd w:val="clear" w:color="auto" w:fill="CCEEFF"/>
          </w:tcPr>
          <w:p>
            <w:pPr>
              <w:jc w:val="right"/>
              <w:ind w:right="274"/>
              <w:spacing w:after="0"/>
              <w:rPr>
                <w:sz w:val="20"/>
                <w:szCs w:val="20"/>
                <w:color w:val="auto"/>
              </w:rPr>
            </w:pPr>
            <w:r>
              <w:rPr>
                <w:rFonts w:ascii="Arial" w:cs="Arial" w:eastAsia="Arial" w:hAnsi="Arial"/>
                <w:sz w:val="13"/>
                <w:szCs w:val="13"/>
                <w:b w:val="1"/>
                <w:bCs w:val="1"/>
                <w:color w:val="auto"/>
              </w:rPr>
              <w:t>1,911,958</w:t>
            </w:r>
          </w:p>
        </w:tc>
      </w:tr>
    </w:tbl>
    <w:p>
      <w:pPr>
        <w:spacing w:after="0" w:line="1" w:lineRule="exact"/>
        <w:rPr>
          <w:sz w:val="20"/>
          <w:szCs w:val="20"/>
          <w:color w:val="auto"/>
        </w:rPr>
      </w:pPr>
    </w:p>
    <w:sectPr>
      <w:pgSz w:w="11900" w:h="16838" w:orient="portrait"/>
      <w:cols w:equalWidth="0" w:num="1">
        <w:col w:w="11460"/>
      </w:cols>
      <w:pgMar w:left="220" w:top="733"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1)"/>
      <w:numFmt w:val="decimal"/>
      <w:start w:val="713"/>
    </w:lvl>
  </w:abstractNum>
  <w:abstractNum w:abstractNumId="1">
    <w:nsid w:val="8138641"/>
    <w:multiLevelType w:val="hybridMultilevel"/>
    <w:lvl w:ilvl="0">
      <w:lvlJc w:val="left"/>
      <w:lvlText w:val="(%1)"/>
      <w:numFmt w:val="decimal"/>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1)"/>
      <w:numFmt w:val="lowerLetter"/>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1)"/>
      <w:numFmt w:val="lowerLetter"/>
      <w:start w:val="6"/>
    </w:lvl>
  </w:abstractNum>
  <w:abstractNum w:abstractNumId="21">
    <w:nsid w:val="2D517796"/>
    <w:multiLevelType w:val="hybridMultilevel"/>
    <w:lvl w:ilvl="0">
      <w:lvlJc w:val="left"/>
      <w:lvlText w:val="(%1)"/>
      <w:numFmt w:val="lowerLetter"/>
      <w:start w:val="12"/>
    </w:lvl>
  </w:abstractNum>
  <w:abstractNum w:abstractNumId="22">
    <w:nsid w:val="580BD78F"/>
    <w:multiLevelType w:val="hybridMultilevel"/>
    <w:lvl w:ilvl="0">
      <w:lvlJc w:val="left"/>
      <w:lvlText w:val="(%1)"/>
      <w:numFmt w:val="lowerLetter"/>
      <w:start w:val="1"/>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
      <w:numFmt w:val="bullet"/>
      <w:start w:val="1"/>
    </w:lvl>
  </w:abstractNum>
  <w:abstractNum w:abstractNumId="25">
    <w:nsid w:val="70A64E2A"/>
    <w:multiLevelType w:val="hybridMultilevel"/>
    <w:lvl w:ilvl="0">
      <w:lvlJc w:val="left"/>
      <w:lvlText w:val="•"/>
      <w:numFmt w:val="bullet"/>
      <w:start w:val="1"/>
    </w:lvl>
  </w:abstractNum>
  <w:abstractNum w:abstractNumId="26">
    <w:nsid w:val="6A2342EC"/>
    <w:multiLevelType w:val="hybridMultilevel"/>
    <w:lvl w:ilvl="0">
      <w:lvlJc w:val="left"/>
      <w:lvlText w:val="•"/>
      <w:numFmt w:val="bullet"/>
      <w:start w:val="1"/>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1)"/>
      <w:numFmt w:val="lowerRoman"/>
      <w:start w:val="2"/>
    </w:lvl>
  </w:abstractNum>
  <w:abstractNum w:abstractNumId="29">
    <w:nsid w:val="725A06FB"/>
    <w:multiLevelType w:val="hybridMultilevel"/>
    <w:lvl w:ilvl="0">
      <w:lvlJc w:val="left"/>
      <w:lvlText w:val="(%1)"/>
      <w:numFmt w:val="decimal"/>
      <w:start w:val="1"/>
    </w:lvl>
    <w:lvl w:ilvl="1">
      <w:lvlJc w:val="left"/>
      <w:lvlText w:val="(%2)"/>
      <w:numFmt w:val="lowerRoman"/>
      <w:start w:val="1"/>
    </w:lvl>
  </w:abstractNum>
  <w:abstractNum w:abstractNumId="30">
    <w:nsid w:val="2CD89A32"/>
    <w:multiLevelType w:val="hybridMultilevel"/>
    <w:lvl w:ilvl="0">
      <w:lvlJc w:val="left"/>
      <w:lvlText w:val="(%1)"/>
      <w:numFmt w:val="decimal"/>
      <w:start w:val="2"/>
    </w:lvl>
  </w:abstractNum>
  <w:abstractNum w:abstractNumId="31">
    <w:nsid w:val="57E4CCAF"/>
    <w:multiLevelType w:val="hybridMultilevel"/>
    <w:lvl w:ilvl="0">
      <w:lvlJc w:val="left"/>
      <w:lvlText w:val="(%1)"/>
      <w:numFmt w:val="decimal"/>
      <w:start w:val="3"/>
    </w:lvl>
    <w:lvl w:ilvl="1">
      <w:lvlJc w:val="left"/>
      <w:lvlText w:val="(%2)"/>
      <w:numFmt w:val="upperLetter"/>
      <w:start w:val="1"/>
    </w:lvl>
  </w:abstractNum>
  <w:abstractNum w:abstractNumId="32">
    <w:nsid w:val="7A6D8D3C"/>
    <w:multiLevelType w:val="hybridMultilevel"/>
    <w:lvl w:ilvl="0">
      <w:lvlJc w:val="left"/>
      <w:lvlText w:val="%1"/>
      <w:numFmt w:val="decimal"/>
      <w:start w:val="1"/>
    </w:lvl>
    <w:lvl w:ilvl="1">
      <w:lvlJc w:val="left"/>
      <w:lvlText w:val="(%2)"/>
      <w:numFmt w:val="lowerRoman"/>
      <w:start w:val="1"/>
    </w:lvl>
  </w:abstractNum>
  <w:abstractNum w:abstractNumId="33">
    <w:nsid w:val="4B588F54"/>
    <w:multiLevelType w:val="hybridMultilevel"/>
    <w:lvl w:ilvl="0">
      <w:lvlJc w:val="left"/>
      <w:lvlText w:val="(%1)"/>
      <w:numFmt w:val="decimal"/>
      <w:start w:val="6"/>
    </w:lvl>
    <w:lvl w:ilvl="1">
      <w:lvlJc w:val="left"/>
      <w:lvlText w:val="%2"/>
      <w:numFmt w:val="lowerRoman"/>
      <w:start w:val="1"/>
    </w:lvl>
  </w:abstractNum>
  <w:abstractNum w:abstractNumId="34">
    <w:nsid w:val="542289EC"/>
    <w:multiLevelType w:val="hybridMultilevel"/>
    <w:lvl w:ilvl="0">
      <w:lvlJc w:val="left"/>
      <w:lvlText w:val="(%1)"/>
      <w:numFmt w:val="decimal"/>
      <w:start w:val="8"/>
    </w:lvl>
  </w:abstractNum>
  <w:abstractNum w:abstractNumId="35">
    <w:nsid w:val="6DE91B18"/>
    <w:multiLevelType w:val="hybridMultilevel"/>
    <w:lvl w:ilvl="0">
      <w:lvlJc w:val="left"/>
      <w:lvlText w:val="*"/>
      <w:numFmt w:val="bullet"/>
      <w:start w:val="1"/>
    </w:lvl>
    <w:lvl w:ilvl="1">
      <w:lvlJc w:val="left"/>
      <w:lvlText w:val="%2"/>
      <w:numFmt w:val="decimal"/>
      <w:start w:val="24"/>
    </w:lvl>
  </w:abstractNum>
  <w:abstractNum w:abstractNumId="36">
    <w:nsid w:val="38437FDB"/>
    <w:multiLevelType w:val="hybridMultilevel"/>
    <w:lvl w:ilvl="0">
      <w:lvlJc w:val="left"/>
      <w:lvlText w:val="%1."/>
      <w:numFmt w:val="decimal"/>
      <w:start w:val="1"/>
    </w:lvl>
  </w:abstractNum>
  <w:abstractNum w:abstractNumId="37">
    <w:nsid w:val="7644A45C"/>
    <w:multiLevelType w:val="hybridMultilevel"/>
    <w:lvl w:ilvl="0">
      <w:lvlJc w:val="left"/>
      <w:lvlText w:val="(%1)"/>
      <w:numFmt w:val="lowerRoman"/>
      <w:start w:val="1"/>
    </w:lvl>
  </w:abstractNum>
  <w:abstractNum w:abstractNumId="38">
    <w:nsid w:val="32FFF902"/>
    <w:multiLevelType w:val="hybridMultilevel"/>
    <w:lvl w:ilvl="0">
      <w:lvlJc w:val="left"/>
      <w:lvlText w:val="(%1)"/>
      <w:numFmt w:val="lowerRoman"/>
      <w:start w:val="3"/>
    </w:lvl>
    <w:lvl w:ilvl="1">
      <w:lvlJc w:val="left"/>
      <w:lvlText w:val="(%2)"/>
      <w:numFmt w:val="decimal"/>
      <w:start w:val="2"/>
    </w:lvl>
  </w:abstractNum>
  <w:abstractNum w:abstractNumId="39">
    <w:nsid w:val="684A481A"/>
    <w:multiLevelType w:val="hybridMultilevel"/>
    <w:lvl w:ilvl="0">
      <w:lvlJc w:val="left"/>
      <w:lvlText w:val="(%1)"/>
      <w:numFmt w:val="decimal"/>
      <w:start w:val="4"/>
    </w:lvl>
  </w:abstractNum>
  <w:abstractNum w:abstractNumId="40">
    <w:nsid w:val="579478FE"/>
    <w:multiLevelType w:val="hybridMultilevel"/>
    <w:lvl w:ilvl="0">
      <w:lvlJc w:val="left"/>
      <w:lvlText w:val="%1."/>
      <w:numFmt w:val="decimal"/>
      <w:start w:val="4"/>
    </w:lvl>
  </w:abstractNum>
  <w:abstractNum w:abstractNumId="41">
    <w:nsid w:val="749ABB43"/>
    <w:multiLevelType w:val="hybridMultilevel"/>
    <w:lvl w:ilvl="0">
      <w:lvlJc w:val="left"/>
      <w:lvlText w:val="(%1)"/>
      <w:numFmt w:val="lowerRoman"/>
      <w:start w:val="4"/>
    </w:lvl>
  </w:abstractNum>
  <w:abstractNum w:abstractNumId="42">
    <w:nsid w:val="3DC240FB"/>
    <w:multiLevelType w:val="hybridMultilevel"/>
    <w:lvl w:ilvl="0">
      <w:lvlJc w:val="left"/>
      <w:lvlText w:val="(%1)"/>
      <w:numFmt w:val="lowerRoman"/>
      <w:start w:val="2"/>
    </w:lvl>
  </w:abstractNum>
  <w:abstractNum w:abstractNumId="43">
    <w:nsid w:val="1BA026FA"/>
    <w:multiLevelType w:val="hybridMultilevel"/>
    <w:lvl w:ilvl="0">
      <w:lvlJc w:val="left"/>
      <w:lvlText w:val="(%1)"/>
      <w:numFmt w:val="lowerRoman"/>
      <w:start w:val="3"/>
    </w:lvl>
  </w:abstractNum>
  <w:abstractNum w:abstractNumId="44">
    <w:nsid w:val="79A1DEAA"/>
    <w:multiLevelType w:val="hybridMultilevel"/>
    <w:lvl w:ilvl="0">
      <w:lvlJc w:val="left"/>
      <w:lvlText w:val="(%1)"/>
      <w:numFmt w:val="lowerLetter"/>
      <w:start w:val="1"/>
    </w:lvl>
  </w:abstractNum>
  <w:abstractNum w:abstractNumId="45">
    <w:nsid w:val="75C6C33A"/>
    <w:multiLevelType w:val="hybridMultilevel"/>
    <w:lvl w:ilvl="0">
      <w:lvlJc w:val="left"/>
      <w:lvlText w:val="(%1)"/>
      <w:numFmt w:val="lowerLetter"/>
      <w:start w:val="4"/>
    </w:lvl>
  </w:abstractNum>
  <w:abstractNum w:abstractNumId="46">
    <w:nsid w:val="12E685FB"/>
    <w:multiLevelType w:val="hybridMultilevel"/>
    <w:lvl w:ilvl="0">
      <w:lvlJc w:val="left"/>
      <w:lvlText w:val="%1."/>
      <w:numFmt w:val="decimal"/>
      <w:start w:val="1"/>
    </w:lvl>
    <w:lvl w:ilvl="1">
      <w:lvlJc w:val="left"/>
      <w:lvlText w:val="(%2)"/>
      <w:numFmt w:val="lowerLetter"/>
      <w:start w:val="1"/>
    </w:lvl>
  </w:abstractNum>
  <w:abstractNum w:abstractNumId="47">
    <w:nsid w:val="70C6A529"/>
    <w:multiLevelType w:val="hybridMultilevel"/>
    <w:lvl w:ilvl="0">
      <w:lvlJc w:val="left"/>
      <w:lvlText w:val="(%1)"/>
      <w:numFmt w:val="lowerLetter"/>
      <w:start w:val="2"/>
    </w:lvl>
  </w:abstractNum>
  <w:abstractNum w:abstractNumId="48">
    <w:nsid w:val="520EEDD1"/>
    <w:multiLevelType w:val="hybridMultilevel"/>
    <w:lvl w:ilvl="0">
      <w:lvlJc w:val="left"/>
      <w:lvlText w:val="%1."/>
      <w:numFmt w:val="decimal"/>
      <w:start w:val="2"/>
    </w:lvl>
  </w:abstractNum>
  <w:abstractNum w:abstractNumId="49">
    <w:nsid w:val="374A3FE6"/>
    <w:multiLevelType w:val="hybridMultilevel"/>
    <w:lvl w:ilvl="0">
      <w:lvlJc w:val="left"/>
      <w:lvlText w:val="%1."/>
      <w:numFmt w:val="decimal"/>
      <w:start w:val="16"/>
    </w:lvl>
    <w:lvl w:ilvl="1">
      <w:lvlJc w:val="left"/>
      <w:lvlText w:val="%2."/>
      <w:numFmt w:val="decimal"/>
      <w:start w:val="1"/>
    </w:lvl>
  </w:abstractNum>
  <w:abstractNum w:abstractNumId="50">
    <w:nsid w:val="4F4EF005"/>
    <w:multiLevelType w:val="hybridMultilevel"/>
    <w:lvl w:ilvl="0">
      <w:lvlJc w:val="left"/>
      <w:lvlText w:val="%1."/>
      <w:numFmt w:val="decimal"/>
      <w:start w:val="6"/>
    </w:lvl>
  </w:abstractNum>
  <w:abstractNum w:abstractNumId="51">
    <w:nsid w:val="23F9C13C"/>
    <w:multiLevelType w:val="hybridMultilevel"/>
    <w:lvl w:ilvl="0">
      <w:lvlJc w:val="left"/>
      <w:lvlText w:val="%1."/>
      <w:numFmt w:val="decimal"/>
      <w:start w:val="7"/>
    </w:lvl>
  </w:abstractNum>
  <w:abstractNum w:abstractNumId="52">
    <w:nsid w:val="649BB77C"/>
    <w:multiLevelType w:val="hybridMultilevel"/>
    <w:lvl w:ilvl="0">
      <w:lvlJc w:val="left"/>
      <w:lvlText w:val="%1."/>
      <w:numFmt w:val="decimal"/>
      <w:start w:val="1"/>
    </w:lvl>
    <w:lvl w:ilvl="1">
      <w:lvlJc w:val="left"/>
      <w:lvlText w:val="(%2)"/>
      <w:numFmt w:val="lowerLetter"/>
      <w:start w:val="1"/>
    </w:lvl>
  </w:abstractNum>
  <w:abstractNum w:abstractNumId="53">
    <w:nsid w:val="275AC794"/>
    <w:multiLevelType w:val="hybridMultilevel"/>
    <w:lvl w:ilvl="0">
      <w:lvlJc w:val="left"/>
      <w:lvlText w:val="(%1)"/>
      <w:numFmt w:val="lowerLetter"/>
      <w:start w:val="2"/>
    </w:lvl>
  </w:abstractNum>
  <w:abstractNum w:abstractNumId="54">
    <w:nsid w:val="39386575"/>
    <w:multiLevelType w:val="hybridMultilevel"/>
    <w:lvl w:ilvl="0">
      <w:lvlJc w:val="left"/>
      <w:lvlText w:val="%1."/>
      <w:numFmt w:val="decimal"/>
      <w:start w:val="2"/>
    </w:lvl>
  </w:abstractNum>
  <w:abstractNum w:abstractNumId="55">
    <w:nsid w:val="1CF10FD8"/>
    <w:multiLevelType w:val="hybridMultilevel"/>
    <w:lvl w:ilvl="0">
      <w:lvlJc w:val="left"/>
      <w:lvlText w:val="%1."/>
      <w:numFmt w:val="decimal"/>
      <w:start w:val="16"/>
    </w:lvl>
    <w:lvl w:ilvl="1">
      <w:lvlJc w:val="left"/>
      <w:lvlText w:val="%2."/>
      <w:numFmt w:val="decimal"/>
      <w:start w:val="1"/>
    </w:lvl>
  </w:abstractNum>
  <w:abstractNum w:abstractNumId="56">
    <w:nsid w:val="180115BE"/>
    <w:multiLevelType w:val="hybridMultilevel"/>
    <w:lvl w:ilvl="0">
      <w:lvlJc w:val="left"/>
      <w:lvlText w:val="%1."/>
      <w:numFmt w:val="decimal"/>
      <w:start w:val="6"/>
    </w:lvl>
  </w:abstractNum>
  <w:abstractNum w:abstractNumId="57">
    <w:nsid w:val="235BA861"/>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2019-12-10T07:05:40Z</dcterms:created>
  <dcterms:modified xsi:type="dcterms:W3CDTF">2019-12-10T07:05:40Z</dcterms:modified>
</cp:coreProperties>
</file>