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28,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223520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 xml:space="preserve">Waste Management, Inc. (the “Company”) issued a press release this morning announcing its financial results for the quarter ended September 30, 2010, a copy of which is attached hereto as Exhibit 99.1. The Company is holding a conference call to discuss these results beginning at 9:00 a.m. Central Time this morning. The call will be webcast live and may be heard by accessing the Company’s website at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and selecting “Events and Presentations” in the Investor Relations section. The call may also be heard by dialing (877) 710-6139 and entering access code 15149014.</w:t>
      </w:r>
    </w:p>
    <w:p>
      <w:pPr>
        <w:spacing w:after="0" w:line="63"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the non-GAAP measures contained in its press release and reconciliations of such measures to their most comparable GAAP measures in the schedules thereto.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October 28, 2010</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October 28, 2010</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c>
          <w:tcPr>
            <w:tcW w:w="168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21"/>
        </w:trPr>
        <w:tc>
          <w:tcPr>
            <w:tcW w:w="3520" w:type="dxa"/>
            <w:vAlign w:val="bottom"/>
          </w:tcPr>
          <w:p>
            <w:pPr>
              <w:spacing w:after="0"/>
              <w:rPr>
                <w:sz w:val="24"/>
                <w:szCs w:val="24"/>
                <w:color w:val="auto"/>
              </w:rPr>
            </w:pPr>
          </w:p>
        </w:tc>
        <w:tc>
          <w:tcPr>
            <w:tcW w:w="622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52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tabs>
          <w:tab w:leader="none" w:pos="9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ind w:left="10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28, 2010</w:t>
      </w:r>
    </w:p>
    <w:p>
      <w:pPr>
        <w:spacing w:after="0" w:line="18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79"/>
          </w:cols>
          <w:pgMar w:left="380" w:top="95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223520</wp:posOffset>
            </wp:positionV>
            <wp:extent cx="1637665" cy="574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76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Jim Alderson – 713.394.2281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 #10-14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Third Quarter 2010 Earnings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Revenue Increases Seven Percent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Reaffirms 2010 Free Cash Flow Guidance</w:t>
      </w:r>
    </w:p>
    <w:p>
      <w:pPr>
        <w:spacing w:after="0" w:line="117"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 xml:space="preserve">HOUSTON – October 28, 2010 – </w:t>
      </w:r>
      <w:r>
        <w:rPr>
          <w:rFonts w:ascii="Arial" w:cs="Arial" w:eastAsia="Arial" w:hAnsi="Arial"/>
          <w:sz w:val="16"/>
          <w:szCs w:val="16"/>
          <w:color w:val="auto"/>
        </w:rPr>
        <w:t>Waste Management, Inc. (NYSE: WM) today announced financial results for its third quarter ended September 30, 2010.</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for the third quarter of 2010 was $3.24 billion compared with $3.02 billion for the same 2009 period, an increase of $212 million, or 7.0%. Net income</w:t>
      </w:r>
      <w:r>
        <w:rPr>
          <w:rFonts w:ascii="Arial" w:cs="Arial" w:eastAsia="Arial" w:hAnsi="Arial"/>
          <w:sz w:val="13"/>
          <w:szCs w:val="13"/>
          <w:color w:val="auto"/>
        </w:rPr>
        <w:t>(a)</w:t>
      </w:r>
      <w:r>
        <w:rPr>
          <w:rFonts w:ascii="Arial" w:cs="Arial" w:eastAsia="Arial" w:hAnsi="Arial"/>
          <w:sz w:val="16"/>
          <w:szCs w:val="16"/>
          <w:color w:val="auto"/>
        </w:rPr>
        <w:t xml:space="preserve"> for the quarter was $244 million, or $0.51 per diluted share, compared with $277 million, or $0.56 per diluted share, for the third quarter of 2009.</w:t>
      </w:r>
    </w:p>
    <w:p>
      <w:pPr>
        <w:spacing w:after="0" w:line="3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noted certain items that impacted the third quarter results for 2010 and 2009. Excluding these items, net income would have been $264 million, or $0.55 per diluted share, in the third quarter of 2010 compared with $265 million, or $0.54 per diluted share, in the third quarter of 2009.</w:t>
      </w:r>
      <w:r>
        <w:rPr>
          <w:rFonts w:ascii="Arial" w:cs="Arial" w:eastAsia="Arial" w:hAnsi="Arial"/>
          <w:sz w:val="14"/>
          <w:szCs w:val="14"/>
          <w:color w:val="auto"/>
        </w:rPr>
        <w:t>(b)</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Results in the third quarter of 2010 included a net decrease of $0.04 per diluted share from the following:</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A $4 million net tax expense due to tax adjustments relating to finalization of the Company’s 2009 tax returns and audit settlements; and</w:t>
      </w:r>
    </w:p>
    <w:p>
      <w:pPr>
        <w:spacing w:after="0" w:line="142" w:lineRule="exact"/>
        <w:rPr>
          <w:rFonts w:ascii="Arial" w:cs="Arial" w:eastAsia="Arial" w:hAnsi="Arial"/>
          <w:sz w:val="17"/>
          <w:szCs w:val="17"/>
          <w:b w:val="1"/>
          <w:bCs w:val="1"/>
          <w:color w:val="auto"/>
        </w:rPr>
      </w:pPr>
    </w:p>
    <w:p>
      <w:pPr>
        <w:ind w:left="660" w:right="2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After-tax charges aggregating $16 million related to remediation and closure costs at three closed sites, and the accounting effect of lower ten-year Treasury rates, which are used to discount remediation reserves.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Results in the 2009 third quarter included a net benefit of $0.02 per diluted share from the combined effects of favorable income tax adjustments and charges related to the restructuring announced in February 2009.</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David P. Steiner, Chief Executive Officer of Waste Management, commented, “When we look at our earnings, our collection, landfill and recycling businesses all performed solidly during the quarter. Each of these business lines increased operating earnings and improved operating margins compared with the prior year period. Overall, our results for the quarter did not meet our internal expectations, but if we look just at our traditional solid waste business, we would have earned $0.60 per diluted share, in line with our expectations. Two items caused a $0.05 headwind to earnings in the quarter. First, we had unexpected maintenance and other costs of $0.02 per diluted share at our Wheelabrator operations. Second, we had a $0.03 headwind from certain of our growth initiatives, primarily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300"/>
        <w:spacing w:after="0" w:line="302" w:lineRule="auto"/>
        <w:rPr>
          <w:sz w:val="20"/>
          <w:szCs w:val="20"/>
          <w:color w:val="auto"/>
        </w:rPr>
      </w:pPr>
      <w:r>
        <w:rPr>
          <w:rFonts w:ascii="Arial" w:cs="Arial" w:eastAsia="Arial" w:hAnsi="Arial"/>
          <w:sz w:val="16"/>
          <w:szCs w:val="16"/>
          <w:color w:val="auto"/>
        </w:rPr>
        <w:t>our new Bagster product offering and our initiatives in medical waste. These initiatives are in the start-up phase and we have a lot of typical start-up costs, such as advertising and new sales personnel. However, we are seeing good revenue growth in both lines of business, with Bagster growing over 20% per month over the last six months and our medical waste business growing 30% sequentially from the second to the third quarter. So, we have a short-term headwind from start-up costs associated with our growth initiatives, but we believe these initiatives will create long-term shareholder value.”</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Steiner continued, “Our internal revenue growth from yield for our collection and disposal business was 2.3%, consistent with the second quarter of 2010. We continue our focus on pricing and we remain committed to pricing of at least 50 to 100 basis points above CPI. Internal revenue growth from volume declined by 0.7% in the third quarter of 2010, compared with the prior year period. This is the fourth consecutive quarter in which the rate of volume decline has improved.”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Third Quarter 2010</w:t>
      </w:r>
    </w:p>
    <w:p>
      <w:pPr>
        <w:spacing w:after="0" w:line="121"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increased by 7.0%, or $212 million.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for the Company’s collection and disposal operations was 2.3%.</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negative 0.7%.</w:t>
      </w:r>
    </w:p>
    <w:p>
      <w:pPr>
        <w:spacing w:after="0" w:line="130" w:lineRule="exact"/>
        <w:rPr>
          <w:rFonts w:ascii="Arial" w:cs="Arial" w:eastAsia="Arial" w:hAnsi="Arial"/>
          <w:sz w:val="18"/>
          <w:szCs w:val="18"/>
          <w:b w:val="1"/>
          <w:bCs w:val="1"/>
          <w:color w:val="auto"/>
        </w:rPr>
      </w:pPr>
    </w:p>
    <w:p>
      <w:pPr>
        <w:jc w:val="both"/>
        <w:ind w:left="660" w:right="44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Average recycling commodity prices were 20% higher for the third quarter of 2010 compared with the same prior year period. This contributed approximately $0.02 to earnings per diluted share in the third quarter of 2010, compared with the prior year quarter, consistent with previously announced expectations.</w:t>
      </w:r>
    </w:p>
    <w:p>
      <w:pPr>
        <w:spacing w:after="0" w:line="86" w:lineRule="exact"/>
        <w:rPr>
          <w:rFonts w:ascii="Arial" w:cs="Arial" w:eastAsia="Arial" w:hAnsi="Arial"/>
          <w:sz w:val="18"/>
          <w:szCs w:val="18"/>
          <w:b w:val="1"/>
          <w:bCs w:val="1"/>
          <w:color w:val="auto"/>
        </w:rPr>
      </w:pPr>
    </w:p>
    <w:p>
      <w:pPr>
        <w:ind w:left="660" w:hanging="436"/>
        <w:spacing w:after="0" w:line="25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Operating expenses increased $150 million in the third quarter compared with the third quarter of 2009. Adjusted for the items excluded in calculating the Company’s as-adjusted earnings, operating expenses increased by $131 million in the third quarter.</w:t>
      </w:r>
      <w:r>
        <w:rPr>
          <w:rFonts w:ascii="Arial" w:cs="Arial" w:eastAsia="Arial" w:hAnsi="Arial"/>
          <w:sz w:val="15"/>
          <w:szCs w:val="15"/>
          <w:color w:val="auto"/>
        </w:rPr>
        <w:t>(b)</w:t>
      </w:r>
      <w:r>
        <w:rPr>
          <w:rFonts w:ascii="Arial" w:cs="Arial" w:eastAsia="Arial" w:hAnsi="Arial"/>
          <w:sz w:val="18"/>
          <w:szCs w:val="18"/>
          <w:color w:val="auto"/>
        </w:rPr>
        <w:t xml:space="preserve"> This increase resulted primarily from a $67 million increase in cost of goods sold related to recycling commodity rebates, $37 million of increased subcontractor costs primarily associated with the cleanup along the Gulf Coast, $18 million of increased maintenance and other costs primarily at Wheelabrator waste-to-energy plants, and $12 million for increased diesel fuel prices.</w:t>
      </w:r>
    </w:p>
    <w:p>
      <w:pPr>
        <w:spacing w:after="0" w:line="93"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increased $30 million in the third quarter compared with the third quarter of 2009, due principally to costs of the Company’s strategic growth initiatives and information technology upgrades.</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Interest expense increased by $22 million compared with the third quarter of 2009, primarily due to higher costs associated with the Company’s new revolving credit facility and letters of credit, and higher average debt balances during the period.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Free cash flow was $424 million.</w:t>
      </w:r>
      <w:r>
        <w:rPr>
          <w:rFonts w:ascii="Arial" w:cs="Arial" w:eastAsia="Arial" w:hAnsi="Arial"/>
          <w:sz w:val="15"/>
          <w:szCs w:val="15"/>
          <w:color w:val="auto"/>
        </w:rPr>
        <w:t>(b)</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Capital expenditures were $262 million.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The Company returned $306 million to shareholders, consisting of $149 million in dividends and $157 million in common stock repurchases.</w:t>
      </w:r>
    </w:p>
    <w:p>
      <w:pPr>
        <w:spacing w:after="0" w:line="142" w:lineRule="exact"/>
        <w:rPr>
          <w:rFonts w:ascii="Arial" w:cs="Arial" w:eastAsia="Arial" w:hAnsi="Arial"/>
          <w:sz w:val="17"/>
          <w:szCs w:val="17"/>
          <w:b w:val="1"/>
          <w:bCs w:val="1"/>
          <w:color w:val="auto"/>
        </w:rPr>
      </w:pPr>
    </w:p>
    <w:p>
      <w:pPr>
        <w:ind w:left="660" w:right="3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effective tax rate in the quarter was approximately 37.3%. Adjusted for the tax expense associated with the items excluded in calculating the Company’s as-adjusted earnings, the Company’s tax rate for the third quarter was 36.3%.</w:t>
      </w:r>
      <w:r>
        <w:rPr>
          <w:rFonts w:ascii="Arial" w:cs="Arial" w:eastAsia="Arial" w:hAnsi="Arial"/>
          <w:sz w:val="15"/>
          <w:szCs w:val="15"/>
          <w:color w:val="auto"/>
        </w:rPr>
        <w:t>(b)</w:t>
      </w:r>
    </w:p>
    <w:p>
      <w:pPr>
        <w:spacing w:after="0" w:line="6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Steiner concluded, “In the third quarter, in addition to our common stock repurchases and dividends paid, we completed $122 million of tuck-in and other acquisitions. Our cash flow remains strong, as we generated $424 million of free cash flow in the third quarter of 2010 and $952 million year-to-date. We continue to expect full-year 2010 free cash flow in the range of $1.2 billion to $1.3 billion.</w:t>
      </w:r>
      <w:r>
        <w:rPr>
          <w:rFonts w:ascii="Arial" w:cs="Arial" w:eastAsia="Arial" w:hAnsi="Arial"/>
          <w:sz w:val="15"/>
          <w:szCs w:val="15"/>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300"/>
        <w:spacing w:after="0" w:line="259" w:lineRule="auto"/>
        <w:rPr>
          <w:sz w:val="20"/>
          <w:szCs w:val="20"/>
          <w:color w:val="auto"/>
        </w:rPr>
      </w:pPr>
      <w:r>
        <w:rPr>
          <w:rFonts w:ascii="Arial" w:cs="Arial" w:eastAsia="Arial" w:hAnsi="Arial"/>
          <w:sz w:val="18"/>
          <w:szCs w:val="18"/>
          <w:color w:val="auto"/>
        </w:rPr>
        <w:t>“We remain committed to our pricing discipline, and we expect that recycling commodity prices will remain strong. We believe collection and disposal volumes will continue to improve, and will be slightly positive in the fourth quarter. We are also redoubling our cost control efforts, and expect to see improvement in our cost structure in the fourth quarter. Given these factors, we expect our fully diluted adjusted earnings per share in the fourth quarter of 2010 to be between $0.54 and $0.56.”</w:t>
      </w:r>
      <w:r>
        <w:rPr>
          <w:rFonts w:ascii="Arial" w:cs="Arial" w:eastAsia="Arial" w:hAnsi="Arial"/>
          <w:sz w:val="15"/>
          <w:szCs w:val="15"/>
          <w:color w:val="auto"/>
        </w:rPr>
        <w:t>(c)</w:t>
      </w:r>
    </w:p>
    <w:p>
      <w:pPr>
        <w:spacing w:after="0" w:line="79" w:lineRule="exact"/>
        <w:rPr>
          <w:sz w:val="20"/>
          <w:szCs w:val="20"/>
          <w:color w:val="auto"/>
        </w:rPr>
      </w:pPr>
    </w:p>
    <w:p>
      <w:pPr>
        <w:ind w:left="340" w:right="9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refers to the financial statement line item “Net income attributable to Waste Management, Inc.”</w:t>
      </w:r>
    </w:p>
    <w:p>
      <w:pPr>
        <w:spacing w:after="0" w:line="75" w:lineRule="exact"/>
        <w:rPr>
          <w:rFonts w:ascii="Arial" w:cs="Arial" w:eastAsia="Arial" w:hAnsi="Arial"/>
          <w:sz w:val="18"/>
          <w:szCs w:val="18"/>
          <w:color w:val="auto"/>
        </w:rPr>
      </w:pPr>
    </w:p>
    <w:p>
      <w:pPr>
        <w:ind w:left="340" w:right="40" w:hanging="332"/>
        <w:spacing w:after="0" w:line="29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340" w:right="100"/>
        <w:spacing w:after="0" w:line="254" w:lineRule="auto"/>
        <w:rPr>
          <w:rFonts w:ascii="Arial" w:cs="Arial" w:eastAsia="Arial" w:hAnsi="Arial"/>
          <w:sz w:val="16"/>
          <w:szCs w:val="16"/>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are not representative or indicative of our results of operations and (ii) financial measures the Company uses in the management of its business. Accordingly, our net income, earnings per diluted share, operating expenses, and effective tax rates have been presented in certain instances excluding special items noted in this press release.</w:t>
      </w:r>
    </w:p>
    <w:p>
      <w:pPr>
        <w:spacing w:after="0" w:line="95" w:lineRule="exact"/>
        <w:rPr>
          <w:sz w:val="20"/>
          <w:szCs w:val="20"/>
          <w:color w:val="auto"/>
        </w:rPr>
      </w:pPr>
    </w:p>
    <w:p>
      <w:pPr>
        <w:ind w:left="340" w:right="240"/>
        <w:spacing w:after="0" w:line="273" w:lineRule="auto"/>
        <w:rPr>
          <w:sz w:val="20"/>
          <w:szCs w:val="20"/>
          <w:color w:val="auto"/>
        </w:rPr>
      </w:pPr>
      <w:r>
        <w:rPr>
          <w:rFonts w:ascii="Arial" w:cs="Arial" w:eastAsia="Arial" w:hAnsi="Arial"/>
          <w:sz w:val="17"/>
          <w:szCs w:val="17"/>
          <w:color w:val="auto"/>
        </w:rPr>
        <w:t>The Company also discusses free cash flow and provides a projection of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defines free cash flow as:</w:t>
      </w:r>
    </w:p>
    <w:p>
      <w:pPr>
        <w:spacing w:after="0" w:line="117" w:lineRule="exact"/>
        <w:rPr>
          <w:sz w:val="20"/>
          <w:szCs w:val="20"/>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320" w:right="160"/>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w:t>
      </w:r>
    </w:p>
    <w:p>
      <w:pPr>
        <w:spacing w:after="0" w:line="76" w:lineRule="exact"/>
        <w:rPr>
          <w:sz w:val="20"/>
          <w:szCs w:val="20"/>
          <w:color w:val="auto"/>
        </w:rPr>
      </w:pPr>
    </w:p>
    <w:p>
      <w:pPr>
        <w:ind w:left="320"/>
        <w:spacing w:after="0" w:line="259" w:lineRule="auto"/>
        <w:rPr>
          <w:sz w:val="20"/>
          <w:szCs w:val="20"/>
          <w:color w:val="auto"/>
        </w:rPr>
      </w:pPr>
      <w:r>
        <w:rPr>
          <w:rFonts w:ascii="Arial" w:cs="Arial" w:eastAsia="Arial" w:hAnsi="Arial"/>
          <w:sz w:val="18"/>
          <w:szCs w:val="18"/>
          <w:color w:val="auto"/>
        </w:rPr>
        <w:t>The quantitative reconciliations of each of the non-GAAP measures presented herein, other than projected earnings per diluted share, to the most comparable GAAP measures are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pacing w:after="0" w:line="92" w:lineRule="exact"/>
        <w:rPr>
          <w:sz w:val="20"/>
          <w:szCs w:val="20"/>
          <w:color w:val="auto"/>
        </w:rPr>
      </w:pPr>
    </w:p>
    <w:p>
      <w:pPr>
        <w:ind w:left="320" w:right="60" w:hanging="312"/>
        <w:spacing w:after="0" w:line="255"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projected fourth quarter earnings of $0.54 to $0.56 per diluted share are not anticipated to be GAAP net earnings per diluted share, and are likely to be adjusted to exclude the effects of events or circumstances that management believes are not representative or indicative of our results of operations. Such future excluded items are not currently determinable, but may be significant, such as asset impairment and charges, gains or losses from divestitures, resolution of income tax items or other items. Due to the uncertainty of the likelihood, amount and timing of any such items, we do not have information available to provide a quantitative reconciliation of adjusted projected fourth quarter earnings per diluted share to our current GAAP net earnings per diluted share.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scheduled an investor and analyst conference call for later this morning to discuss today’s earnings announcement. The information in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press release should be read in conjunction with the information on the conference call. A live audio webcast of the conference call can be accessed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a.m. Eastern Time, October 28, 2010 by logging onto www.wm.com and selecting “Events and Presentations” in the Investor Relations section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website. You may also listen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18"/>
          <w:szCs w:val="18"/>
          <w:color w:val="auto"/>
        </w:rPr>
        <w:t xml:space="preserve">analyst conference call by telephone by contacting the conference call operator 5 to 10 minutes prior to the scheduled start time and asking for the “Waste Management Conference Call – Call ID 15149014.” US/Canada Dial-In Number: (877) 710-6139. Int’l/Local Dial-In Number: (706) 643-7398. A replay will be available beginning at approximately 1:00 p.m. Eastern time on October 28th through 5:00 p.m. Eastern time on November 11th. To hear a replay of the call over the Internet, access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or (706) 645-9291 and enter conference code 15149014.</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subsidiaries, the Company provides collection, transfer, recycling and resource recovery, and disposal services. It is also a leading developer, operator and owner of waste-to-energy and landfill gas-to-energy facilities. The Company’s customers include residential, commercial, industrial, and municipal customers throughout North America.</w:t>
      </w:r>
    </w:p>
    <w:p>
      <w:pPr>
        <w:spacing w:after="0" w:line="7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and include statements regarding financial results, business goals, capital allocation and investments, strategic initiatives and their future performance, future volume and pricing and related trends, future recycling commodity prices, cost reduction, 2010 fourth quarter earnings per diluted share, 2010 free cash flow and market and industry conditions. 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cause actual results to be materially different from those set forth in such forward-looking statement. We assume no obligation to update any forward-looking statement, including financial estimates, whether as a result of future events, circumstances or developments or otherwise.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are some of the risks that we face:</w:t>
      </w:r>
    </w:p>
    <w:p>
      <w:pPr>
        <w:spacing w:after="0" w:line="117" w:lineRule="exact"/>
        <w:rPr>
          <w:sz w:val="20"/>
          <w:szCs w:val="20"/>
          <w:color w:val="auto"/>
        </w:rPr>
      </w:pPr>
    </w:p>
    <w:p>
      <w:pPr>
        <w:ind w:left="660" w:right="34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volatility and deterioration in the credit markets, inflation and other general and local economic conditions may negatively affect the volumes of waste generated;</w:t>
      </w:r>
    </w:p>
    <w:p>
      <w:pPr>
        <w:spacing w:after="0" w:line="75" w:lineRule="exact"/>
        <w:rPr>
          <w:rFonts w:ascii="Arial" w:cs="Arial" w:eastAsia="Arial" w:hAnsi="Arial"/>
          <w:sz w:val="18"/>
          <w:szCs w:val="18"/>
          <w:b w:val="1"/>
          <w:bCs w:val="1"/>
          <w:color w:val="auto"/>
        </w:rPr>
      </w:pPr>
    </w:p>
    <w:p>
      <w:pPr>
        <w:ind w:left="660" w:right="20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86" w:lineRule="exact"/>
        <w:rPr>
          <w:rFonts w:ascii="Arial" w:cs="Arial" w:eastAsia="Arial" w:hAnsi="Arial"/>
          <w:sz w:val="18"/>
          <w:szCs w:val="18"/>
          <w:b w:val="1"/>
          <w:bCs w:val="1"/>
          <w:color w:val="auto"/>
        </w:rPr>
      </w:pPr>
    </w:p>
    <w:p>
      <w:pPr>
        <w:ind w:left="660" w:right="40" w:hanging="436"/>
        <w:spacing w:after="0" w:line="342"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29" w:lineRule="exact"/>
        <w:rPr>
          <w:rFonts w:ascii="Arial" w:cs="Arial" w:eastAsia="Arial" w:hAnsi="Arial"/>
          <w:sz w:val="16"/>
          <w:szCs w:val="16"/>
          <w:b w:val="1"/>
          <w:bCs w:val="1"/>
          <w:color w:val="auto"/>
        </w:rPr>
      </w:pPr>
    </w:p>
    <w:p>
      <w:pPr>
        <w:ind w:left="660" w:right="10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 or raise prices;</w:t>
      </w:r>
    </w:p>
    <w:p>
      <w:pPr>
        <w:spacing w:after="0" w:line="130" w:lineRule="exact"/>
        <w:rPr>
          <w:rFonts w:ascii="Arial" w:cs="Arial" w:eastAsia="Arial" w:hAnsi="Arial"/>
          <w:sz w:val="18"/>
          <w:szCs w:val="18"/>
          <w:b w:val="1"/>
          <w:bCs w:val="1"/>
          <w:color w:val="auto"/>
        </w:rPr>
      </w:pPr>
    </w:p>
    <w:p>
      <w:pPr>
        <w:ind w:left="660" w:right="6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86"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660" w:right="26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left="660" w:right="2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 could negatively impact our liquidity and increase our liabilities;</w:t>
      </w:r>
    </w:p>
    <w:p>
      <w:pPr>
        <w:spacing w:after="0" w:line="75" w:lineRule="exact"/>
        <w:rPr>
          <w:rFonts w:ascii="Arial" w:cs="Arial" w:eastAsia="Arial" w:hAnsi="Arial"/>
          <w:sz w:val="18"/>
          <w:szCs w:val="18"/>
          <w:b w:val="1"/>
          <w:bCs w:val="1"/>
          <w:color w:val="auto"/>
        </w:rPr>
      </w:pPr>
    </w:p>
    <w:p>
      <w:pPr>
        <w:ind w:left="660" w:right="6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fluctuations in commodity prices may have negative effects on our operating results;</w:t>
      </w:r>
    </w:p>
    <w:p>
      <w:pPr>
        <w:spacing w:after="0" w:line="130"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trends requiring recycling, waste reduction at the source and prohibiting the disposal of certain types of waste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660" w:right="180" w:hanging="436"/>
        <w:spacing w:after="0" w:line="264"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suspend capital expenditures, acquisition activity, dividend declarations or share repurchases if we suffer a significant reduction in cash flows; and</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incur future indebtedness on terms we deem acceptable or to refinance our debt obligations, including near-term maturities, on acceptable terms and higher interest rates and market conditions may increase our expenses.</w:t>
      </w:r>
    </w:p>
    <w:p>
      <w:pPr>
        <w:spacing w:after="0" w:line="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2009.</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3,235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477.3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0.315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vMerge w:val="restart"/>
          </w:tcPr>
          <w:p>
            <w:pPr>
              <w:jc w:val="right"/>
              <w:ind w:right="337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40" w:type="dxa"/>
            <w:vAlign w:val="bottom"/>
            <w:gridSpan w:val="7"/>
          </w:tcPr>
          <w:p>
            <w:pPr>
              <w:ind w:left="60"/>
              <w:spacing w:after="0"/>
              <w:rPr>
                <w:sz w:val="20"/>
                <w:szCs w:val="20"/>
                <w:color w:val="auto"/>
              </w:rPr>
            </w:pPr>
            <w:r>
              <w:rPr>
                <w:rFonts w:ascii="Arial" w:cs="Arial" w:eastAsia="Arial" w:hAnsi="Arial"/>
                <w:sz w:val="14"/>
                <w:szCs w:val="14"/>
                <w:b w:val="1"/>
                <w:bCs w:val="1"/>
                <w:color w:val="auto"/>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477.3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0.51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00" w:type="dxa"/>
            <w:vAlign w:val="bottom"/>
            <w:gridSpan w:val="2"/>
            <w:shd w:val="clear" w:color="auto" w:fill="CCEEFF"/>
          </w:tcPr>
          <w:p>
            <w:pPr>
              <w:ind w:left="3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9,328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5,883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1,065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469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800" w:type="dxa"/>
            <w:vAlign w:val="bottom"/>
            <w:gridSpan w:val="2"/>
          </w:tcPr>
          <w:p>
            <w:pPr>
              <w:ind w:left="3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1.40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481.7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484.9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800" w:type="dxa"/>
            <w:vAlign w:val="bottom"/>
            <w:gridSpan w:val="2"/>
          </w:tcPr>
          <w:p>
            <w:pPr>
              <w:ind w:left="3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0.945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40" w:type="dxa"/>
            <w:vAlign w:val="bottom"/>
            <w:vMerge w:val="restart"/>
          </w:tcPr>
          <w:p>
            <w:pPr>
              <w:jc w:val="right"/>
              <w:ind w:right="3290"/>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672</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484.9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jc w:val="right"/>
              <w:ind w:right="3290"/>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Current assets:</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1,691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5,703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4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21,339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21,154</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040" w:type="dxa"/>
            <w:vAlign w:val="bottom"/>
            <w:gridSpan w:val="2"/>
          </w:tcPr>
          <w:p>
            <w:pPr>
              <w:ind w:left="38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2,150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8,798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14,563</w:t>
            </w:r>
          </w:p>
        </w:tc>
        <w:tc>
          <w:tcPr>
            <w:tcW w:w="0" w:type="dxa"/>
            <w:vAlign w:val="bottom"/>
          </w:tcPr>
          <w:p>
            <w:pPr>
              <w:spacing w:after="0"/>
              <w:rPr>
                <w:sz w:val="1"/>
                <w:szCs w:val="1"/>
                <w:color w:val="auto"/>
              </w:rPr>
            </w:pPr>
          </w:p>
        </w:tc>
      </w:tr>
      <w:tr>
        <w:trPr>
          <w:trHeight w:val="439"/>
        </w:trPr>
        <w:tc>
          <w:tcPr>
            <w:tcW w:w="50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8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6,439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21,339</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40" w:type="dxa"/>
            <w:vAlign w:val="bottom"/>
            <w:vMerge w:val="restart"/>
          </w:tcPr>
          <w:p>
            <w:pPr>
              <w:jc w:val="right"/>
              <w:ind w:right="301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708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917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(737)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(1,175)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775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(443)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(1,069)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16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(590)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560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5"/>
              </w:rPr>
              <w:t>Quarters Ended</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8"/>
          </w:tcPr>
          <w:p>
            <w:pPr>
              <w:jc w:val="right"/>
              <w:ind w:right="3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gridSpan w:val="5"/>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June 30,</w:t>
            </w:r>
          </w:p>
        </w:tc>
        <w:tc>
          <w:tcPr>
            <w:tcW w:w="60" w:type="dxa"/>
            <w:vAlign w:val="bottom"/>
          </w:tcPr>
          <w:p>
            <w:pPr>
              <w:spacing w:after="0"/>
              <w:rPr>
                <w:sz w:val="10"/>
                <w:szCs w:val="10"/>
                <w:color w:val="auto"/>
              </w:rPr>
            </w:pPr>
          </w:p>
        </w:tc>
        <w:tc>
          <w:tcPr>
            <w:tcW w:w="8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89"/>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3"/>
          </w:tcPr>
          <w:p>
            <w:pPr>
              <w:jc w:val="center"/>
              <w:ind w:right="111"/>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5"/>
          </w:tcPr>
          <w:p>
            <w:pPr>
              <w:jc w:val="center"/>
              <w:ind w:left="234"/>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5"/>
          </w:tcPr>
          <w:p>
            <w:pPr>
              <w:jc w:val="right"/>
              <w:ind w:right="151"/>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Collection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center"/>
              <w:ind w:right="31"/>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2,119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2,082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664</w:t>
            </w:r>
          </w:p>
        </w:tc>
        <w:tc>
          <w:tcPr>
            <w:tcW w:w="4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Transfer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64"/>
              <w:spacing w:after="0"/>
              <w:rPr>
                <w:sz w:val="20"/>
                <w:szCs w:val="20"/>
                <w:color w:val="auto"/>
              </w:rPr>
            </w:pPr>
            <w:r>
              <w:rPr>
                <w:rFonts w:ascii="Arial" w:cs="Arial" w:eastAsia="Arial" w:hAnsi="Arial"/>
                <w:sz w:val="18"/>
                <w:szCs w:val="18"/>
                <w:color w:val="auto"/>
              </w:rPr>
              <w:t>351</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217</w:t>
            </w:r>
          </w:p>
        </w:tc>
        <w:tc>
          <w:tcPr>
            <w:tcW w:w="4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64"/>
              <w:spacing w:after="0"/>
              <w:rPr>
                <w:sz w:val="20"/>
                <w:szCs w:val="20"/>
                <w:color w:val="auto"/>
              </w:rPr>
            </w:pPr>
            <w:r>
              <w:rPr>
                <w:rFonts w:ascii="Arial" w:cs="Arial" w:eastAsia="Arial" w:hAnsi="Arial"/>
                <w:sz w:val="18"/>
                <w:szCs w:val="18"/>
                <w:color w:val="auto"/>
              </w:rPr>
              <w:t>281</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left w:val="single" w:sz="8" w:color="CCEEFF"/>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4"/>
              <w:spacing w:after="0"/>
              <w:rPr>
                <w:sz w:val="20"/>
                <w:szCs w:val="20"/>
                <w:color w:val="auto"/>
              </w:rPr>
            </w:pPr>
            <w:r>
              <w:rPr>
                <w:rFonts w:ascii="Arial" w:cs="Arial" w:eastAsia="Arial" w:hAnsi="Arial"/>
                <w:sz w:val="18"/>
                <w:szCs w:val="18"/>
                <w:color w:val="auto"/>
                <w:w w:val="99"/>
              </w:rPr>
              <w:t>(513)</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31"/>
              <w:spacing w:after="0"/>
              <w:rPr>
                <w:sz w:val="20"/>
                <w:szCs w:val="20"/>
                <w:color w:val="auto"/>
              </w:rPr>
            </w:pPr>
            <w:r>
              <w:rPr>
                <w:rFonts w:ascii="Arial" w:cs="Arial" w:eastAsia="Arial" w:hAnsi="Arial"/>
                <w:sz w:val="18"/>
                <w:szCs w:val="18"/>
                <w:color w:val="auto"/>
                <w:w w:val="79"/>
              </w:rPr>
              <w:t>$</w:t>
            </w: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3,235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3,158</w:t>
            </w:r>
          </w:p>
        </w:tc>
        <w:tc>
          <w:tcPr>
            <w:tcW w:w="180" w:type="dxa"/>
            <w:vAlign w:val="bottom"/>
            <w:tcBorders>
              <w:left w:val="single" w:sz="8" w:color="CCEEFF"/>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9"/>
          </w:tcPr>
          <w:p>
            <w:pPr>
              <w:jc w:val="right"/>
              <w:ind w:right="125"/>
              <w:spacing w:after="0"/>
              <w:rPr>
                <w:sz w:val="20"/>
                <w:szCs w:val="20"/>
                <w:color w:val="auto"/>
              </w:rPr>
            </w:pPr>
            <w:r>
              <w:rPr>
                <w:rFonts w:ascii="Arial" w:cs="Arial" w:eastAsia="Arial" w:hAnsi="Arial"/>
                <w:sz w:val="14"/>
                <w:szCs w:val="14"/>
                <w:b w:val="1"/>
                <w:bCs w:val="1"/>
                <w:color w:val="auto"/>
              </w:rPr>
              <w:t>Quarters Ended</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9"/>
          </w:tcPr>
          <w:p>
            <w:pPr>
              <w:ind w:left="100"/>
              <w:spacing w:after="0" w:line="142" w:lineRule="exact"/>
              <w:rPr>
                <w:sz w:val="20"/>
                <w:szCs w:val="20"/>
                <w:color w:val="auto"/>
              </w:rPr>
            </w:pPr>
            <w:r>
              <w:rPr>
                <w:rFonts w:ascii="Arial" w:cs="Arial" w:eastAsia="Arial" w:hAnsi="Arial"/>
                <w:sz w:val="14"/>
                <w:szCs w:val="14"/>
                <w:b w:val="1"/>
                <w:bCs w:val="1"/>
                <w:color w:val="auto"/>
              </w:rPr>
              <w:t>September 30, 2010</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7"/>
          </w:tcPr>
          <w:p>
            <w:pPr>
              <w:ind w:left="160"/>
              <w:spacing w:after="0" w:line="142" w:lineRule="exact"/>
              <w:rPr>
                <w:sz w:val="20"/>
                <w:szCs w:val="20"/>
                <w:color w:val="auto"/>
              </w:rPr>
            </w:pPr>
            <w:r>
              <w:rPr>
                <w:rFonts w:ascii="Arial" w:cs="Arial" w:eastAsia="Arial" w:hAnsi="Arial"/>
                <w:sz w:val="14"/>
                <w:szCs w:val="14"/>
                <w:b w:val="1"/>
                <w:bCs w:val="1"/>
                <w:color w:val="auto"/>
                <w:w w:val="94"/>
              </w:rPr>
              <w:t>September 30, 2009</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4"/>
          </w:tcPr>
          <w:p>
            <w:pPr>
              <w:jc w:val="center"/>
              <w:ind w:right="11"/>
              <w:spacing w:after="0" w:line="123" w:lineRule="exact"/>
              <w:rPr>
                <w:sz w:val="20"/>
                <w:szCs w:val="20"/>
                <w:color w:val="auto"/>
              </w:rPr>
            </w:pPr>
            <w:r>
              <w:rPr>
                <w:rFonts w:ascii="Arial" w:cs="Arial" w:eastAsia="Arial" w:hAnsi="Arial"/>
                <w:sz w:val="14"/>
                <w:szCs w:val="14"/>
                <w:color w:val="auto"/>
                <w:w w:val="96"/>
              </w:rPr>
              <w:t>As a % of</w:t>
            </w:r>
          </w:p>
        </w:tc>
        <w:tc>
          <w:tcPr>
            <w:tcW w:w="1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4"/>
          </w:tcPr>
          <w:p>
            <w:pPr>
              <w:jc w:val="right"/>
              <w:ind w:right="71"/>
              <w:spacing w:after="0" w:line="123" w:lineRule="exact"/>
              <w:rPr>
                <w:sz w:val="20"/>
                <w:szCs w:val="20"/>
                <w:color w:val="auto"/>
              </w:rPr>
            </w:pPr>
            <w:r>
              <w:rPr>
                <w:rFonts w:ascii="Arial" w:cs="Arial" w:eastAsia="Arial" w:hAnsi="Arial"/>
                <w:sz w:val="14"/>
                <w:szCs w:val="14"/>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4"/>
                <w:szCs w:val="14"/>
                <w:color w:val="auto"/>
                <w:w w:val="95"/>
              </w:rPr>
              <w:t>Amount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9"/>
          </w:tcPr>
          <w:p>
            <w:pPr>
              <w:jc w:val="center"/>
              <w:ind w:right="440"/>
              <w:spacing w:after="0"/>
              <w:rPr>
                <w:sz w:val="20"/>
                <w:szCs w:val="20"/>
                <w:color w:val="auto"/>
              </w:rPr>
            </w:pPr>
            <w:r>
              <w:rPr>
                <w:rFonts w:ascii="Arial" w:cs="Arial" w:eastAsia="Arial" w:hAnsi="Arial"/>
                <w:sz w:val="14"/>
                <w:szCs w:val="14"/>
                <w:color w:val="auto"/>
                <w:w w:val="92"/>
              </w:rPr>
              <w:t>Total Company</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5"/>
          </w:tcPr>
          <w:p>
            <w:pPr>
              <w:jc w:val="right"/>
              <w:ind w:right="660"/>
              <w:spacing w:after="0"/>
              <w:rPr>
                <w:sz w:val="20"/>
                <w:szCs w:val="20"/>
                <w:color w:val="auto"/>
              </w:rPr>
            </w:pPr>
            <w:r>
              <w:rPr>
                <w:rFonts w:ascii="Arial" w:cs="Arial" w:eastAsia="Arial" w:hAnsi="Arial"/>
                <w:sz w:val="14"/>
                <w:szCs w:val="14"/>
                <w:color w:val="auto"/>
              </w:rPr>
              <w:t>Amount</w:t>
            </w:r>
          </w:p>
        </w:tc>
        <w:tc>
          <w:tcPr>
            <w:tcW w:w="1060" w:type="dxa"/>
            <w:vAlign w:val="bottom"/>
            <w:gridSpan w:val="6"/>
          </w:tcPr>
          <w:p>
            <w:pPr>
              <w:jc w:val="right"/>
              <w:ind w:right="160"/>
              <w:spacing w:after="0"/>
              <w:rPr>
                <w:sz w:val="20"/>
                <w:szCs w:val="20"/>
                <w:color w:val="auto"/>
              </w:rPr>
            </w:pPr>
            <w:r>
              <w:rPr>
                <w:rFonts w:ascii="Arial" w:cs="Arial" w:eastAsia="Arial" w:hAnsi="Arial"/>
                <w:sz w:val="14"/>
                <w:szCs w:val="14"/>
                <w:color w:val="auto"/>
                <w:w w:val="92"/>
              </w:rPr>
              <w:t>Total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Analysis of Change in Year Over Year Revenues</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44"/>
              <w:spacing w:after="0"/>
              <w:rPr>
                <w:sz w:val="20"/>
                <w:szCs w:val="20"/>
                <w:color w:val="auto"/>
              </w:rPr>
            </w:pPr>
            <w:r>
              <w:rPr>
                <w:rFonts w:ascii="Arial" w:cs="Arial" w:eastAsia="Arial" w:hAnsi="Arial"/>
                <w:sz w:val="18"/>
                <w:szCs w:val="18"/>
                <w:color w:val="auto"/>
                <w:w w:val="90"/>
              </w:rPr>
              <w:t>(192)</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Volume</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w w:val="90"/>
              </w:rPr>
              <w:t>(314)</w:t>
            </w:r>
          </w:p>
        </w:tc>
        <w:tc>
          <w:tcPr>
            <w:tcW w:w="4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200"/>
              <w:spacing w:after="0"/>
              <w:rPr>
                <w:sz w:val="20"/>
                <w:szCs w:val="20"/>
                <w:color w:val="auto"/>
              </w:rPr>
            </w:pPr>
            <w:r>
              <w:rPr>
                <w:rFonts w:ascii="Arial" w:cs="Arial" w:eastAsia="Arial" w:hAnsi="Arial"/>
                <w:sz w:val="18"/>
                <w:szCs w:val="18"/>
                <w:color w:val="auto"/>
              </w:rPr>
              <w:t>Internal revenue growth</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(506)</w:t>
            </w:r>
          </w:p>
        </w:tc>
        <w:tc>
          <w:tcPr>
            <w:tcW w:w="18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left w:val="single" w:sz="8" w:color="CCEEFF"/>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Divestitures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44"/>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(10)</w:t>
            </w:r>
          </w:p>
        </w:tc>
        <w:tc>
          <w:tcPr>
            <w:tcW w:w="4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4"/>
              <w:spacing w:after="0"/>
              <w:rPr>
                <w:sz w:val="20"/>
                <w:szCs w:val="20"/>
                <w:color w:val="auto"/>
              </w:rPr>
            </w:pPr>
            <w:r>
              <w:rPr>
                <w:rFonts w:ascii="Arial" w:cs="Arial" w:eastAsia="Arial" w:hAnsi="Arial"/>
                <w:sz w:val="16"/>
                <w:szCs w:val="16"/>
                <w:color w:val="auto"/>
                <w:w w:val="74"/>
              </w:rPr>
              <w:t>)</w:t>
            </w:r>
          </w:p>
        </w:tc>
        <w:tc>
          <w:tcPr>
            <w:tcW w:w="4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212</w:t>
            </w:r>
          </w:p>
        </w:tc>
        <w:tc>
          <w:tcPr>
            <w:tcW w:w="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gridSpan w:val="2"/>
          </w:tcPr>
          <w:p>
            <w:pPr>
              <w:jc w:val="right"/>
              <w:ind w:right="31"/>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8"/>
              </w:rPr>
              <w:t>(502</w:t>
            </w:r>
          </w:p>
        </w:tc>
        <w:tc>
          <w:tcPr>
            <w:tcW w:w="18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7"/>
          </w:tcPr>
          <w:p>
            <w:pPr>
              <w:jc w:val="center"/>
              <w:ind w:right="280"/>
              <w:spacing w:after="0"/>
              <w:rPr>
                <w:sz w:val="20"/>
                <w:szCs w:val="20"/>
                <w:color w:val="auto"/>
              </w:rPr>
            </w:pPr>
            <w:r>
              <w:rPr>
                <w:rFonts w:ascii="Arial" w:cs="Arial" w:eastAsia="Arial" w:hAnsi="Arial"/>
                <w:sz w:val="14"/>
                <w:szCs w:val="14"/>
                <w:color w:val="auto"/>
                <w:w w:val="96"/>
              </w:rPr>
              <w:t>As a % of</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4"/>
          </w:tcPr>
          <w:p>
            <w:pPr>
              <w:ind w:left="60"/>
              <w:spacing w:after="0"/>
              <w:rPr>
                <w:sz w:val="20"/>
                <w:szCs w:val="20"/>
                <w:color w:val="auto"/>
              </w:rPr>
            </w:pPr>
            <w:r>
              <w:rPr>
                <w:rFonts w:ascii="Arial" w:cs="Arial" w:eastAsia="Arial" w:hAnsi="Arial"/>
                <w:sz w:val="14"/>
                <w:szCs w:val="14"/>
                <w:color w:val="auto"/>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6"/>
          </w:tcPr>
          <w:p>
            <w:pPr>
              <w:jc w:val="center"/>
              <w:ind w:right="420"/>
              <w:spacing w:after="0" w:line="149" w:lineRule="exact"/>
              <w:rPr>
                <w:sz w:val="20"/>
                <w:szCs w:val="20"/>
                <w:color w:val="auto"/>
              </w:rPr>
            </w:pPr>
            <w:r>
              <w:rPr>
                <w:rFonts w:ascii="Arial" w:cs="Arial" w:eastAsia="Arial" w:hAnsi="Arial"/>
                <w:sz w:val="14"/>
                <w:szCs w:val="14"/>
                <w:color w:val="auto"/>
                <w:w w:val="91"/>
              </w:rPr>
              <w:t>Related</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9"/>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5"/>
          </w:tcPr>
          <w:p>
            <w:pPr>
              <w:jc w:val="right"/>
              <w:ind w:right="38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7"/>
          </w:tcPr>
          <w:p>
            <w:pPr>
              <w:jc w:val="center"/>
              <w:ind w:right="300"/>
              <w:spacing w:after="0"/>
              <w:rPr>
                <w:sz w:val="20"/>
                <w:szCs w:val="20"/>
                <w:color w:val="auto"/>
              </w:rPr>
            </w:pPr>
            <w:r>
              <w:rPr>
                <w:rFonts w:ascii="Arial" w:cs="Arial" w:eastAsia="Arial" w:hAnsi="Arial"/>
                <w:sz w:val="14"/>
                <w:szCs w:val="14"/>
                <w:color w:val="auto"/>
                <w:w w:val="91"/>
              </w:rPr>
              <w:t>Business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color w:val="auto"/>
                <w:w w:val="82"/>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w w:val="91"/>
              </w:rPr>
              <w:t>Business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Collection, landfill and transfer</w:t>
            </w:r>
          </w:p>
        </w:tc>
        <w:tc>
          <w:tcPr>
            <w:tcW w:w="100" w:type="dxa"/>
            <w:vAlign w:val="bottom"/>
          </w:tcPr>
          <w:p>
            <w:pPr>
              <w:spacing w:after="0"/>
              <w:rPr>
                <w:sz w:val="18"/>
                <w:szCs w:val="18"/>
                <w:color w:val="auto"/>
              </w:rPr>
            </w:pPr>
          </w:p>
        </w:tc>
        <w:tc>
          <w:tcPr>
            <w:tcW w:w="580" w:type="dxa"/>
            <w:vAlign w:val="bottom"/>
            <w:gridSpan w:val="3"/>
          </w:tcPr>
          <w:p>
            <w:pPr>
              <w:jc w:val="right"/>
              <w:ind w:right="16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rPr>
              <w:t>2.1%</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Waste-to-energy disposal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Collection and disposal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Recycling commodities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38.8%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Electricity</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Fuel surcharges and mandated fees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6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153</w:t>
            </w:r>
          </w:p>
        </w:tc>
        <w:tc>
          <w:tcPr>
            <w:tcW w:w="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rPr>
              <w:t>5.0%</w:t>
            </w:r>
          </w:p>
        </w:tc>
        <w:tc>
          <w:tcPr>
            <w:tcW w:w="440" w:type="dxa"/>
            <w:vAlign w:val="bottom"/>
            <w:gridSpan w:val="3"/>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(192</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12"/>
          </w:tcPr>
          <w:p>
            <w:pPr>
              <w:jc w:val="center"/>
              <w:ind w:right="540"/>
              <w:spacing w:after="0"/>
              <w:rPr>
                <w:sz w:val="20"/>
                <w:szCs w:val="20"/>
                <w:color w:val="auto"/>
              </w:rPr>
            </w:pPr>
            <w:r>
              <w:rPr>
                <w:rFonts w:ascii="Arial" w:cs="Arial" w:eastAsia="Arial" w:hAnsi="Arial"/>
                <w:sz w:val="14"/>
                <w:szCs w:val="14"/>
                <w:b w:val="1"/>
                <w:bCs w:val="1"/>
                <w:color w:val="auto"/>
                <w:w w:val="93"/>
              </w:rPr>
              <w:t>Quarters Ended</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7"/>
          </w:tcPr>
          <w:p>
            <w:pPr>
              <w:jc w:val="center"/>
              <w:ind w:left="173"/>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jc w:val="center"/>
              <w:ind w:left="4"/>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620" w:type="dxa"/>
            <w:vAlign w:val="bottom"/>
            <w:tcBorders>
              <w:bottom w:val="single" w:sz="8" w:color="auto"/>
            </w:tcBorders>
            <w:gridSpan w:val="3"/>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64"/>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(b)</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4"/>
                <w:szCs w:val="24"/>
                <w:color w:val="auto"/>
              </w:rPr>
            </w:pPr>
          </w:p>
        </w:tc>
        <w:tc>
          <w:tcPr>
            <w:tcW w:w="580" w:type="dxa"/>
            <w:vAlign w:val="bottom"/>
            <w:gridSpan w:val="3"/>
          </w:tcPr>
          <w:p>
            <w:pPr>
              <w:jc w:val="right"/>
              <w:ind w:right="10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gridSpan w:val="2"/>
          </w:tcPr>
          <w:p>
            <w:pPr>
              <w:jc w:val="center"/>
              <w:ind w:left="39"/>
              <w:spacing w:after="0"/>
              <w:rPr>
                <w:sz w:val="20"/>
                <w:szCs w:val="20"/>
                <w:color w:val="auto"/>
              </w:rPr>
            </w:pPr>
            <w:r>
              <w:rPr>
                <w:rFonts w:ascii="Arial" w:cs="Arial" w:eastAsia="Arial" w:hAnsi="Arial"/>
                <w:sz w:val="18"/>
                <w:szCs w:val="18"/>
                <w:color w:val="auto"/>
                <w:w w:val="79"/>
              </w:rPr>
              <w:t>$</w:t>
            </w:r>
          </w:p>
        </w:tc>
        <w:tc>
          <w:tcPr>
            <w:tcW w:w="780" w:type="dxa"/>
            <w:vAlign w:val="bottom"/>
            <w:gridSpan w:val="5"/>
          </w:tcPr>
          <w:p>
            <w:pPr>
              <w:jc w:val="right"/>
              <w:ind w:right="180"/>
              <w:spacing w:after="0"/>
              <w:rPr>
                <w:sz w:val="20"/>
                <w:szCs w:val="20"/>
                <w:color w:val="auto"/>
              </w:rPr>
            </w:pPr>
            <w:r>
              <w:rPr>
                <w:rFonts w:ascii="Arial" w:cs="Arial" w:eastAsia="Arial" w:hAnsi="Arial"/>
                <w:sz w:val="18"/>
                <w:szCs w:val="18"/>
                <w:color w:val="auto"/>
              </w:rPr>
              <w:t>575</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1,653</w:t>
            </w:r>
          </w:p>
        </w:tc>
        <w:tc>
          <w:tcPr>
            <w:tcW w:w="44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(262)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w w:val="93"/>
              </w:rPr>
              <w:t>Proceeds from divestitures of businesses (net of cash divested) and other sales of</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79"/>
              </w:rPr>
              <w:t>$</w:t>
            </w:r>
          </w:p>
        </w:tc>
        <w:tc>
          <w:tcPr>
            <w:tcW w:w="7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5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952</w:t>
            </w:r>
          </w:p>
        </w:tc>
        <w:tc>
          <w:tcPr>
            <w:tcW w:w="44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5"/>
              </w:rPr>
              <w:t>Quarters Ended</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2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138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6"/>
              </w:rPr>
              <w:t>June 30,</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2010</w:t>
            </w: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3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1,169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8,959</w:t>
            </w:r>
          </w:p>
        </w:tc>
        <w:tc>
          <w:tcPr>
            <w:tcW w:w="3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9,585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6,408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15,993</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7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200" w:type="dxa"/>
            <w:vAlign w:val="bottom"/>
          </w:tcPr>
          <w:p>
            <w:pPr>
              <w:spacing w:after="0"/>
              <w:rPr>
                <w:sz w:val="24"/>
                <w:szCs w:val="2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67.9%</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68.4%</w:t>
            </w:r>
          </w:p>
        </w:tc>
        <w:tc>
          <w:tcPr>
            <w:tcW w:w="2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2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Arial" w:cs="Arial" w:eastAsia="Arial" w:hAnsi="Arial"/>
                <w:sz w:val="18"/>
                <w:szCs w:val="18"/>
                <w:b w:val="1"/>
                <w:bCs w:val="1"/>
                <w:color w:val="auto"/>
              </w:rPr>
              <w:t>Groups: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Cost basis of landfill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89.5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88.5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retirement costs</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Total landfill amortization expense</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184" w:lineRule="exact"/>
        <w:rPr>
          <w:rFonts w:ascii="Arial" w:cs="Arial" w:eastAsia="Arial" w:hAnsi="Arial"/>
          <w:sz w:val="18"/>
          <w:szCs w:val="18"/>
          <w:color w:val="auto"/>
        </w:rPr>
      </w:pPr>
    </w:p>
    <w:p>
      <w:pPr>
        <w:ind w:left="5600"/>
        <w:spacing w:after="0"/>
        <w:rPr>
          <w:rFonts w:ascii="Arial" w:cs="Arial" w:eastAsia="Arial" w:hAnsi="Arial"/>
          <w:sz w:val="18"/>
          <w:szCs w:val="18"/>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Quarter Ended</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rPr>
              <w:t>Quarter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2010</w:t>
            </w:r>
          </w:p>
        </w:tc>
        <w:tc>
          <w:tcPr>
            <w:tcW w:w="3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 2009</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After-tax</w:t>
            </w: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680" w:type="dxa"/>
            <w:vAlign w:val="bottom"/>
          </w:tcPr>
          <w:p>
            <w:pPr>
              <w:spacing w:after="0"/>
              <w:rPr>
                <w:sz w:val="10"/>
                <w:szCs w:val="10"/>
                <w:color w:val="auto"/>
              </w:rPr>
            </w:pPr>
          </w:p>
        </w:tc>
        <w:tc>
          <w:tcPr>
            <w:tcW w:w="106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and Earnings Per Diluted Share</w:t>
            </w:r>
          </w:p>
        </w:tc>
        <w:tc>
          <w:tcPr>
            <w:tcW w:w="2500" w:type="dxa"/>
            <w:vAlign w:val="bottom"/>
            <w:gridSpan w:val="4"/>
          </w:tcPr>
          <w:p>
            <w:pPr>
              <w:ind w:left="1140"/>
              <w:spacing w:after="0"/>
              <w:rPr>
                <w:sz w:val="20"/>
                <w:szCs w:val="20"/>
                <w:color w:val="auto"/>
              </w:rPr>
            </w:pPr>
            <w:r>
              <w:rPr>
                <w:rFonts w:ascii="Arial" w:cs="Arial" w:eastAsia="Arial" w:hAnsi="Arial"/>
                <w:sz w:val="14"/>
                <w:szCs w:val="14"/>
                <w:b w:val="1"/>
                <w:bCs w:val="1"/>
                <w:color w:val="auto"/>
              </w:rPr>
              <w:t>Amount (a)</w:t>
            </w: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Amount (a)</w:t>
            </w:r>
          </w:p>
        </w:tc>
        <w:tc>
          <w:tcPr>
            <w:tcW w:w="32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1380" w:type="dxa"/>
            <w:vAlign w:val="bottom"/>
            <w:gridSpan w:val="2"/>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244</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6"/>
              </w:rPr>
              <w:t>0.51</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277</w:t>
            </w:r>
          </w:p>
        </w:tc>
        <w:tc>
          <w:tcPr>
            <w:tcW w:w="6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items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Closed site charges and changes in risk-free interest rate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6"/>
              </w:rPr>
              <w:t>0.04</w:t>
            </w: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3"/>
              </w:rPr>
              <w:t>(0.02)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1380" w:type="dxa"/>
            <w:vAlign w:val="bottom"/>
            <w:gridSpan w:val="2"/>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264</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6"/>
              </w:rPr>
              <w:t>0.55</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265</w:t>
            </w:r>
          </w:p>
        </w:tc>
        <w:tc>
          <w:tcPr>
            <w:tcW w:w="6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Further adjusted Earnings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Diluted EPS, as adjusted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adjustments to Diluted EPS: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Wheelabrator — maintenance and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strategic growth initiatives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EPS, as further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3"/>
          <w:szCs w:val="13"/>
          <w:b w:val="1"/>
          <w:bCs w:val="1"/>
          <w:color w:val="auto"/>
        </w:rPr>
        <w:t>Quarter Ended</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September 30,</w:t>
      </w:r>
    </w:p>
    <w:p>
      <w:pPr>
        <w:jc w:val="center"/>
        <w:ind w:right="100"/>
        <w:spacing w:after="0"/>
        <w:rPr>
          <w:sz w:val="20"/>
          <w:szCs w:val="20"/>
          <w:color w:val="auto"/>
        </w:rPr>
      </w:pP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91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jc w:val="center"/>
        <w:ind w:right="100"/>
        <w:spacing w:after="0" w:line="223" w:lineRule="auto"/>
        <w:rPr>
          <w:sz w:val="20"/>
          <w:szCs w:val="20"/>
          <w:color w:val="auto"/>
        </w:rPr>
      </w:pPr>
      <w:r>
        <w:rPr>
          <w:rFonts w:ascii="Arial" w:cs="Arial" w:eastAsia="Arial" w:hAnsi="Arial"/>
          <w:sz w:val="14"/>
          <w:szCs w:val="14"/>
          <w:b w:val="1"/>
          <w:bCs w:val="1"/>
          <w:color w:val="auto"/>
        </w:rPr>
        <w:t>Per Share</w:t>
      </w:r>
    </w:p>
    <w:p>
      <w:pPr>
        <w:jc w:val="center"/>
        <w:ind w:right="10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91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ind w:left="620" w:hanging="620"/>
        <w:spacing w:after="0"/>
        <w:tabs>
          <w:tab w:leader="none" w:pos="62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0.55</w:t>
      </w:r>
    </w:p>
    <w:p>
      <w:pPr>
        <w:spacing w:after="0" w:line="200" w:lineRule="exact"/>
        <w:rPr>
          <w:rFonts w:ascii="Arial" w:cs="Arial" w:eastAsia="Arial" w:hAnsi="Arial"/>
          <w:sz w:val="16"/>
          <w:szCs w:val="16"/>
          <w:b w:val="1"/>
          <w:bCs w:val="1"/>
          <w:color w:val="auto"/>
        </w:rPr>
      </w:pPr>
    </w:p>
    <w:p>
      <w:pPr>
        <w:spacing w:after="0" w:line="248" w:lineRule="exact"/>
        <w:rPr>
          <w:rFonts w:ascii="Arial" w:cs="Arial" w:eastAsia="Arial" w:hAnsi="Arial"/>
          <w:sz w:val="16"/>
          <w:szCs w:val="16"/>
          <w:b w:val="1"/>
          <w:bCs w:val="1"/>
          <w:color w:val="auto"/>
        </w:rPr>
      </w:pPr>
    </w:p>
    <w:p>
      <w:pPr>
        <w:ind w:left="62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46" w:lineRule="exact"/>
        <w:rPr>
          <w:rFonts w:ascii="Arial" w:cs="Arial" w:eastAsia="Arial" w:hAnsi="Arial"/>
          <w:sz w:val="16"/>
          <w:szCs w:val="16"/>
          <w:b w:val="1"/>
          <w:bCs w:val="1"/>
          <w:color w:val="auto"/>
        </w:rPr>
      </w:pPr>
    </w:p>
    <w:p>
      <w:pPr>
        <w:ind w:left="62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91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1" w:lineRule="exact"/>
        <w:rPr>
          <w:sz w:val="20"/>
          <w:szCs w:val="20"/>
          <w:color w:val="auto"/>
        </w:rPr>
      </w:pPr>
    </w:p>
    <w:p>
      <w:pPr>
        <w:ind w:left="620" w:hanging="620"/>
        <w:spacing w:after="0"/>
        <w:tabs>
          <w:tab w:leader="none" w:pos="62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1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48895</wp:posOffset>
            </wp:positionV>
            <wp:extent cx="591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660" w:space="720"/>
            <w:col w:w="1040"/>
          </w:cols>
          <w:pgMar w:left="240" w:top="959" w:right="239" w:bottom="144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b w:val="1"/>
                <w:bCs w:val="1"/>
                <w:color w:val="auto"/>
              </w:rPr>
              <w:t>Quarters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Operating Expenses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as reported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1,856</w:t>
            </w:r>
          </w:p>
        </w:tc>
        <w:tc>
          <w:tcPr>
            <w:tcW w:w="0" w:type="dxa"/>
            <w:vAlign w:val="bottom"/>
          </w:tcPr>
          <w:p>
            <w:pPr>
              <w:spacing w:after="0"/>
              <w:rPr>
                <w:sz w:val="1"/>
                <w:szCs w:val="1"/>
                <w:color w:val="auto"/>
              </w:rPr>
            </w:pPr>
          </w:p>
        </w:tc>
      </w:tr>
      <w:tr>
        <w:trPr>
          <w:trHeight w:val="432"/>
        </w:trPr>
        <w:tc>
          <w:tcPr>
            <w:tcW w:w="9280" w:type="dxa"/>
            <w:vAlign w:val="bottom"/>
          </w:tcPr>
          <w:p>
            <w:pPr>
              <w:spacing w:after="0"/>
              <w:rPr>
                <w:sz w:val="20"/>
                <w:szCs w:val="20"/>
                <w:color w:val="auto"/>
              </w:rPr>
            </w:pPr>
            <w:r>
              <w:rPr>
                <w:rFonts w:ascii="Arial" w:cs="Arial" w:eastAsia="Arial" w:hAnsi="Arial"/>
                <w:sz w:val="18"/>
                <w:szCs w:val="18"/>
                <w:b w:val="1"/>
                <w:bCs w:val="1"/>
                <w:color w:val="auto"/>
              </w:rPr>
              <w:t>Adjustments to Operating Expenses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Closed site charges and changes in risk-free interest rate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b w:val="1"/>
                <w:bCs w:val="1"/>
                <w:color w:val="auto"/>
              </w:rPr>
              <w:t>Adjusted Operating Expenses (b)</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60" w:hanging="452"/>
        <w:spacing w:after="0" w:line="277"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Please see the reconciliation of “Adjusted effective tax rate” for the tax expense associated with each of the after-tax adjustments to net income and diluted EPS in the third quarter of 2010 and 2009.</w:t>
      </w:r>
    </w:p>
    <w:p>
      <w:pPr>
        <w:spacing w:after="0" w:line="21"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Increase of $131 million in operating expense, as adjusted.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6"/>
          </w:tcPr>
          <w:p>
            <w:pPr>
              <w:jc w:val="right"/>
              <w:spacing w:after="0"/>
              <w:rPr>
                <w:sz w:val="20"/>
                <w:szCs w:val="20"/>
                <w:color w:val="auto"/>
              </w:rPr>
            </w:pPr>
            <w:r>
              <w:rPr>
                <w:rFonts w:ascii="Arial" w:cs="Arial" w:eastAsia="Arial" w:hAnsi="Arial"/>
                <w:sz w:val="14"/>
                <w:szCs w:val="14"/>
                <w:b w:val="1"/>
                <w:bCs w:val="1"/>
                <w:color w:val="auto"/>
              </w:rPr>
              <w:t>Quarter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September 30, 2010</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September 30, 2009</w:t>
            </w:r>
          </w:p>
        </w:tc>
      </w:tr>
      <w:tr>
        <w:trPr>
          <w:trHeight w:val="119"/>
        </w:trPr>
        <w:tc>
          <w:tcPr>
            <w:tcW w:w="5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9"/>
              </w:rPr>
              <w:t>Pre-tax</w:t>
            </w: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Tax</w:t>
            </w: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Effective</w:t>
            </w:r>
          </w:p>
        </w:tc>
        <w:tc>
          <w:tcPr>
            <w:tcW w:w="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Pre-tax</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5040" w:type="dxa"/>
            <w:vAlign w:val="bottom"/>
          </w:tcPr>
          <w:p>
            <w:pPr>
              <w:spacing w:after="0"/>
              <w:rPr>
                <w:sz w:val="20"/>
                <w:szCs w:val="20"/>
                <w:color w:val="auto"/>
              </w:rPr>
            </w:pPr>
            <w:r>
              <w:rPr>
                <w:rFonts w:ascii="Arial" w:cs="Arial" w:eastAsia="Arial" w:hAnsi="Arial"/>
                <w:sz w:val="14"/>
                <w:szCs w:val="14"/>
                <w:b w:val="1"/>
                <w:bCs w:val="1"/>
                <w:i w:val="1"/>
                <w:iCs w:val="1"/>
                <w:color w:val="auto"/>
              </w:rPr>
              <w:t>Adjusted effective tax rate</w:t>
            </w: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Expense</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3"/>
              </w:rPr>
              <w:t>Tax Rate (c)</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Income</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Tax Expense</w:t>
            </w:r>
          </w:p>
        </w:tc>
      </w:tr>
      <w:tr>
        <w:trPr>
          <w:trHeight w:val="20"/>
        </w:trPr>
        <w:tc>
          <w:tcPr>
            <w:tcW w:w="5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153</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37.3%</w:t>
            </w:r>
          </w:p>
        </w:tc>
        <w:tc>
          <w:tcPr>
            <w:tcW w:w="220" w:type="dxa"/>
            <w:vAlign w:val="bottom"/>
            <w:gridSpan w:val="3"/>
            <w:shd w:val="clear" w:color="auto" w:fill="CCEEFF"/>
          </w:tcPr>
          <w:p>
            <w:pPr>
              <w:jc w:val="right"/>
              <w:ind w:right="75"/>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w:t>
            </w:r>
          </w:p>
        </w:tc>
      </w:tr>
      <w:tr>
        <w:trPr>
          <w:trHeight w:val="432"/>
        </w:trPr>
        <w:tc>
          <w:tcPr>
            <w:tcW w:w="5040" w:type="dxa"/>
            <w:vAlign w:val="bottom"/>
          </w:tcPr>
          <w:p>
            <w:pPr>
              <w:spacing w:after="0"/>
              <w:rPr>
                <w:sz w:val="20"/>
                <w:szCs w:val="20"/>
                <w:color w:val="auto"/>
              </w:rPr>
            </w:pPr>
            <w:r>
              <w:rPr>
                <w:rFonts w:ascii="Arial" w:cs="Arial" w:eastAsia="Arial" w:hAnsi="Arial"/>
                <w:sz w:val="18"/>
                <w:szCs w:val="18"/>
                <w:b w:val="1"/>
                <w:bCs w:val="1"/>
                <w:color w:val="auto"/>
              </w:rPr>
              <w:t>Adjustments to Tax Expense: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items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Closed site charges and changes in risk-free interest rate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5040" w:type="dxa"/>
            <w:vAlign w:val="bottom"/>
          </w:tcPr>
          <w:p>
            <w:pPr>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480" w:type="dxa"/>
            <w:vAlign w:val="bottom"/>
          </w:tcPr>
          <w:p>
            <w:pPr>
              <w:spacing w:after="0"/>
              <w:rPr>
                <w:sz w:val="19"/>
                <w:szCs w:val="19"/>
                <w:color w:val="auto"/>
              </w:rPr>
            </w:pPr>
          </w:p>
        </w:tc>
        <w:tc>
          <w:tcPr>
            <w:tcW w:w="16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36.3%</w:t>
            </w:r>
          </w:p>
        </w:tc>
        <w:tc>
          <w:tcPr>
            <w:tcW w:w="220" w:type="dxa"/>
            <w:vAlign w:val="bottom"/>
            <w:tcBorders>
              <w:top w:val="single" w:sz="8" w:color="auto"/>
              <w:bottom w:val="single" w:sz="8" w:color="auto"/>
            </w:tcBorders>
            <w:gridSpan w:val="3"/>
          </w:tcPr>
          <w:p>
            <w:pPr>
              <w:jc w:val="right"/>
              <w:ind w:right="75"/>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040" w:type="dxa"/>
            <w:vAlign w:val="bottom"/>
          </w:tcPr>
          <w:p>
            <w:pPr>
              <w:spacing w:after="0"/>
              <w:rPr>
                <w:sz w:val="20"/>
                <w:szCs w:val="20"/>
                <w:color w:val="auto"/>
              </w:rPr>
            </w:pPr>
            <w:r>
              <w:rPr>
                <w:rFonts w:ascii="Arial" w:cs="Arial" w:eastAsia="Arial" w:hAnsi="Arial"/>
                <w:sz w:val="14"/>
                <w:szCs w:val="14"/>
                <w:b w:val="1"/>
                <w:bCs w:val="1"/>
                <w:i w:val="1"/>
                <w:iCs w:val="1"/>
                <w:color w:val="auto"/>
              </w:rPr>
              <w:t>Full Year 2010 Free Cash Flow Reconciliation</w:t>
            </w:r>
            <w:r>
              <w:rPr>
                <w:rFonts w:ascii="Arial" w:cs="Arial" w:eastAsia="Arial" w:hAnsi="Arial"/>
                <w:sz w:val="14"/>
                <w:szCs w:val="14"/>
                <w:b w:val="1"/>
                <w:bCs w:val="1"/>
                <w:color w:val="auto"/>
              </w:rPr>
              <w:t>(d)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Scenario 1</w:t>
            </w:r>
          </w:p>
        </w:tc>
        <w:tc>
          <w:tcPr>
            <w:tcW w:w="5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Scenario 2</w:t>
            </w:r>
          </w:p>
        </w:tc>
        <w:tc>
          <w:tcPr>
            <w:tcW w:w="100" w:type="dxa"/>
            <w:vAlign w:val="bottom"/>
          </w:tcPr>
          <w:p>
            <w:pPr>
              <w:spacing w:after="0"/>
              <w:rPr>
                <w:sz w:val="24"/>
                <w:szCs w:val="24"/>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2,350</w:t>
            </w: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(1,200)</w:t>
            </w:r>
          </w:p>
        </w:tc>
      </w:tr>
      <w:tr>
        <w:trPr>
          <w:trHeight w:val="202"/>
        </w:trPr>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divestitures of businesses (net of</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divested) and other sales of assets</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1,200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40" w:hanging="452"/>
        <w:spacing w:after="0" w:line="304" w:lineRule="auto"/>
        <w:tabs>
          <w:tab w:leader="none" w:pos="4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Company calculates its effective tax rate based on actual dollars. Rounding differences occurred when the effective tax rate was calculated using the Pre-tax Income and Tax Expense amounts included in the table above, as these line items have been rounded in millions.</w:t>
      </w:r>
    </w:p>
    <w:p>
      <w:pPr>
        <w:spacing w:after="0" w:line="4" w:lineRule="exact"/>
        <w:rPr>
          <w:rFonts w:ascii="Arial" w:cs="Arial" w:eastAsia="Arial" w:hAnsi="Arial"/>
          <w:sz w:val="17"/>
          <w:szCs w:val="17"/>
          <w:b w:val="1"/>
          <w:bCs w:val="1"/>
          <w:color w:val="auto"/>
        </w:rPr>
      </w:pPr>
    </w:p>
    <w:p>
      <w:pPr>
        <w:ind w:left="460" w:right="180" w:hanging="452"/>
        <w:spacing w:after="0" w:line="277"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reconciliation illustrates two scenarios that show our projected Free Cash Flow range. The amounts used in the reconciliation are subject to many variables, some of which are not under our control and, therefore, are not necessarily indicative of actual results.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Letter"/>
      <w:start w:val="3"/>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2019-12-10T07:53:00Z</dcterms:created>
  <dcterms:modified xsi:type="dcterms:W3CDTF">2019-12-10T07:53:00Z</dcterms:modified>
</cp:coreProperties>
</file>