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8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(Mark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16510</wp:posOffset>
            </wp:positionV>
            <wp:extent cx="635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5" w:lineRule="exact"/>
        <w:rPr>
          <w:sz w:val="20"/>
          <w:szCs w:val="20"/>
          <w:color w:val="auto"/>
        </w:rPr>
      </w:pPr>
    </w:p>
    <w:p>
      <w:pPr>
        <w:ind w:left="1420" w:hanging="655"/>
        <w:spacing w:after="0"/>
        <w:tabs>
          <w:tab w:leader="none" w:pos="1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AND EXCHANGE ACT OF 1934</w:t>
      </w:r>
    </w:p>
    <w:p>
      <w:pPr>
        <w:spacing w:after="0" w:line="24"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auto"/>
        </w:rPr>
        <w:t>For the fiscal year ended December 31, 2007</w:t>
      </w:r>
    </w:p>
    <w:p>
      <w:pPr>
        <w:spacing w:after="0" w:line="13" w:lineRule="exact"/>
        <w:rPr>
          <w:sz w:val="20"/>
          <w:szCs w:val="20"/>
          <w:color w:val="auto"/>
        </w:rPr>
      </w:pPr>
    </w:p>
    <w:p>
      <w:pPr>
        <w:ind w:left="6220"/>
        <w:spacing w:after="0"/>
        <w:rPr>
          <w:sz w:val="20"/>
          <w:szCs w:val="20"/>
          <w:color w:val="auto"/>
        </w:rPr>
      </w:pPr>
      <w:r>
        <w:rPr>
          <w:rFonts w:ascii="Arial" w:cs="Arial" w:eastAsia="Arial" w:hAnsi="Arial"/>
          <w:sz w:val="13"/>
          <w:szCs w:val="13"/>
          <w:b w:val="1"/>
          <w:bCs w:val="1"/>
          <w:color w:val="auto"/>
        </w:rPr>
        <w:t>or</w:t>
      </w:r>
    </w:p>
    <w:p>
      <w:pPr>
        <w:spacing w:after="0" w:line="20" w:lineRule="exact"/>
        <w:rPr>
          <w:sz w:val="20"/>
          <w:szCs w:val="20"/>
          <w:color w:val="auto"/>
        </w:rPr>
      </w:pPr>
    </w:p>
    <w:p>
      <w:pPr>
        <w:ind w:left="1420" w:hanging="625"/>
        <w:spacing w:after="0"/>
        <w:tabs>
          <w:tab w:leader="none" w:pos="142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AND EXCHANGE ACT OF 1934</w:t>
      </w:r>
    </w:p>
    <w:p>
      <w:pPr>
        <w:spacing w:after="0" w:line="26" w:lineRule="exact"/>
        <w:rPr>
          <w:sz w:val="20"/>
          <w:szCs w:val="20"/>
          <w:color w:val="auto"/>
        </w:rPr>
      </w:pPr>
    </w:p>
    <w:tbl>
      <w:tblPr>
        <w:tblLayout w:type="fixed"/>
        <w:tblInd w:w="1420" w:type="dxa"/>
        <w:tblCellMar>
          <w:top w:w="0" w:type="dxa"/>
          <w:left w:w="0" w:type="dxa"/>
          <w:bottom w:w="0" w:type="dxa"/>
          <w:right w:w="0" w:type="dxa"/>
        </w:tblCellMar>
      </w:tblPr>
      <w:tr>
        <w:trPr>
          <w:trHeight w:val="169"/>
        </w:trPr>
        <w:tc>
          <w:tcPr>
            <w:tcW w:w="1960" w:type="dxa"/>
            <w:vAlign w:val="bottom"/>
          </w:tcPr>
          <w:p>
            <w:pPr>
              <w:spacing w:after="0"/>
              <w:rPr>
                <w:sz w:val="20"/>
                <w:szCs w:val="20"/>
                <w:color w:val="auto"/>
              </w:rPr>
            </w:pPr>
            <w:r>
              <w:rPr>
                <w:rFonts w:ascii="Arial" w:cs="Arial" w:eastAsia="Arial" w:hAnsi="Arial"/>
                <w:sz w:val="13"/>
                <w:szCs w:val="13"/>
                <w:b w:val="1"/>
                <w:bCs w:val="1"/>
                <w:color w:val="auto"/>
              </w:rPr>
              <w:t>For the transition period from</w:t>
            </w:r>
          </w:p>
        </w:tc>
        <w:tc>
          <w:tcPr>
            <w:tcW w:w="600" w:type="dxa"/>
            <w:vAlign w:val="bottom"/>
          </w:tcPr>
          <w:p>
            <w:pPr>
              <w:ind w:left="60"/>
              <w:spacing w:after="0"/>
              <w:rPr>
                <w:sz w:val="20"/>
                <w:szCs w:val="20"/>
                <w:color w:val="auto"/>
              </w:rPr>
            </w:pPr>
            <w:r>
              <w:rPr>
                <w:rFonts w:ascii="Arial" w:cs="Arial" w:eastAsia="Arial" w:hAnsi="Arial"/>
                <w:sz w:val="13"/>
                <w:szCs w:val="13"/>
                <w:b w:val="1"/>
                <w:bCs w:val="1"/>
                <w:color w:val="auto"/>
              </w:rPr>
              <w:t>to</w:t>
            </w:r>
          </w:p>
        </w:tc>
        <w:tc>
          <w:tcPr>
            <w:tcW w:w="4880" w:type="dxa"/>
            <w:vAlign w:val="bottom"/>
          </w:tcPr>
          <w:p>
            <w:pPr>
              <w:spacing w:after="0"/>
              <w:rPr>
                <w:sz w:val="14"/>
                <w:szCs w:val="14"/>
                <w:color w:val="auto"/>
              </w:rPr>
            </w:pPr>
          </w:p>
        </w:tc>
      </w:tr>
      <w:tr>
        <w:trPr>
          <w:trHeight w:val="222"/>
        </w:trPr>
        <w:tc>
          <w:tcPr>
            <w:tcW w:w="1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80" w:type="dxa"/>
            <w:vAlign w:val="bottom"/>
          </w:tcPr>
          <w:p>
            <w:pPr>
              <w:jc w:val="center"/>
              <w:ind w:right="1290"/>
              <w:spacing w:after="0"/>
              <w:rPr>
                <w:sz w:val="20"/>
                <w:szCs w:val="20"/>
                <w:color w:val="auto"/>
              </w:rPr>
            </w:pPr>
            <w:r>
              <w:rPr>
                <w:rFonts w:ascii="Arial" w:cs="Arial" w:eastAsia="Arial" w:hAnsi="Arial"/>
                <w:sz w:val="13"/>
                <w:szCs w:val="13"/>
                <w:b w:val="1"/>
                <w:bCs w:val="1"/>
                <w:color w:val="auto"/>
                <w:w w:val="90"/>
              </w:rPr>
              <w:t>Commission file number 1-12154</w:t>
            </w:r>
          </w:p>
        </w:tc>
      </w:tr>
      <w:tr>
        <w:trPr>
          <w:trHeight w:val="382"/>
        </w:trPr>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80" w:type="dxa"/>
            <w:vAlign w:val="bottom"/>
          </w:tcPr>
          <w:p>
            <w:pPr>
              <w:jc w:val="center"/>
              <w:ind w:right="1310"/>
              <w:spacing w:after="0"/>
              <w:rPr>
                <w:sz w:val="20"/>
                <w:szCs w:val="20"/>
                <w:color w:val="auto"/>
              </w:rPr>
            </w:pPr>
            <w:r>
              <w:rPr>
                <w:rFonts w:ascii="Arial" w:cs="Arial" w:eastAsia="Arial" w:hAnsi="Arial"/>
                <w:sz w:val="31"/>
                <w:szCs w:val="31"/>
                <w:b w:val="1"/>
                <w:bCs w:val="1"/>
                <w:color w:val="auto"/>
                <w:w w:val="92"/>
              </w:rPr>
              <w:t>Waste Management, Inc.</w:t>
            </w:r>
          </w:p>
        </w:tc>
      </w:tr>
      <w:tr>
        <w:trPr>
          <w:trHeight w:val="131"/>
        </w:trPr>
        <w:tc>
          <w:tcPr>
            <w:tcW w:w="1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80" w:type="dxa"/>
            <w:vAlign w:val="bottom"/>
          </w:tcPr>
          <w:p>
            <w:pPr>
              <w:jc w:val="center"/>
              <w:ind w:right="1310"/>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93"/>
        </w:trPr>
        <w:tc>
          <w:tcPr>
            <w:tcW w:w="1960" w:type="dxa"/>
            <w:vAlign w:val="bottom"/>
          </w:tcPr>
          <w:p>
            <w:pPr>
              <w:jc w:val="center"/>
              <w:ind w:left="1240"/>
              <w:spacing w:after="0"/>
              <w:rPr>
                <w:sz w:val="20"/>
                <w:szCs w:val="20"/>
                <w:color w:val="auto"/>
              </w:rPr>
            </w:pPr>
            <w:r>
              <w:rPr>
                <w:rFonts w:ascii="Arial" w:cs="Arial" w:eastAsia="Arial" w:hAnsi="Arial"/>
                <w:sz w:val="13"/>
                <w:szCs w:val="13"/>
                <w:b w:val="1"/>
                <w:bCs w:val="1"/>
                <w:color w:val="auto"/>
                <w:w w:val="94"/>
              </w:rPr>
              <w:t>Delaware</w:t>
            </w:r>
          </w:p>
        </w:tc>
        <w:tc>
          <w:tcPr>
            <w:tcW w:w="600" w:type="dxa"/>
            <w:vAlign w:val="bottom"/>
          </w:tcPr>
          <w:p>
            <w:pPr>
              <w:spacing w:after="0"/>
              <w:rPr>
                <w:sz w:val="16"/>
                <w:szCs w:val="16"/>
                <w:color w:val="auto"/>
              </w:rPr>
            </w:pPr>
          </w:p>
        </w:tc>
        <w:tc>
          <w:tcPr>
            <w:tcW w:w="4880" w:type="dxa"/>
            <w:vAlign w:val="bottom"/>
          </w:tcPr>
          <w:p>
            <w:pPr>
              <w:jc w:val="right"/>
              <w:spacing w:after="0"/>
              <w:rPr>
                <w:sz w:val="20"/>
                <w:szCs w:val="20"/>
                <w:color w:val="auto"/>
              </w:rPr>
            </w:pPr>
            <w:r>
              <w:rPr>
                <w:rFonts w:ascii="Arial" w:cs="Arial" w:eastAsia="Arial" w:hAnsi="Arial"/>
                <w:sz w:val="13"/>
                <w:szCs w:val="13"/>
                <w:b w:val="1"/>
                <w:bCs w:val="1"/>
                <w:color w:val="auto"/>
              </w:rPr>
              <w:t>73-1309529</w:t>
            </w:r>
          </w:p>
        </w:tc>
      </w:tr>
      <w:tr>
        <w:trPr>
          <w:trHeight w:val="108"/>
        </w:trPr>
        <w:tc>
          <w:tcPr>
            <w:tcW w:w="2560" w:type="dxa"/>
            <w:vAlign w:val="bottom"/>
            <w:gridSpan w:val="2"/>
          </w:tcPr>
          <w:p>
            <w:pPr>
              <w:jc w:val="center"/>
              <w:ind w:left="640"/>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4880" w:type="dxa"/>
            <w:vAlign w:val="bottom"/>
          </w:tcPr>
          <w:p>
            <w:pPr>
              <w:jc w:val="center"/>
              <w:ind w:left="4070"/>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31"/>
        </w:trPr>
        <w:tc>
          <w:tcPr>
            <w:tcW w:w="2560" w:type="dxa"/>
            <w:vAlign w:val="bottom"/>
            <w:gridSpan w:val="2"/>
          </w:tcPr>
          <w:p>
            <w:pPr>
              <w:jc w:val="center"/>
              <w:ind w:left="640"/>
              <w:spacing w:after="0"/>
              <w:rPr>
                <w:sz w:val="20"/>
                <w:szCs w:val="20"/>
                <w:color w:val="auto"/>
              </w:rPr>
            </w:pPr>
            <w:r>
              <w:rPr>
                <w:rFonts w:ascii="Arial" w:cs="Arial" w:eastAsia="Arial" w:hAnsi="Arial"/>
                <w:sz w:val="10"/>
                <w:szCs w:val="10"/>
                <w:i w:val="1"/>
                <w:iCs w:val="1"/>
                <w:color w:val="auto"/>
                <w:w w:val="99"/>
              </w:rPr>
              <w:t>incorporation or organization)</w:t>
            </w:r>
          </w:p>
        </w:tc>
        <w:tc>
          <w:tcPr>
            <w:tcW w:w="4880" w:type="dxa"/>
            <w:vAlign w:val="bottom"/>
          </w:tcPr>
          <w:p>
            <w:pPr>
              <w:jc w:val="center"/>
              <w:ind w:left="4050"/>
              <w:spacing w:after="0"/>
              <w:rPr>
                <w:sz w:val="20"/>
                <w:szCs w:val="20"/>
                <w:color w:val="auto"/>
              </w:rPr>
            </w:pPr>
            <w:r>
              <w:rPr>
                <w:rFonts w:ascii="Arial" w:cs="Arial" w:eastAsia="Arial" w:hAnsi="Arial"/>
                <w:sz w:val="10"/>
                <w:szCs w:val="10"/>
                <w:i w:val="1"/>
                <w:iCs w:val="1"/>
                <w:color w:val="auto"/>
                <w:w w:val="97"/>
              </w:rPr>
              <w:t>Identification No.)</w:t>
            </w:r>
          </w:p>
        </w:tc>
      </w:tr>
      <w:tr>
        <w:trPr>
          <w:trHeight w:val="213"/>
        </w:trPr>
        <w:tc>
          <w:tcPr>
            <w:tcW w:w="2560" w:type="dxa"/>
            <w:vAlign w:val="bottom"/>
            <w:gridSpan w:val="2"/>
          </w:tcPr>
          <w:p>
            <w:pPr>
              <w:jc w:val="center"/>
              <w:ind w:left="640"/>
              <w:spacing w:after="0"/>
              <w:rPr>
                <w:sz w:val="20"/>
                <w:szCs w:val="20"/>
                <w:color w:val="auto"/>
              </w:rPr>
            </w:pPr>
            <w:r>
              <w:rPr>
                <w:rFonts w:ascii="Arial" w:cs="Arial" w:eastAsia="Arial" w:hAnsi="Arial"/>
                <w:sz w:val="13"/>
                <w:szCs w:val="13"/>
                <w:b w:val="1"/>
                <w:bCs w:val="1"/>
                <w:color w:val="auto"/>
                <w:w w:val="90"/>
              </w:rPr>
              <w:t>1001 Fannin Street, Suite 4000</w:t>
            </w:r>
          </w:p>
        </w:tc>
        <w:tc>
          <w:tcPr>
            <w:tcW w:w="4880" w:type="dxa"/>
            <w:vAlign w:val="bottom"/>
          </w:tcPr>
          <w:p>
            <w:pPr>
              <w:jc w:val="right"/>
              <w:ind w:right="150"/>
              <w:spacing w:after="0"/>
              <w:rPr>
                <w:sz w:val="20"/>
                <w:szCs w:val="20"/>
                <w:color w:val="auto"/>
              </w:rPr>
            </w:pPr>
            <w:r>
              <w:rPr>
                <w:rFonts w:ascii="Arial" w:cs="Arial" w:eastAsia="Arial" w:hAnsi="Arial"/>
                <w:sz w:val="13"/>
                <w:szCs w:val="13"/>
                <w:b w:val="1"/>
                <w:bCs w:val="1"/>
                <w:color w:val="auto"/>
              </w:rPr>
              <w:t>77002</w:t>
            </w:r>
          </w:p>
        </w:tc>
      </w:tr>
      <w:tr>
        <w:trPr>
          <w:trHeight w:val="157"/>
        </w:trPr>
        <w:tc>
          <w:tcPr>
            <w:tcW w:w="2560" w:type="dxa"/>
            <w:vAlign w:val="bottom"/>
            <w:gridSpan w:val="2"/>
          </w:tcPr>
          <w:p>
            <w:pPr>
              <w:jc w:val="center"/>
              <w:ind w:left="640"/>
              <w:spacing w:after="0"/>
              <w:rPr>
                <w:sz w:val="20"/>
                <w:szCs w:val="20"/>
                <w:color w:val="auto"/>
              </w:rPr>
            </w:pPr>
            <w:r>
              <w:rPr>
                <w:rFonts w:ascii="Arial" w:cs="Arial" w:eastAsia="Arial" w:hAnsi="Arial"/>
                <w:sz w:val="13"/>
                <w:szCs w:val="13"/>
                <w:b w:val="1"/>
                <w:bCs w:val="1"/>
                <w:color w:val="auto"/>
                <w:w w:val="88"/>
              </w:rPr>
              <w:t>Houston, Texas</w:t>
            </w:r>
          </w:p>
        </w:tc>
        <w:tc>
          <w:tcPr>
            <w:tcW w:w="4880" w:type="dxa"/>
            <w:vAlign w:val="bottom"/>
          </w:tcPr>
          <w:p>
            <w:pPr>
              <w:jc w:val="center"/>
              <w:ind w:left="4050"/>
              <w:spacing w:after="0"/>
              <w:rPr>
                <w:sz w:val="20"/>
                <w:szCs w:val="20"/>
                <w:color w:val="auto"/>
              </w:rPr>
            </w:pPr>
            <w:r>
              <w:rPr>
                <w:rFonts w:ascii="Arial" w:cs="Arial" w:eastAsia="Arial" w:hAnsi="Arial"/>
                <w:sz w:val="10"/>
                <w:szCs w:val="10"/>
                <w:i w:val="1"/>
                <w:iCs w:val="1"/>
                <w:color w:val="auto"/>
                <w:w w:val="97"/>
              </w:rPr>
              <w:t>(Zip code)</w:t>
            </w:r>
          </w:p>
        </w:tc>
      </w:tr>
      <w:tr>
        <w:trPr>
          <w:trHeight w:val="131"/>
        </w:trPr>
        <w:tc>
          <w:tcPr>
            <w:tcW w:w="2560" w:type="dxa"/>
            <w:vAlign w:val="bottom"/>
            <w:gridSpan w:val="2"/>
          </w:tcPr>
          <w:p>
            <w:pPr>
              <w:jc w:val="center"/>
              <w:ind w:left="620"/>
              <w:spacing w:after="0"/>
              <w:rPr>
                <w:sz w:val="20"/>
                <w:szCs w:val="20"/>
                <w:color w:val="auto"/>
              </w:rPr>
            </w:pPr>
            <w:r>
              <w:rPr>
                <w:rFonts w:ascii="Arial" w:cs="Arial" w:eastAsia="Arial" w:hAnsi="Arial"/>
                <w:sz w:val="10"/>
                <w:szCs w:val="10"/>
                <w:i w:val="1"/>
                <w:iCs w:val="1"/>
                <w:color w:val="auto"/>
                <w:w w:val="95"/>
              </w:rPr>
              <w:t>(Address of principal executive offices)</w:t>
            </w:r>
          </w:p>
        </w:tc>
        <w:tc>
          <w:tcPr>
            <w:tcW w:w="4880" w:type="dxa"/>
            <w:vAlign w:val="bottom"/>
          </w:tcPr>
          <w:p>
            <w:pPr>
              <w:spacing w:after="0"/>
              <w:rPr>
                <w:sz w:val="11"/>
                <w:szCs w:val="11"/>
                <w:color w:val="auto"/>
              </w:rPr>
            </w:pPr>
          </w:p>
        </w:tc>
      </w:tr>
    </w:tbl>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 (713) 512-6200</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Securities registered pursuant to Section 12(b) of the Act:</w:t>
      </w:r>
    </w:p>
    <w:p>
      <w:pPr>
        <w:sectPr>
          <w:pgSz w:w="11900" w:h="16838" w:orient="portrait"/>
          <w:cols w:equalWidth="0" w:num="1">
            <w:col w:w="11460"/>
          </w:cols>
          <w:pgMar w:left="220" w:top="127" w:right="219" w:bottom="1440" w:gutter="0" w:footer="0" w:header="0"/>
        </w:sectPr>
      </w:pPr>
    </w:p>
    <w:p>
      <w:pPr>
        <w:spacing w:after="0" w:line="102" w:lineRule="exact"/>
        <w:rPr>
          <w:sz w:val="20"/>
          <w:szCs w:val="20"/>
          <w:color w:val="auto"/>
        </w:rPr>
      </w:pPr>
    </w:p>
    <w:p>
      <w:pPr>
        <w:ind w:left="3020"/>
        <w:spacing w:after="0"/>
        <w:rPr>
          <w:sz w:val="20"/>
          <w:szCs w:val="20"/>
          <w:color w:val="auto"/>
        </w:rPr>
      </w:pP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 of Each Class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N</w:t>
      </w:r>
      <w:r>
        <w:rPr>
          <w:rFonts w:ascii="Arial" w:cs="Arial" w:eastAsia="Arial" w:hAnsi="Arial"/>
          <w:sz w:val="9"/>
          <w:szCs w:val="9"/>
          <w:b w:val="1"/>
          <w:bCs w:val="1"/>
          <w:color w:val="auto"/>
        </w:rPr>
        <w:t>ame of Exchange on Which Registered</w:t>
      </w:r>
    </w:p>
    <w:p>
      <w:pPr>
        <w:spacing w:after="0" w:line="72" w:lineRule="exact"/>
        <w:rPr>
          <w:sz w:val="20"/>
          <w:szCs w:val="20"/>
          <w:color w:val="auto"/>
        </w:rPr>
      </w:pPr>
    </w:p>
    <w:p>
      <w:pPr>
        <w:sectPr>
          <w:pgSz w:w="11900" w:h="16838" w:orient="portrait"/>
          <w:cols w:equalWidth="0" w:num="2">
            <w:col w:w="7740" w:space="720"/>
            <w:col w:w="3000"/>
          </w:cols>
          <w:pgMar w:left="220" w:top="127" w:right="219" w:bottom="1440" w:gutter="0" w:footer="0" w:header="0"/>
          <w:type w:val="continuous"/>
        </w:sectPr>
      </w:pPr>
    </w:p>
    <w:p>
      <w:pPr>
        <w:ind w:left="2240"/>
        <w:spacing w:after="0"/>
        <w:rPr>
          <w:sz w:val="20"/>
          <w:szCs w:val="20"/>
          <w:color w:val="auto"/>
        </w:rPr>
      </w:pPr>
      <w:r>
        <w:rPr>
          <w:rFonts w:ascii="Arial" w:cs="Arial" w:eastAsia="Arial" w:hAnsi="Arial"/>
          <w:sz w:val="11"/>
          <w:szCs w:val="11"/>
          <w:color w:val="auto"/>
        </w:rPr>
        <w:t>Common Stock, $.01 par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New York Stock Exchange</w:t>
      </w:r>
    </w:p>
    <w:p>
      <w:pPr>
        <w:spacing w:after="0" w:line="94" w:lineRule="exact"/>
        <w:rPr>
          <w:sz w:val="20"/>
          <w:szCs w:val="20"/>
          <w:color w:val="auto"/>
        </w:rPr>
      </w:pPr>
    </w:p>
    <w:p>
      <w:pPr>
        <w:sectPr>
          <w:pgSz w:w="11900" w:h="16838" w:orient="portrait"/>
          <w:cols w:equalWidth="0" w:num="2">
            <w:col w:w="7060" w:space="720"/>
            <w:col w:w="3680"/>
          </w:cols>
          <w:pgMar w:left="220" w:top="127" w:right="219" w:bottom="1440" w:gutter="0" w:footer="0" w:header="0"/>
          <w:type w:val="continuous"/>
        </w:sectPr>
      </w:pPr>
    </w:p>
    <w:p>
      <w:pPr>
        <w:ind w:left="660"/>
        <w:spacing w:after="0" w:line="127"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by Rule 405 of the Securities Act. Yes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No o</w:t>
      </w:r>
    </w:p>
    <w:p>
      <w:pPr>
        <w:spacing w:after="0" w:line="94" w:lineRule="exact"/>
        <w:rPr>
          <w:sz w:val="20"/>
          <w:szCs w:val="20"/>
          <w:color w:val="auto"/>
        </w:rPr>
      </w:pPr>
    </w:p>
    <w:p>
      <w:pPr>
        <w:sectPr>
          <w:pgSz w:w="11900" w:h="16838" w:orient="portrait"/>
          <w:cols w:equalWidth="0" w:num="2">
            <w:col w:w="7240" w:space="180"/>
            <w:col w:w="4040"/>
          </w:cols>
          <w:pgMar w:left="220" w:top="127" w:right="21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 Yes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2" w:lineRule="exact"/>
        <w:rPr>
          <w:sz w:val="20"/>
          <w:szCs w:val="20"/>
          <w:color w:val="auto"/>
        </w:rPr>
      </w:pPr>
    </w:p>
    <w:p>
      <w:pPr>
        <w:sectPr>
          <w:pgSz w:w="11900" w:h="16838" w:orient="portrait"/>
          <w:cols w:equalWidth="0" w:num="2">
            <w:col w:w="7280" w:space="160"/>
            <w:col w:w="4020"/>
          </w:cols>
          <w:pgMar w:left="220" w:top="127" w:right="219" w:bottom="1440" w:gutter="0" w:footer="0" w:header="0"/>
          <w:type w:val="continuous"/>
        </w:sectPr>
      </w:pPr>
    </w:p>
    <w:p>
      <w:pPr>
        <w:ind w:left="340" w:right="48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920" w:firstLine="324"/>
        <w:spacing w:after="0" w:line="169"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Regulations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66" w:lineRule="exact"/>
        <w:rPr>
          <w:sz w:val="20"/>
          <w:szCs w:val="20"/>
          <w:color w:val="auto"/>
        </w:rPr>
      </w:pPr>
    </w:p>
    <w:p>
      <w:pPr>
        <w:ind w:left="340" w:right="54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44" w:lineRule="exact"/>
        <w:rPr>
          <w:sz w:val="20"/>
          <w:szCs w:val="20"/>
          <w:color w:val="auto"/>
        </w:rPr>
      </w:pPr>
    </w:p>
    <w:p>
      <w:pPr>
        <w:ind w:left="3320" w:right="760" w:hanging="4463"/>
        <w:spacing w:after="0" w:line="206" w:lineRule="exact"/>
        <w:tabs>
          <w:tab w:leader="none" w:pos="330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197" w:lineRule="exact"/>
        <w:rPr>
          <w:sz w:val="20"/>
          <w:szCs w:val="20"/>
          <w:color w:val="auto"/>
        </w:rPr>
      </w:pPr>
    </w:p>
    <w:p>
      <w:pPr>
        <w:ind w:left="660"/>
        <w:spacing w:after="0" w:line="138" w:lineRule="exact"/>
        <w:tabs>
          <w:tab w:leader="none" w:pos="65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133" w:lineRule="exact"/>
        <w:rPr>
          <w:sz w:val="20"/>
          <w:szCs w:val="20"/>
          <w:color w:val="auto"/>
        </w:rPr>
      </w:pPr>
    </w:p>
    <w:p>
      <w:pPr>
        <w:ind w:left="340" w:right="420" w:firstLine="324"/>
        <w:spacing w:after="0" w:line="264" w:lineRule="auto"/>
        <w:rPr>
          <w:sz w:val="20"/>
          <w:szCs w:val="20"/>
          <w:color w:val="auto"/>
        </w:rPr>
      </w:pPr>
      <w:r>
        <w:rPr>
          <w:rFonts w:ascii="Arial" w:cs="Arial" w:eastAsia="Arial" w:hAnsi="Arial"/>
          <w:sz w:val="13"/>
          <w:szCs w:val="13"/>
          <w:color w:val="auto"/>
        </w:rPr>
        <w:t>The aggregate market value of the voting stock held by non-affiliates of the registrant at June 30, 2007 was approximately $20.2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3"/>
          <w:szCs w:val="13"/>
          <w:color w:val="auto"/>
        </w:rPr>
        <w:t>The number of shares of Common Stock, $0.01 par value, of the registrant outstanding at February 11, 2008 was 495,349,812 (excluding treasury shares of 134,932,649).</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000" w:type="dxa"/>
            <w:vAlign w:val="bottom"/>
          </w:tcPr>
          <w:p>
            <w:pPr>
              <w:ind w:left="120"/>
              <w:spacing w:after="0"/>
              <w:rPr>
                <w:sz w:val="20"/>
                <w:szCs w:val="20"/>
                <w:color w:val="auto"/>
              </w:rPr>
            </w:pPr>
            <w:r>
              <w:rPr>
                <w:rFonts w:ascii="Arial" w:cs="Arial" w:eastAsia="Arial" w:hAnsi="Arial"/>
                <w:sz w:val="13"/>
                <w:szCs w:val="13"/>
                <w:b w:val="1"/>
                <w:bCs w:val="1"/>
                <w:color w:val="auto"/>
              </w:rPr>
              <w:t>DOCUMENTS INCORPORATED BY REFERENCE</w:t>
            </w:r>
          </w:p>
        </w:tc>
        <w:tc>
          <w:tcPr>
            <w:tcW w:w="340" w:type="dxa"/>
            <w:vAlign w:val="bottom"/>
          </w:tcPr>
          <w:p>
            <w:pPr>
              <w:spacing w:after="0"/>
              <w:rPr>
                <w:sz w:val="14"/>
                <w:szCs w:val="14"/>
                <w:color w:val="auto"/>
              </w:rPr>
            </w:pPr>
          </w:p>
        </w:tc>
      </w:tr>
      <w:tr>
        <w:trPr>
          <w:trHeight w:val="218"/>
        </w:trPr>
        <w:tc>
          <w:tcPr>
            <w:tcW w:w="340" w:type="dxa"/>
            <w:vAlign w:val="bottom"/>
          </w:tcPr>
          <w:p>
            <w:pPr>
              <w:spacing w:after="0"/>
              <w:rPr>
                <w:sz w:val="18"/>
                <w:szCs w:val="18"/>
                <w:color w:val="auto"/>
              </w:rPr>
            </w:pPr>
          </w:p>
        </w:tc>
        <w:tc>
          <w:tcPr>
            <w:tcW w:w="3780" w:type="dxa"/>
            <w:vAlign w:val="bottom"/>
          </w:tcPr>
          <w:p>
            <w:pPr>
              <w:ind w:left="262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ocument</w:t>
            </w:r>
          </w:p>
        </w:tc>
        <w:tc>
          <w:tcPr>
            <w:tcW w:w="7000" w:type="dxa"/>
            <w:vAlign w:val="bottom"/>
          </w:tcPr>
          <w:p>
            <w:pPr>
              <w:ind w:left="4340"/>
              <w:spacing w:after="0"/>
              <w:rPr>
                <w:sz w:val="20"/>
                <w:szCs w:val="20"/>
                <w:color w:val="auto"/>
              </w:rPr>
            </w:pPr>
            <w:r>
              <w:rPr>
                <w:rFonts w:ascii="Arial" w:cs="Arial" w:eastAsia="Arial" w:hAnsi="Arial"/>
                <w:sz w:val="10"/>
                <w:szCs w:val="10"/>
                <w:b w:val="1"/>
                <w:bCs w:val="1"/>
                <w:u w:val="single" w:color="auto"/>
                <w:color w:val="auto"/>
              </w:rPr>
              <w:t>I</w:t>
            </w:r>
            <w:r>
              <w:rPr>
                <w:rFonts w:ascii="Arial" w:cs="Arial" w:eastAsia="Arial" w:hAnsi="Arial"/>
                <w:sz w:val="10"/>
                <w:szCs w:val="10"/>
                <w:b w:val="1"/>
                <w:bCs w:val="1"/>
                <w:color w:val="auto"/>
              </w:rPr>
              <w:t>ncorporated as to</w:t>
            </w:r>
          </w:p>
        </w:tc>
        <w:tc>
          <w:tcPr>
            <w:tcW w:w="340" w:type="dxa"/>
            <w:vAlign w:val="bottom"/>
          </w:tcPr>
          <w:p>
            <w:pPr>
              <w:spacing w:after="0"/>
              <w:rPr>
                <w:sz w:val="18"/>
                <w:szCs w:val="18"/>
                <w:color w:val="auto"/>
              </w:rPr>
            </w:pPr>
          </w:p>
        </w:tc>
      </w:tr>
      <w:tr>
        <w:trPr>
          <w:trHeight w:val="197"/>
        </w:trPr>
        <w:tc>
          <w:tcPr>
            <w:tcW w:w="340" w:type="dxa"/>
            <w:vAlign w:val="bottom"/>
          </w:tcPr>
          <w:p>
            <w:pPr>
              <w:spacing w:after="0"/>
              <w:rPr>
                <w:sz w:val="17"/>
                <w:szCs w:val="17"/>
                <w:color w:val="auto"/>
              </w:rPr>
            </w:pPr>
          </w:p>
        </w:tc>
        <w:tc>
          <w:tcPr>
            <w:tcW w:w="3780" w:type="dxa"/>
            <w:vAlign w:val="bottom"/>
          </w:tcPr>
          <w:p>
            <w:pPr>
              <w:jc w:val="center"/>
              <w:ind w:left="1459"/>
              <w:spacing w:after="0"/>
              <w:rPr>
                <w:sz w:val="20"/>
                <w:szCs w:val="20"/>
                <w:color w:val="auto"/>
              </w:rPr>
            </w:pPr>
            <w:r>
              <w:rPr>
                <w:rFonts w:ascii="Arial" w:cs="Arial" w:eastAsia="Arial" w:hAnsi="Arial"/>
                <w:sz w:val="13"/>
                <w:szCs w:val="13"/>
                <w:color w:val="auto"/>
                <w:w w:val="92"/>
              </w:rPr>
              <w:t>Proxy Statement for the</w:t>
            </w:r>
          </w:p>
        </w:tc>
        <w:tc>
          <w:tcPr>
            <w:tcW w:w="7000" w:type="dxa"/>
            <w:vAlign w:val="bottom"/>
          </w:tcPr>
          <w:p>
            <w:pPr>
              <w:ind w:left="4180"/>
              <w:spacing w:after="0"/>
              <w:rPr>
                <w:sz w:val="20"/>
                <w:szCs w:val="20"/>
                <w:color w:val="auto"/>
              </w:rPr>
            </w:pPr>
            <w:r>
              <w:rPr>
                <w:rFonts w:ascii="Arial" w:cs="Arial" w:eastAsia="Arial" w:hAnsi="Arial"/>
                <w:sz w:val="13"/>
                <w:szCs w:val="13"/>
                <w:color w:val="auto"/>
              </w:rPr>
              <w:t>Part III</w:t>
            </w:r>
          </w:p>
        </w:tc>
        <w:tc>
          <w:tcPr>
            <w:tcW w:w="340" w:type="dxa"/>
            <w:vAlign w:val="bottom"/>
          </w:tcPr>
          <w:p>
            <w:pPr>
              <w:spacing w:after="0"/>
              <w:rPr>
                <w:sz w:val="17"/>
                <w:szCs w:val="17"/>
                <w:color w:val="auto"/>
              </w:rPr>
            </w:pPr>
          </w:p>
        </w:tc>
      </w:tr>
      <w:tr>
        <w:trPr>
          <w:trHeight w:val="165"/>
        </w:trPr>
        <w:tc>
          <w:tcPr>
            <w:tcW w:w="340" w:type="dxa"/>
            <w:vAlign w:val="bottom"/>
          </w:tcPr>
          <w:p>
            <w:pPr>
              <w:spacing w:after="0"/>
              <w:rPr>
                <w:sz w:val="14"/>
                <w:szCs w:val="14"/>
                <w:color w:val="auto"/>
              </w:rPr>
            </w:pPr>
          </w:p>
        </w:tc>
        <w:tc>
          <w:tcPr>
            <w:tcW w:w="3780" w:type="dxa"/>
            <w:vAlign w:val="bottom"/>
          </w:tcPr>
          <w:p>
            <w:pPr>
              <w:jc w:val="center"/>
              <w:ind w:left="1459"/>
              <w:spacing w:after="0"/>
              <w:rPr>
                <w:sz w:val="20"/>
                <w:szCs w:val="20"/>
                <w:color w:val="auto"/>
              </w:rPr>
            </w:pPr>
            <w:r>
              <w:rPr>
                <w:rFonts w:ascii="Arial" w:cs="Arial" w:eastAsia="Arial" w:hAnsi="Arial"/>
                <w:sz w:val="13"/>
                <w:szCs w:val="13"/>
                <w:color w:val="auto"/>
                <w:w w:val="93"/>
              </w:rPr>
              <w:t>2008 Annual Meeting of Stockholders</w:t>
            </w:r>
          </w:p>
        </w:tc>
        <w:tc>
          <w:tcPr>
            <w:tcW w:w="70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29"/>
        </w:trPr>
        <w:tc>
          <w:tcPr>
            <w:tcW w:w="340" w:type="dxa"/>
            <w:vAlign w:val="bottom"/>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c>
          <w:tcPr>
            <w:tcW w:w="70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r>
      <w:tr>
        <w:trPr>
          <w:trHeight w:val="162"/>
        </w:trPr>
        <w:tc>
          <w:tcPr>
            <w:tcW w:w="34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70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type w:val="continuous"/>
        </w:sectPr>
      </w:pPr>
    </w:p>
    <w:bookmarkStart w:id="2" w:name="page3"/>
    <w:bookmarkEnd w:id="2"/>
    <w:tbl>
      <w:tblPr>
        <w:tblLayout w:type="fixed"/>
        <w:tblInd w:w="34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40" w:type="dxa"/>
            <w:vAlign w:val="bottom"/>
            <w:gridSpan w:val="14"/>
          </w:tcPr>
          <w:p>
            <w:pPr>
              <w:jc w:val="center"/>
              <w:ind w:right="3760"/>
              <w:spacing w:after="0"/>
              <w:rPr>
                <w:sz w:val="20"/>
                <w:szCs w:val="20"/>
                <w:color w:val="auto"/>
              </w:rPr>
            </w:pPr>
            <w:r>
              <w:rPr>
                <w:rFonts w:ascii="Arial" w:cs="Arial" w:eastAsia="Arial" w:hAnsi="Arial"/>
                <w:sz w:val="13"/>
                <w:szCs w:val="13"/>
                <w:b w:val="1"/>
                <w:bCs w:val="1"/>
                <w:color w:val="auto"/>
                <w:w w:val="99"/>
              </w:rPr>
              <w:t>TABLE OF CONTENTS</w:t>
            </w:r>
          </w:p>
        </w:tc>
        <w:tc>
          <w:tcPr>
            <w:tcW w:w="380" w:type="dxa"/>
            <w:vAlign w:val="bottom"/>
          </w:tcPr>
          <w:p>
            <w:pPr>
              <w:spacing w:after="0"/>
              <w:rPr>
                <w:sz w:val="14"/>
                <w:szCs w:val="14"/>
                <w:color w:val="auto"/>
              </w:rPr>
            </w:pPr>
          </w:p>
        </w:tc>
      </w:tr>
      <w:tr>
        <w:trPr>
          <w:trHeight w:val="286"/>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b w:val="1"/>
                <w:bCs w:val="1"/>
                <w:color w:val="auto"/>
              </w:rPr>
              <w:t>Page</w:t>
            </w:r>
          </w:p>
        </w:tc>
      </w:tr>
      <w:tr>
        <w:trPr>
          <w:trHeight w:val="157"/>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9"/>
          </w:tcPr>
          <w:p>
            <w:pPr>
              <w:jc w:val="center"/>
              <w:ind w:right="440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380" w:type="dxa"/>
            <w:vAlign w:val="bottom"/>
          </w:tcPr>
          <w:p>
            <w:pPr>
              <w:spacing w:after="0"/>
              <w:rPr>
                <w:sz w:val="13"/>
                <w:szCs w:val="13"/>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Item 1.</w:t>
              </w:r>
            </w:hyperlink>
          </w:p>
        </w:tc>
        <w:tc>
          <w:tcPr>
            <w:tcW w:w="3360" w:type="dxa"/>
            <w:vAlign w:val="bottom"/>
            <w:gridSpan w:val="16"/>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400" w:type="dxa"/>
            <w:vAlign w:val="bottom"/>
            <w:gridSpan w:val="8"/>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w:t>
            </w:r>
          </w:p>
        </w:tc>
      </w:tr>
      <w:tr>
        <w:trPr>
          <w:trHeight w:val="20"/>
        </w:trPr>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3"/>
          </w:tcPr>
          <w:p>
            <w:pPr>
              <w:spacing w:after="0" w:line="138" w:lineRule="exact"/>
              <w:rPr>
                <w:rFonts w:ascii="Arial" w:cs="Arial" w:eastAsia="Arial" w:hAnsi="Arial"/>
                <w:sz w:val="13"/>
                <w:szCs w:val="13"/>
                <w:color w:val="0000EE"/>
                <w:w w:val="94"/>
              </w:rPr>
            </w:pPr>
            <w:hyperlink w:anchor="page15">
              <w:r>
                <w:rPr>
                  <w:rFonts w:ascii="Arial" w:cs="Arial" w:eastAsia="Arial" w:hAnsi="Arial"/>
                  <w:sz w:val="13"/>
                  <w:szCs w:val="13"/>
                  <w:color w:val="0000EE"/>
                  <w:w w:val="94"/>
                </w:rPr>
                <w:t>Item 1A.</w:t>
              </w:r>
            </w:hyperlink>
          </w:p>
        </w:tc>
        <w:tc>
          <w:tcPr>
            <w:tcW w:w="560" w:type="dxa"/>
            <w:vAlign w:val="bottom"/>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15">
              <w:r>
                <w:rPr>
                  <w:rFonts w:ascii="Arial" w:cs="Arial" w:eastAsia="Arial" w:hAnsi="Arial"/>
                  <w:sz w:val="13"/>
                  <w:szCs w:val="13"/>
                  <w:color w:val="0000EE"/>
                  <w:w w:val="88"/>
                </w:rPr>
                <w:t>Risk Factors</w:t>
              </w:r>
            </w:hyperlink>
          </w:p>
        </w:tc>
        <w:tc>
          <w:tcPr>
            <w:tcW w:w="7520" w:type="dxa"/>
            <w:vAlign w:val="bottom"/>
            <w:gridSpan w:val="22"/>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w:t>
            </w:r>
          </w:p>
        </w:tc>
      </w:tr>
      <w:tr>
        <w:trPr>
          <w:trHeight w:val="137"/>
        </w:trPr>
        <w:tc>
          <w:tcPr>
            <w:tcW w:w="460" w:type="dxa"/>
            <w:vAlign w:val="bottom"/>
            <w:gridSpan w:val="2"/>
          </w:tcPr>
          <w:p>
            <w:pPr>
              <w:spacing w:after="0" w:line="138" w:lineRule="exact"/>
              <w:rPr>
                <w:rFonts w:ascii="Arial" w:cs="Arial" w:eastAsia="Arial" w:hAnsi="Arial"/>
                <w:sz w:val="13"/>
                <w:szCs w:val="13"/>
                <w:color w:val="0000EE"/>
                <w:w w:val="90"/>
              </w:rPr>
            </w:pPr>
            <w:hyperlink w:anchor="page20">
              <w:r>
                <w:rPr>
                  <w:rFonts w:ascii="Arial" w:cs="Arial" w:eastAsia="Arial" w:hAnsi="Arial"/>
                  <w:sz w:val="13"/>
                  <w:szCs w:val="13"/>
                  <w:color w:val="0000EE"/>
                  <w:w w:val="90"/>
                </w:rPr>
                <w:t>Item 1B.</w:t>
              </w:r>
            </w:hyperlink>
          </w:p>
        </w:tc>
        <w:tc>
          <w:tcPr>
            <w:tcW w:w="580" w:type="dxa"/>
            <w:vAlign w:val="bottom"/>
            <w:gridSpan w:val="2"/>
          </w:tcPr>
          <w:p>
            <w:pPr>
              <w:spacing w:after="0"/>
              <w:rPr>
                <w:sz w:val="11"/>
                <w:szCs w:val="11"/>
                <w:color w:val="auto"/>
              </w:rPr>
            </w:pPr>
          </w:p>
        </w:tc>
        <w:tc>
          <w:tcPr>
            <w:tcW w:w="8180" w:type="dxa"/>
            <w:vAlign w:val="bottom"/>
            <w:gridSpan w:val="25"/>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Unresolved Staff Comments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17</w:t>
            </w:r>
          </w:p>
        </w:tc>
      </w:tr>
      <w:tr>
        <w:trPr>
          <w:trHeight w:val="137"/>
        </w:trPr>
        <w:tc>
          <w:tcPr>
            <w:tcW w:w="460" w:type="dxa"/>
            <w:vAlign w:val="bottom"/>
            <w:tcBorders>
              <w:top w:val="single" w:sz="8" w:color="0000EE"/>
            </w:tcBorders>
            <w:gridSpan w:val="2"/>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Item 2.</w:t>
              </w:r>
            </w:hyperlink>
          </w:p>
        </w:tc>
        <w:tc>
          <w:tcPr>
            <w:tcW w:w="580" w:type="dxa"/>
            <w:vAlign w:val="bottom"/>
            <w:gridSpan w:val="2"/>
          </w:tcPr>
          <w:p>
            <w:pPr>
              <w:spacing w:after="0"/>
              <w:rPr>
                <w:sz w:val="11"/>
                <w:szCs w:val="11"/>
                <w:color w:val="auto"/>
              </w:rPr>
            </w:pPr>
          </w:p>
        </w:tc>
        <w:tc>
          <w:tcPr>
            <w:tcW w:w="148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Properties</w:t>
              </w:r>
            </w:hyperlink>
          </w:p>
        </w:tc>
        <w:tc>
          <w:tcPr>
            <w:tcW w:w="6700" w:type="dxa"/>
            <w:vAlign w:val="bottom"/>
            <w:gridSpan w:val="17"/>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17</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Item 3.</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Legal Proceedings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18</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Item 4.</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Submission of Matters to a Vote of Security Holders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18</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22">
              <w:r>
                <w:rPr>
                  <w:rFonts w:ascii="Arial" w:cs="Arial" w:eastAsia="Arial" w:hAnsi="Arial"/>
                  <w:sz w:val="13"/>
                  <w:szCs w:val="13"/>
                  <w:b w:val="1"/>
                  <w:bCs w:val="1"/>
                  <w:color w:val="0000EE"/>
                </w:rPr>
                <w:t>PART II</w:t>
              </w:r>
            </w:hyperlink>
          </w:p>
        </w:tc>
        <w:tc>
          <w:tcPr>
            <w:tcW w:w="4360" w:type="dxa"/>
            <w:vAlign w:val="bottom"/>
            <w:gridSpan w:val="7"/>
          </w:tcPr>
          <w:p>
            <w:pPr>
              <w:spacing w:after="0"/>
              <w:rPr>
                <w:sz w:val="22"/>
                <w:szCs w:val="22"/>
                <w:color w:val="auto"/>
              </w:rPr>
            </w:pPr>
          </w:p>
        </w:tc>
        <w:tc>
          <w:tcPr>
            <w:tcW w:w="38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2">
              <w:r>
                <w:rPr>
                  <w:rFonts w:ascii="Arial" w:cs="Arial" w:eastAsia="Arial" w:hAnsi="Arial"/>
                  <w:sz w:val="13"/>
                  <w:szCs w:val="13"/>
                  <w:color w:val="0000EE"/>
                </w:rPr>
                <w:t>Item 5.</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22">
              <w:r>
                <w:rPr>
                  <w:rFonts w:ascii="Arial" w:cs="Arial" w:eastAsia="Arial" w:hAnsi="Arial"/>
                  <w:sz w:val="13"/>
                  <w:szCs w:val="13"/>
                  <w:color w:val="0000EE"/>
                </w:rPr>
                <w:t>Market for Registrant’s Common Equity, Related Stockholder Matters and Issuer Purchases of Equity Securities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19</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5">
              <w:r>
                <w:rPr>
                  <w:rFonts w:ascii="Arial" w:cs="Arial" w:eastAsia="Arial" w:hAnsi="Arial"/>
                  <w:sz w:val="13"/>
                  <w:szCs w:val="13"/>
                  <w:color w:val="0000EE"/>
                </w:rPr>
                <w:t>Item 6.</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25">
              <w:r>
                <w:rPr>
                  <w:rFonts w:ascii="Arial" w:cs="Arial" w:eastAsia="Arial" w:hAnsi="Arial"/>
                  <w:sz w:val="13"/>
                  <w:szCs w:val="13"/>
                  <w:color w:val="0000EE"/>
                </w:rPr>
                <w:t>Selected Financial Data</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22</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6">
              <w:r>
                <w:rPr>
                  <w:rFonts w:ascii="Arial" w:cs="Arial" w:eastAsia="Arial" w:hAnsi="Arial"/>
                  <w:sz w:val="13"/>
                  <w:szCs w:val="13"/>
                  <w:color w:val="0000EE"/>
                </w:rPr>
                <w:t>Item 7.</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26">
              <w:r>
                <w:rPr>
                  <w:rFonts w:ascii="Arial" w:cs="Arial" w:eastAsia="Arial" w:hAnsi="Arial"/>
                  <w:sz w:val="13"/>
                  <w:szCs w:val="13"/>
                  <w:color w:val="0000EE"/>
                </w:rPr>
                <w:t>Management’s Discussion and Analysis of Financial Condition and Results of Operations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23</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3"/>
          </w:tcPr>
          <w:p>
            <w:pPr>
              <w:spacing w:after="0" w:line="138" w:lineRule="exact"/>
              <w:rPr>
                <w:rFonts w:ascii="Arial" w:cs="Arial" w:eastAsia="Arial" w:hAnsi="Arial"/>
                <w:sz w:val="13"/>
                <w:szCs w:val="13"/>
                <w:color w:val="0000EE"/>
                <w:w w:val="94"/>
              </w:rPr>
            </w:pPr>
            <w:hyperlink w:anchor="page51">
              <w:r>
                <w:rPr>
                  <w:rFonts w:ascii="Arial" w:cs="Arial" w:eastAsia="Arial" w:hAnsi="Arial"/>
                  <w:sz w:val="13"/>
                  <w:szCs w:val="13"/>
                  <w:color w:val="0000EE"/>
                  <w:w w:val="94"/>
                </w:rPr>
                <w:t>Item 7A.</w:t>
              </w:r>
            </w:hyperlink>
          </w:p>
        </w:tc>
        <w:tc>
          <w:tcPr>
            <w:tcW w:w="560" w:type="dxa"/>
            <w:vAlign w:val="bottom"/>
          </w:tcPr>
          <w:p>
            <w:pPr>
              <w:spacing w:after="0"/>
              <w:rPr>
                <w:sz w:val="11"/>
                <w:szCs w:val="11"/>
                <w:color w:val="auto"/>
              </w:rPr>
            </w:pPr>
          </w:p>
        </w:tc>
        <w:tc>
          <w:tcPr>
            <w:tcW w:w="3120" w:type="dxa"/>
            <w:vAlign w:val="bottom"/>
            <w:tcBorders>
              <w:bottom w:val="single" w:sz="8" w:color="0000EE"/>
            </w:tcBorders>
            <w:gridSpan w:val="13"/>
          </w:tcPr>
          <w:p>
            <w:pPr>
              <w:spacing w:after="0" w:line="138" w:lineRule="exact"/>
              <w:rPr>
                <w:rFonts w:ascii="Arial" w:cs="Arial" w:eastAsia="Arial" w:hAnsi="Arial"/>
                <w:sz w:val="13"/>
                <w:szCs w:val="13"/>
                <w:color w:val="0000EE"/>
                <w:w w:val="92"/>
              </w:rPr>
            </w:pPr>
            <w:hyperlink w:anchor="page51">
              <w:r>
                <w:rPr>
                  <w:rFonts w:ascii="Arial" w:cs="Arial" w:eastAsia="Arial" w:hAnsi="Arial"/>
                  <w:sz w:val="13"/>
                  <w:szCs w:val="13"/>
                  <w:color w:val="0000EE"/>
                  <w:w w:val="92"/>
                </w:rPr>
                <w:t>Quantitative and Qualitative Disclosure About Market Risk</w:t>
              </w:r>
            </w:hyperlink>
          </w:p>
        </w:tc>
        <w:tc>
          <w:tcPr>
            <w:tcW w:w="5060" w:type="dxa"/>
            <w:vAlign w:val="bottom"/>
            <w:gridSpan w:val="12"/>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48</w:t>
            </w: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53">
              <w:r>
                <w:rPr>
                  <w:rFonts w:ascii="Arial" w:cs="Arial" w:eastAsia="Arial" w:hAnsi="Arial"/>
                  <w:sz w:val="13"/>
                  <w:szCs w:val="13"/>
                  <w:color w:val="0000EE"/>
                </w:rPr>
                <w:t>Item 8.</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53">
              <w:r>
                <w:rPr>
                  <w:rFonts w:ascii="Arial" w:cs="Arial" w:eastAsia="Arial" w:hAnsi="Arial"/>
                  <w:sz w:val="13"/>
                  <w:szCs w:val="13"/>
                  <w:color w:val="0000EE"/>
                </w:rPr>
                <w:t>Financial Statements and Supplementary Data</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50</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19">
              <w:r>
                <w:rPr>
                  <w:rFonts w:ascii="Arial" w:cs="Arial" w:eastAsia="Arial" w:hAnsi="Arial"/>
                  <w:sz w:val="13"/>
                  <w:szCs w:val="13"/>
                  <w:color w:val="0000EE"/>
                </w:rPr>
                <w:t>Item 9.</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119">
              <w:r>
                <w:rPr>
                  <w:rFonts w:ascii="Arial" w:cs="Arial" w:eastAsia="Arial" w:hAnsi="Arial"/>
                  <w:sz w:val="13"/>
                  <w:szCs w:val="13"/>
                  <w:color w:val="0000EE"/>
                </w:rPr>
                <w:t>Changes in and Disagreements with Accountants on Accounting and Financial Disclosure</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116</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80" w:type="dxa"/>
            <w:vAlign w:val="bottom"/>
            <w:gridSpan w:val="3"/>
          </w:tcPr>
          <w:p>
            <w:pPr>
              <w:spacing w:after="0" w:line="138" w:lineRule="exact"/>
              <w:rPr>
                <w:rFonts w:ascii="Arial" w:cs="Arial" w:eastAsia="Arial" w:hAnsi="Arial"/>
                <w:sz w:val="13"/>
                <w:szCs w:val="13"/>
                <w:color w:val="0000EE"/>
                <w:w w:val="94"/>
              </w:rPr>
            </w:pPr>
            <w:hyperlink w:anchor="page119">
              <w:r>
                <w:rPr>
                  <w:rFonts w:ascii="Arial" w:cs="Arial" w:eastAsia="Arial" w:hAnsi="Arial"/>
                  <w:sz w:val="13"/>
                  <w:szCs w:val="13"/>
                  <w:color w:val="0000EE"/>
                  <w:w w:val="94"/>
                </w:rPr>
                <w:t>Item 9A.</w:t>
              </w:r>
            </w:hyperlink>
          </w:p>
        </w:tc>
        <w:tc>
          <w:tcPr>
            <w:tcW w:w="560" w:type="dxa"/>
            <w:vAlign w:val="bottom"/>
          </w:tcPr>
          <w:p>
            <w:pPr>
              <w:spacing w:after="0"/>
              <w:rPr>
                <w:sz w:val="11"/>
                <w:szCs w:val="11"/>
                <w:color w:val="auto"/>
              </w:rPr>
            </w:pPr>
          </w:p>
        </w:tc>
        <w:tc>
          <w:tcPr>
            <w:tcW w:w="8180" w:type="dxa"/>
            <w:vAlign w:val="bottom"/>
            <w:gridSpan w:val="25"/>
          </w:tcPr>
          <w:p>
            <w:pPr>
              <w:spacing w:after="0" w:line="138" w:lineRule="exact"/>
              <w:rPr>
                <w:rFonts w:ascii="Arial" w:cs="Arial" w:eastAsia="Arial" w:hAnsi="Arial"/>
                <w:sz w:val="13"/>
                <w:szCs w:val="13"/>
                <w:color w:val="0000EE"/>
              </w:rPr>
            </w:pPr>
            <w:hyperlink w:anchor="page119">
              <w:r>
                <w:rPr>
                  <w:rFonts w:ascii="Arial" w:cs="Arial" w:eastAsia="Arial" w:hAnsi="Arial"/>
                  <w:sz w:val="13"/>
                  <w:szCs w:val="13"/>
                  <w:color w:val="0000EE"/>
                </w:rPr>
                <w:t>Controls and Procedures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116</w:t>
            </w:r>
          </w:p>
        </w:tc>
      </w:tr>
      <w:tr>
        <w:trPr>
          <w:trHeight w:val="137"/>
        </w:trPr>
        <w:tc>
          <w:tcPr>
            <w:tcW w:w="480" w:type="dxa"/>
            <w:vAlign w:val="bottom"/>
            <w:tcBorders>
              <w:top w:val="single" w:sz="8" w:color="0000EE"/>
            </w:tcBorders>
            <w:gridSpan w:val="3"/>
          </w:tcPr>
          <w:p>
            <w:pPr>
              <w:spacing w:after="0" w:line="138" w:lineRule="exact"/>
              <w:rPr>
                <w:rFonts w:ascii="Arial" w:cs="Arial" w:eastAsia="Arial" w:hAnsi="Arial"/>
                <w:sz w:val="13"/>
                <w:szCs w:val="13"/>
                <w:color w:val="0000EE"/>
                <w:w w:val="94"/>
              </w:rPr>
            </w:pPr>
            <w:hyperlink w:anchor="page119">
              <w:r>
                <w:rPr>
                  <w:rFonts w:ascii="Arial" w:cs="Arial" w:eastAsia="Arial" w:hAnsi="Arial"/>
                  <w:sz w:val="13"/>
                  <w:szCs w:val="13"/>
                  <w:color w:val="0000EE"/>
                  <w:w w:val="94"/>
                </w:rPr>
                <w:t>Item 9B.</w:t>
              </w:r>
            </w:hyperlink>
          </w:p>
        </w:tc>
        <w:tc>
          <w:tcPr>
            <w:tcW w:w="560" w:type="dxa"/>
            <w:vAlign w:val="bottom"/>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119">
              <w:r>
                <w:rPr>
                  <w:rFonts w:ascii="Arial" w:cs="Arial" w:eastAsia="Arial" w:hAnsi="Arial"/>
                  <w:sz w:val="13"/>
                  <w:szCs w:val="13"/>
                  <w:color w:val="0000EE"/>
                </w:rPr>
                <w:t>Other Information</w:t>
              </w:r>
            </w:hyperlink>
          </w:p>
        </w:tc>
        <w:tc>
          <w:tcPr>
            <w:tcW w:w="6900" w:type="dxa"/>
            <w:vAlign w:val="bottom"/>
            <w:gridSpan w:val="19"/>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116</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119">
              <w:r>
                <w:rPr>
                  <w:rFonts w:ascii="Arial" w:cs="Arial" w:eastAsia="Arial" w:hAnsi="Arial"/>
                  <w:sz w:val="13"/>
                  <w:szCs w:val="13"/>
                  <w:b w:val="1"/>
                  <w:bCs w:val="1"/>
                  <w:color w:val="0000EE"/>
                </w:rPr>
                <w:t>PART III</w:t>
              </w:r>
            </w:hyperlink>
          </w:p>
        </w:tc>
        <w:tc>
          <w:tcPr>
            <w:tcW w:w="4320" w:type="dxa"/>
            <w:vAlign w:val="bottom"/>
            <w:gridSpan w:val="5"/>
          </w:tcPr>
          <w:p>
            <w:pPr>
              <w:spacing w:after="0"/>
              <w:rPr>
                <w:sz w:val="22"/>
                <w:szCs w:val="22"/>
                <w:color w:val="auto"/>
              </w:rPr>
            </w:pPr>
          </w:p>
        </w:tc>
        <w:tc>
          <w:tcPr>
            <w:tcW w:w="38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19">
              <w:r>
                <w:rPr>
                  <w:rFonts w:ascii="Arial" w:cs="Arial" w:eastAsia="Arial" w:hAnsi="Arial"/>
                  <w:sz w:val="13"/>
                  <w:szCs w:val="13"/>
                  <w:color w:val="0000EE"/>
                </w:rPr>
                <w:t>Item 10.</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119">
              <w:r>
                <w:rPr>
                  <w:rFonts w:ascii="Arial" w:cs="Arial" w:eastAsia="Arial" w:hAnsi="Arial"/>
                  <w:sz w:val="13"/>
                  <w:szCs w:val="13"/>
                  <w:color w:val="0000EE"/>
                </w:rPr>
                <w:t>Directors, Executive Officers and Corporate Governance</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116</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19">
              <w:r>
                <w:rPr>
                  <w:rFonts w:ascii="Arial" w:cs="Arial" w:eastAsia="Arial" w:hAnsi="Arial"/>
                  <w:sz w:val="13"/>
                  <w:szCs w:val="13"/>
                  <w:color w:val="0000EE"/>
                </w:rPr>
                <w:t>Item 11.</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119">
              <w:r>
                <w:rPr>
                  <w:rFonts w:ascii="Arial" w:cs="Arial" w:eastAsia="Arial" w:hAnsi="Arial"/>
                  <w:sz w:val="13"/>
                  <w:szCs w:val="13"/>
                  <w:color w:val="0000EE"/>
                </w:rPr>
                <w:t>Executive Compensation</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116</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20">
              <w:r>
                <w:rPr>
                  <w:rFonts w:ascii="Arial" w:cs="Arial" w:eastAsia="Arial" w:hAnsi="Arial"/>
                  <w:sz w:val="13"/>
                  <w:szCs w:val="13"/>
                  <w:color w:val="0000EE"/>
                </w:rPr>
                <w:t>Item 12.</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120">
              <w:r>
                <w:rPr>
                  <w:rFonts w:ascii="Arial" w:cs="Arial" w:eastAsia="Arial" w:hAnsi="Arial"/>
                  <w:sz w:val="13"/>
                  <w:szCs w:val="13"/>
                  <w:color w:val="0000EE"/>
                </w:rPr>
                <w:t>Security Ownership of Certain Beneficial Owners and Management and Related Stockholder Matters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117</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2100" w:type="dxa"/>
            <w:vAlign w:val="bottom"/>
            <w:tcBorders>
              <w:right w:val="single" w:sz="8" w:color="0000EE"/>
            </w:tcBorders>
            <w:gridSpan w:val="9"/>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Item 13.</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Certain Relationships and Related Transactions, and Director Independence</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118</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2100" w:type="dxa"/>
            <w:vAlign w:val="bottom"/>
            <w:tcBorders>
              <w:right w:val="single" w:sz="8" w:color="0000EE"/>
            </w:tcBorders>
            <w:gridSpan w:val="9"/>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Item 14.</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Principal Accounting Fees and Services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118</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60" w:type="dxa"/>
            <w:vAlign w:val="bottom"/>
            <w:gridSpan w:val="11"/>
          </w:tcPr>
          <w:p>
            <w:pPr>
              <w:jc w:val="center"/>
              <w:ind w:right="4340"/>
              <w:spacing w:after="0"/>
              <w:rPr>
                <w:rFonts w:ascii="Arial" w:cs="Arial" w:eastAsia="Arial" w:hAnsi="Arial"/>
                <w:sz w:val="13"/>
                <w:szCs w:val="13"/>
                <w:b w:val="1"/>
                <w:bCs w:val="1"/>
                <w:color w:val="0000EE"/>
              </w:rPr>
            </w:pPr>
            <w:hyperlink w:anchor="page121">
              <w:r>
                <w:rPr>
                  <w:rFonts w:ascii="Arial" w:cs="Arial" w:eastAsia="Arial" w:hAnsi="Arial"/>
                  <w:sz w:val="13"/>
                  <w:szCs w:val="13"/>
                  <w:b w:val="1"/>
                  <w:bCs w:val="1"/>
                  <w:color w:val="0000EE"/>
                </w:rPr>
                <w:t>PART IV</w:t>
              </w:r>
            </w:hyperlink>
          </w:p>
        </w:tc>
        <w:tc>
          <w:tcPr>
            <w:tcW w:w="38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Item 15.</w:t>
              </w:r>
            </w:hyperlink>
          </w:p>
        </w:tc>
        <w:tc>
          <w:tcPr>
            <w:tcW w:w="3340" w:type="dxa"/>
            <w:vAlign w:val="bottom"/>
            <w:gridSpan w:val="15"/>
          </w:tcPr>
          <w:p>
            <w:pPr>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Exhibits, Financial Statement Schedules</w:t>
              </w:r>
            </w:hyperlink>
          </w:p>
        </w:tc>
        <w:tc>
          <w:tcPr>
            <w:tcW w:w="500" w:type="dxa"/>
            <w:vAlign w:val="bottom"/>
            <w:tcBorders>
              <w:top w:val="single" w:sz="8" w:color="0000EE"/>
            </w:tcBorders>
            <w:gridSpan w:val="4"/>
          </w:tcPr>
          <w:p>
            <w:pPr>
              <w:spacing w:after="0"/>
              <w:rPr>
                <w:sz w:val="11"/>
                <w:szCs w:val="11"/>
                <w:color w:val="auto"/>
              </w:rPr>
            </w:pPr>
          </w:p>
        </w:tc>
        <w:tc>
          <w:tcPr>
            <w:tcW w:w="4340" w:type="dxa"/>
            <w:vAlign w:val="bottom"/>
            <w:gridSpan w:val="6"/>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118</w:t>
            </w:r>
          </w:p>
        </w:tc>
      </w:tr>
      <w:tr>
        <w:trPr>
          <w:trHeight w:val="20"/>
        </w:trPr>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First Amendment Agreement to Credit Agreement</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Computation of Ratio of Earnings to Fixed Charges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Subsidiaries of the Registrant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Consent of Independent Registered Public Accounting Firm</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Certification of CEO Pursuant to Rule 15d-14(a)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Certification of CFO Pursuant to Rule 15d-14(a)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Certification of CEO Pursuant to Section 1350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Certification of CFO Pursuant to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102235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4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financial statements presented in this report represent the consolidation of Waste Management, Inc., a Delaware corporation, our wholly-owned and majority-owned subsidiaries and certain variable interest entities for which we have determined that we are the primary beneficiary.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“WMI,” we are referring only to the parent holding company.</w:t>
      </w:r>
    </w:p>
    <w:p>
      <w:pPr>
        <w:spacing w:after="0" w:line="7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At the same time, our parent holding company changed its name from USA Waste Services to Waste Management, Inc. Like WMI, WM Holdings is a holding company and all operations are conducted by subsidiaries. For detail on the financial position, results of operations and cash flows of WMI, WM Holdings and their subsidiaries, see Note 22 to the Consolidated Financial Statements.</w:t>
      </w:r>
    </w:p>
    <w:p>
      <w:pPr>
        <w:spacing w:after="0" w:line="71"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 During 2007, none of our customers accounted for more than 1% of our operating revenue. We employed approximately 47,400 people as of December 31, 2007.</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Strategy</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Company’s goals are targeted at serving five key stakeholders: our customers, our employees, the environment, the communities in which we work, and our shareholders. Our goals are:</w:t>
      </w:r>
    </w:p>
    <w:p>
      <w:pPr>
        <w:spacing w:after="0" w:line="59" w:lineRule="exact"/>
        <w:rPr>
          <w:sz w:val="20"/>
          <w:szCs w:val="20"/>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be the waste solutions provider of choice for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be a best place to work for employees;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be a leader in promoting environmental stewardship;</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be a trusted and valued community partner;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maximize shareholder value.</w:t>
      </w:r>
    </w:p>
    <w:p>
      <w:pPr>
        <w:spacing w:after="0" w:line="96" w:lineRule="exact"/>
        <w:rPr>
          <w:sz w:val="20"/>
          <w:szCs w:val="20"/>
          <w:color w:val="auto"/>
        </w:rPr>
      </w:pPr>
    </w:p>
    <w:p>
      <w:pPr>
        <w:ind w:left="680" w:right="220" w:firstLine="399"/>
        <w:spacing w:after="0" w:line="322" w:lineRule="auto"/>
        <w:rPr>
          <w:sz w:val="20"/>
          <w:szCs w:val="20"/>
          <w:color w:val="auto"/>
        </w:rPr>
      </w:pPr>
      <w:r>
        <w:rPr>
          <w:rFonts w:ascii="Arial" w:cs="Arial" w:eastAsia="Arial" w:hAnsi="Arial"/>
          <w:sz w:val="11"/>
          <w:szCs w:val="11"/>
          <w:color w:val="auto"/>
        </w:rPr>
        <w:t>Our strategy, which we believe will enable us to meet these goals, remains the same as last year: improve our organization and maximize returns to shareholders by focusing on operational excellence, pricing excellence and profitably growing our business. We continue our efforts toward revenue growth through pricing and are continuously working to lower operating and selling, general and administrative costs through process standardization and productivity improvements. Additionally, we have been improving our portfolio of businesses through our “fix or seek exit” initiative. All of these measures help us to generate strong and consistent cash flows from operations that can be used to maximize shareholder value.</w:t>
      </w:r>
    </w:p>
    <w:p>
      <w:pPr>
        <w:spacing w:after="0" w:line="39"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As we move forward, we are building on our strategy to meet the needs of a changing environment and to make the most of the successes we have had so far. As the largest waste services provider in North America, we believe we are well positioned to meet the needs of the customers and communities we serve as they, too, Think Green</w:t>
      </w:r>
      <w:r>
        <w:rPr>
          <w:rFonts w:ascii="Arial" w:cs="Arial" w:eastAsia="Arial" w:hAnsi="Arial"/>
          <w:sz w:val="10"/>
          <w:szCs w:val="10"/>
          <w:color w:val="auto"/>
        </w:rPr>
        <w:t>®</w:t>
      </w:r>
      <w:r>
        <w:rPr>
          <w:rFonts w:ascii="Arial" w:cs="Arial" w:eastAsia="Arial" w:hAnsi="Arial"/>
          <w:sz w:val="12"/>
          <w:szCs w:val="12"/>
          <w:color w:val="auto"/>
        </w:rPr>
        <w:t>. We</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40"/>
        <w:spacing w:after="0" w:line="296" w:lineRule="auto"/>
        <w:rPr>
          <w:sz w:val="20"/>
          <w:szCs w:val="20"/>
          <w:color w:val="auto"/>
        </w:rPr>
      </w:pPr>
      <w:r>
        <w:rPr>
          <w:rFonts w:ascii="Arial" w:cs="Arial" w:eastAsia="Arial" w:hAnsi="Arial"/>
          <w:sz w:val="12"/>
          <w:szCs w:val="12"/>
          <w:color w:val="auto"/>
        </w:rPr>
        <w:t>believe that doing things that will help our customers achieve their environmental goals will help us achieve profitable growth. We regularly help customers reduce, reuse and recycle the waste they produce. We also focus on what is left, and in many cases convert the waste to a usable energy source. By focusing on providing new environmentally responsible and sustainable solutions to our customers’ waste problems, we believe we can create a competitive advantage across all of our lines of business.</w:t>
      </w:r>
    </w:p>
    <w:p>
      <w:pPr>
        <w:spacing w:after="0" w:line="50" w:lineRule="exact"/>
        <w:rPr>
          <w:sz w:val="20"/>
          <w:szCs w:val="20"/>
          <w:color w:val="auto"/>
        </w:rPr>
      </w:pPr>
    </w:p>
    <w:p>
      <w:pPr>
        <w:jc w:val="both"/>
        <w:ind w:left="680" w:right="1140" w:firstLine="399"/>
        <w:spacing w:after="0" w:line="334" w:lineRule="auto"/>
        <w:rPr>
          <w:sz w:val="20"/>
          <w:szCs w:val="20"/>
          <w:color w:val="auto"/>
        </w:rPr>
      </w:pPr>
      <w:r>
        <w:rPr>
          <w:rFonts w:ascii="Arial" w:cs="Arial" w:eastAsia="Arial" w:hAnsi="Arial"/>
          <w:sz w:val="11"/>
          <w:szCs w:val="11"/>
          <w:color w:val="auto"/>
        </w:rPr>
        <w:t>Our focus on operational excellence has provided us a foundation on which to build. We believe we are well positioned to enhance that foundation by seeking profitable growth through targeted sales efforts and acquisitions. We are seeking to grow our current business in a variety of areas, including waste-based energy and single-stream recycling. We also are looking at new ways to grow. We believe we can make investments that are synergistic and that are going to take advantage of what we do best to give us revenue and earnings growth.</w:t>
      </w:r>
    </w:p>
    <w:p>
      <w:pPr>
        <w:spacing w:after="0" w:line="107" w:lineRule="exact"/>
        <w:rPr>
          <w:sz w:val="20"/>
          <w:szCs w:val="20"/>
          <w:color w:val="auto"/>
        </w:rPr>
      </w:pPr>
    </w:p>
    <w:p>
      <w:pPr>
        <w:jc w:val="right"/>
        <w:ind w:right="10140"/>
        <w:spacing w:after="0"/>
        <w:rPr>
          <w:sz w:val="20"/>
          <w:szCs w:val="20"/>
          <w:color w:val="auto"/>
        </w:rPr>
      </w:pPr>
      <w:r>
        <w:rPr>
          <w:rFonts w:ascii="Arial" w:cs="Arial" w:eastAsia="Arial" w:hAnsi="Arial"/>
          <w:sz w:val="13"/>
          <w:szCs w:val="13"/>
          <w:b w:val="1"/>
          <w:bCs w:val="1"/>
          <w:color w:val="auto"/>
        </w:rPr>
        <w:t>Operations</w:t>
      </w:r>
    </w:p>
    <w:p>
      <w:pPr>
        <w:spacing w:after="0" w:line="100" w:lineRule="exact"/>
        <w:rPr>
          <w:sz w:val="20"/>
          <w:szCs w:val="20"/>
          <w:color w:val="auto"/>
        </w:rPr>
      </w:pPr>
    </w:p>
    <w:p>
      <w:pPr>
        <w:jc w:val="right"/>
        <w:ind w:right="10140"/>
        <w:spacing w:after="0"/>
        <w:rPr>
          <w:sz w:val="20"/>
          <w:szCs w:val="20"/>
          <w:color w:val="auto"/>
        </w:rPr>
      </w:pPr>
      <w:r>
        <w:rPr>
          <w:rFonts w:ascii="Arial" w:cs="Arial" w:eastAsia="Arial" w:hAnsi="Arial"/>
          <w:sz w:val="13"/>
          <w:szCs w:val="13"/>
          <w:b w:val="1"/>
          <w:bCs w:val="1"/>
          <w:i w:val="1"/>
          <w:iCs w:val="1"/>
          <w:color w:val="auto"/>
        </w:rPr>
        <w:t>General</w:t>
      </w:r>
    </w:p>
    <w:p>
      <w:pPr>
        <w:spacing w:after="0" w:line="96" w:lineRule="exact"/>
        <w:rPr>
          <w:sz w:val="20"/>
          <w:szCs w:val="20"/>
          <w:color w:val="auto"/>
        </w:rPr>
      </w:pPr>
    </w:p>
    <w:p>
      <w:pPr>
        <w:ind w:left="680" w:right="800" w:firstLine="399"/>
        <w:spacing w:after="0" w:line="257" w:lineRule="auto"/>
        <w:rPr>
          <w:sz w:val="20"/>
          <w:szCs w:val="20"/>
          <w:color w:val="auto"/>
        </w:rPr>
      </w:pPr>
      <w:r>
        <w:rPr>
          <w:rFonts w:ascii="Arial" w:cs="Arial" w:eastAsia="Arial" w:hAnsi="Arial"/>
          <w:sz w:val="13"/>
          <w:szCs w:val="13"/>
          <w:color w:val="auto"/>
        </w:rPr>
        <w:t>We manage and evaluate our principal operations through six operating Groups, of which four are organized by geographic area and two are organized by function. The geographic Groups include our Eastern, Midwest, Southern and Western Groups, and the two functional Groups are our Wheelabrator Group, which provides waste-to-energy services, and our WM Recycle America (“WMRA”) Group, which provides recycling services not managed by our geographic Groups. We also provide additional waste management services that are not managed through our six Groups. These services include in-plant services, where we work at our clients’ facilities to provide environmental management systems and provide opportunities for process improvements and associated cost reductions in their waste management. Other services not managed within our Groups include methane gas recovery and third-party sub-contracted and administrative services. These services are presented in this report as “Other.”</w:t>
      </w:r>
    </w:p>
    <w:p>
      <w:pPr>
        <w:spacing w:after="0" w:line="72"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 xml:space="preserve">The table below shows the total revenues (in millions) contributed annually by each of our reportable segments in the three-year period ended December 31, 2007. More information about our results of operations by reportable segment is included in Note 20 to the Consolidated Financial Statements and in the </w:t>
      </w:r>
      <w:r>
        <w:rPr>
          <w:rFonts w:ascii="Arial" w:cs="Arial" w:eastAsia="Arial" w:hAnsi="Arial"/>
          <w:sz w:val="13"/>
          <w:szCs w:val="13"/>
          <w:i w:val="1"/>
          <w:iCs w:val="1"/>
          <w:color w:val="auto"/>
        </w:rPr>
        <w:t>Management’s Discussion and Analysis of Financial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Condition and Results of Operations, </w:t>
      </w:r>
      <w:r>
        <w:rPr>
          <w:rFonts w:ascii="Arial" w:cs="Arial" w:eastAsia="Arial" w:hAnsi="Arial"/>
          <w:sz w:val="13"/>
          <w:szCs w:val="13"/>
          <w:color w:val="auto"/>
        </w:rPr>
        <w:t>included in this report.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460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3,281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3,614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3,632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Midwest</w:t>
            </w: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2,983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3,003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2,922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4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3,681</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3,759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3,590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Western</w:t>
            </w: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3,508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3,511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3,416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4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868</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WMRA</w:t>
            </w: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953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740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805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4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307</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Intercompany</w:t>
            </w: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(2,271)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(2,449)</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(2,466)</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44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13,310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13,363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13,074</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60" w:type="dxa"/>
            <w:vAlign w:val="bottom"/>
          </w:tcPr>
          <w:p>
            <w:pPr>
              <w:jc w:val="right"/>
              <w:ind w:right="2214"/>
              <w:spacing w:after="0"/>
              <w:rPr>
                <w:sz w:val="20"/>
                <w:szCs w:val="20"/>
                <w:color w:val="auto"/>
              </w:rPr>
            </w:pPr>
            <w:r>
              <w:rPr>
                <w:rFonts w:ascii="Arial" w:cs="Arial" w:eastAsia="Arial" w:hAnsi="Arial"/>
                <w:sz w:val="13"/>
                <w:szCs w:val="13"/>
                <w:color w:val="auto"/>
              </w:rPr>
              <w:t>2</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40" w:type="dxa"/>
            <w:vAlign w:val="bottom"/>
            <w:tcBorders>
              <w:bottom w:val="single" w:sz="8" w:color="808080"/>
            </w:tcBorders>
          </w:tcPr>
          <w:p>
            <w:pPr>
              <w:spacing w:after="0"/>
              <w:rPr>
                <w:sz w:val="14"/>
                <w:szCs w:val="14"/>
                <w:color w:val="auto"/>
              </w:rPr>
            </w:pPr>
          </w:p>
        </w:tc>
        <w:tc>
          <w:tcPr>
            <w:tcW w:w="44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The services we provide include collection, landfill (solid and hazardous waste landfills), transfer, Wheelabrator (waste-to-energy facilities and independent power production plants), recycling and other services, as described below. The following table shows revenues (in millions) contributed by these services for each of the three years indicated:</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8,714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8,837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8,633</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Landfill</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3,047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3,197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3,089</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1,654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1,802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1,756</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Wheelabrator</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868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902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879</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Recycling and other</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1,298</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1,183</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Intercompany</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(2,271)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(2,449)</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(2,466)</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13,310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13,363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13,074</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i w:val="1"/>
          <w:iCs w:val="1"/>
          <w:color w:val="auto"/>
        </w:rPr>
        <w:t xml:space="preserve">Collection. </w:t>
      </w:r>
      <w:r>
        <w:rPr>
          <w:rFonts w:ascii="Arial" w:cs="Arial" w:eastAsia="Arial" w:hAnsi="Arial"/>
          <w:sz w:val="13"/>
          <w:szCs w:val="13"/>
          <w:color w:val="auto"/>
        </w:rPr>
        <w:t>Our commitment to customers begins with a vast waste collection network. Collection involves picking up and transporting waste from where it was generated to a</w:t>
      </w:r>
      <w:r>
        <w:rPr>
          <w:rFonts w:ascii="Arial" w:cs="Arial" w:eastAsia="Arial" w:hAnsi="Arial"/>
          <w:sz w:val="13"/>
          <w:szCs w:val="13"/>
          <w:i w:val="1"/>
          <w:iCs w:val="1"/>
          <w:color w:val="auto"/>
        </w:rPr>
        <w:t xml:space="preserve"> </w:t>
      </w:r>
      <w:r>
        <w:rPr>
          <w:rFonts w:ascii="Arial" w:cs="Arial" w:eastAsia="Arial" w:hAnsi="Arial"/>
          <w:sz w:val="13"/>
          <w:szCs w:val="13"/>
          <w:color w:val="auto"/>
        </w:rPr>
        <w:t>transfer station or disposal site. We generally provide collection services under one of two types of arrangements:</w:t>
      </w:r>
    </w:p>
    <w:p>
      <w:pPr>
        <w:spacing w:after="0" w:line="59" w:lineRule="exact"/>
        <w:rPr>
          <w:sz w:val="20"/>
          <w:szCs w:val="20"/>
          <w:color w:val="auto"/>
        </w:rPr>
      </w:pPr>
    </w:p>
    <w:p>
      <w:pPr>
        <w:ind w:left="1280" w:hanging="190"/>
        <w:spacing w:after="0" w:line="285" w:lineRule="auto"/>
        <w:tabs>
          <w:tab w:leader="none" w:pos="1280" w:val="left"/>
        </w:tabs>
        <w:numPr>
          <w:ilvl w:val="0"/>
          <w:numId w:val="4"/>
        </w:numPr>
        <w:rPr>
          <w:rFonts w:ascii="Arial" w:cs="Arial" w:eastAsia="Arial" w:hAnsi="Arial"/>
          <w:sz w:val="12"/>
          <w:szCs w:val="12"/>
          <w:color w:val="auto"/>
        </w:rPr>
      </w:pPr>
      <w:r>
        <w:rPr>
          <w:rFonts w:ascii="Arial" w:cs="Arial" w:eastAsia="Arial" w:hAnsi="Arial"/>
          <w:sz w:val="12"/>
          <w:szCs w:val="12"/>
          <w:color w:val="auto"/>
        </w:rPr>
        <w:t>For commercial and industrial collection services, typically we have a three-year service agreement.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45" w:lineRule="exact"/>
        <w:rPr>
          <w:rFonts w:ascii="Arial" w:cs="Arial" w:eastAsia="Arial" w:hAnsi="Arial"/>
          <w:sz w:val="12"/>
          <w:szCs w:val="12"/>
          <w:color w:val="auto"/>
        </w:rPr>
      </w:pPr>
    </w:p>
    <w:p>
      <w:pPr>
        <w:ind w:left="1280" w:right="40" w:hanging="190"/>
        <w:spacing w:after="0" w:line="260"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one to five years. We also provide services under individual monthly subscriptions directly to households. The fees for residential collection are either paid by the municipality or authority from their tax revenues or service charges, or are paid directly by the residents receiving the service.</w:t>
      </w:r>
    </w:p>
    <w:p>
      <w:pPr>
        <w:spacing w:after="0" w:line="7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Landfill. </w:t>
      </w:r>
      <w:r>
        <w:rPr>
          <w:rFonts w:ascii="Arial" w:cs="Arial" w:eastAsia="Arial" w:hAnsi="Arial"/>
          <w:sz w:val="13"/>
          <w:szCs w:val="13"/>
          <w:color w:val="auto"/>
        </w:rPr>
        <w:t>Landfills are the main depositories for solid waste in North America and we have the largest network of landfills in North America. Solid waste landfills are built and</w:t>
      </w:r>
      <w:r>
        <w:rPr>
          <w:rFonts w:ascii="Arial" w:cs="Arial" w:eastAsia="Arial" w:hAnsi="Arial"/>
          <w:sz w:val="13"/>
          <w:szCs w:val="13"/>
          <w:i w:val="1"/>
          <w:iCs w:val="1"/>
          <w:color w:val="auto"/>
        </w:rPr>
        <w:t xml:space="preserve"> </w:t>
      </w:r>
      <w:r>
        <w:rPr>
          <w:rFonts w:ascii="Arial" w:cs="Arial" w:eastAsia="Arial" w:hAnsi="Arial"/>
          <w:sz w:val="13"/>
          <w:szCs w:val="13"/>
          <w:color w:val="auto"/>
        </w:rPr>
        <w:t>operated on land with geological and hydrological properties that limit the possibility of water pollution, and are operated under prescribed procedures. A landfill must be maintained to meet federal, state or provincial, and local regulations. The operation and closure of a solid waste landfill includes excavation, construction of liners, continuous spreading and compacting of waste, covering of waste with earth or other inert material and constructing final capping of the landfill. These operations are carefully planned to maintain sanitary conditions, to maximize the use of the airspace and to prepare the site so it can ultimately be used for other purposes.</w:t>
      </w:r>
    </w:p>
    <w:p>
      <w:pPr>
        <w:spacing w:after="0" w:line="71"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All solid waste management companies must have access to a disposal facility, such as a solid waste landfill. We believe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competition and the type and weight or volume of solid waste deposited.</w:t>
      </w:r>
    </w:p>
    <w:p>
      <w:pPr>
        <w:spacing w:after="0" w:line="70"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We also operate secure hazardous waste landfills in the United States. Under federal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20"/>
        <w:spacing w:after="0" w:line="258" w:lineRule="auto"/>
        <w:rPr>
          <w:sz w:val="20"/>
          <w:szCs w:val="20"/>
          <w:color w:val="auto"/>
        </w:rPr>
      </w:pPr>
      <w:r>
        <w:rPr>
          <w:rFonts w:ascii="Arial" w:cs="Arial" w:eastAsia="Arial" w:hAnsi="Arial"/>
          <w:sz w:val="13"/>
          <w:szCs w:val="13"/>
          <w:color w:val="auto"/>
        </w:rPr>
        <w:t>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rock formations far below the base of fresh water to a point that is separated by other substantial geological confining layers.</w:t>
      </w:r>
    </w:p>
    <w:p>
      <w:pPr>
        <w:spacing w:after="0" w:line="71" w:lineRule="exact"/>
        <w:rPr>
          <w:sz w:val="20"/>
          <w:szCs w:val="20"/>
          <w:color w:val="auto"/>
        </w:rPr>
      </w:pPr>
    </w:p>
    <w:p>
      <w:pPr>
        <w:ind w:left="680" w:right="920" w:firstLine="399"/>
        <w:spacing w:after="0" w:line="257" w:lineRule="auto"/>
        <w:rPr>
          <w:sz w:val="20"/>
          <w:szCs w:val="20"/>
          <w:color w:val="auto"/>
        </w:rPr>
      </w:pPr>
      <w:r>
        <w:rPr>
          <w:rFonts w:ascii="Arial" w:cs="Arial" w:eastAsia="Arial" w:hAnsi="Arial"/>
          <w:sz w:val="13"/>
          <w:szCs w:val="13"/>
          <w:color w:val="auto"/>
        </w:rPr>
        <w:t>We owned or operated 271 solid waste and six hazardous waste landfills at December 31, 2007 and we owned or operated 277 solid waste and six hazardous waste landfills at December 31, 2006. The landfills that we operate but do not own are generally operated under a lease agreement or an operating contract. The differences between the two arrangements usually relate to the owner of the landfill operating permit. Under lease agreements, the permit typically is in our name and we operate the landfill for its entire life, making payments to the lessor based either on a percentage of revenue or a rate per ton of waste received. We are usually responsible for the closure and post-closure obligations of the landfills we lease. For operating contracts, the property owner owns the permit and we operate the landfill for a contracted term, which may be the life of the landfill. The property owner is generally responsible for closure and post-closure obligations under our operating contracts.</w:t>
      </w:r>
    </w:p>
    <w:p>
      <w:pPr>
        <w:spacing w:after="0" w:line="72" w:lineRule="exact"/>
        <w:rPr>
          <w:sz w:val="20"/>
          <w:szCs w:val="20"/>
          <w:color w:val="auto"/>
        </w:rPr>
      </w:pPr>
    </w:p>
    <w:p>
      <w:pPr>
        <w:ind w:left="680" w:right="860" w:firstLine="399"/>
        <w:spacing w:after="0" w:line="308" w:lineRule="auto"/>
        <w:rPr>
          <w:sz w:val="20"/>
          <w:szCs w:val="20"/>
          <w:color w:val="auto"/>
        </w:rPr>
      </w:pPr>
      <w:r>
        <w:rPr>
          <w:rFonts w:ascii="Arial" w:cs="Arial" w:eastAsia="Arial" w:hAnsi="Arial"/>
          <w:sz w:val="11"/>
          <w:szCs w:val="11"/>
          <w:color w:val="auto"/>
        </w:rPr>
        <w:t xml:space="preserve">Based on remaining permitted airspace as of December 31, 2007 and projected annual disposal volumes, the weighted average remaining landfill life for all of our owned or operated landfills is approximately 30 years. Many of our landfills have the potential for expanded disposal capacity beyond what is currently permitted. We monitor the availability of permitted disposal capacity at each of our landfills and evaluate whether to pursue an expansion at a given landfill based on estimated future waste volumes and prices, remaining capacity and likelihood of obtaining an expansion permit. We are currently seeking expansion permits at 54 of our landfills for which we consider expansions to be likely. Although no assurances can be made that all future expansions will be permitted or permitted as designed, the weighted average remaining landfill life for all owned or operated landfills is approximately 37 years when considering remaining permitted airspace, expansion airspace and projected annual disposal volume. Remaining permitted airspace and expansion airspace are defined in the </w:t>
      </w:r>
      <w:r>
        <w:rPr>
          <w:rFonts w:ascii="Arial" w:cs="Arial" w:eastAsia="Arial" w:hAnsi="Arial"/>
          <w:sz w:val="11"/>
          <w:szCs w:val="11"/>
          <w:i w:val="1"/>
          <w:iCs w:val="1"/>
          <w:color w:val="auto"/>
        </w:rPr>
        <w:t>Management’s</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Discussion and Analysis of Financial Condition and Results of Operations </w:t>
      </w:r>
      <w:r>
        <w:rPr>
          <w:rFonts w:ascii="Arial" w:cs="Arial" w:eastAsia="Arial" w:hAnsi="Arial"/>
          <w:sz w:val="11"/>
          <w:szCs w:val="11"/>
          <w:color w:val="auto"/>
        </w:rPr>
        <w:t>section of this report under “— Critical Accounting Estimates and Assumptions.” At December 31, 2007 and</w:t>
      </w:r>
      <w:r>
        <w:rPr>
          <w:rFonts w:ascii="Arial" w:cs="Arial" w:eastAsia="Arial" w:hAnsi="Arial"/>
          <w:sz w:val="11"/>
          <w:szCs w:val="11"/>
          <w:i w:val="1"/>
          <w:iCs w:val="1"/>
          <w:color w:val="auto"/>
        </w:rPr>
        <w:t xml:space="preserve"> </w:t>
      </w:r>
      <w:r>
        <w:rPr>
          <w:rFonts w:ascii="Arial" w:cs="Arial" w:eastAsia="Arial" w:hAnsi="Arial"/>
          <w:sz w:val="11"/>
          <w:szCs w:val="11"/>
          <w:color w:val="auto"/>
        </w:rPr>
        <w:t>2006, the expected remaining capacity in cubic yards and tonnage of waste that can be accepted at our owned or operated landfills is shown below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58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December 31, 2007</w:t>
            </w:r>
          </w:p>
        </w:tc>
        <w:tc>
          <w:tcPr>
            <w:tcW w:w="6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0"/>
                <w:szCs w:val="10"/>
                <w:b w:val="1"/>
                <w:bCs w:val="1"/>
                <w:color w:val="auto"/>
              </w:rPr>
              <w:t>December 31, 2006</w:t>
            </w:r>
          </w:p>
        </w:tc>
        <w:tc>
          <w:tcPr>
            <w:tcW w:w="58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580" w:type="dxa"/>
            <w:vAlign w:val="bottom"/>
          </w:tcPr>
          <w:p>
            <w:pPr>
              <w:spacing w:after="0"/>
              <w:rPr>
                <w:sz w:val="7"/>
                <w:szCs w:val="7"/>
                <w:color w:val="auto"/>
              </w:rPr>
            </w:pPr>
          </w:p>
        </w:tc>
        <w:tc>
          <w:tcPr>
            <w:tcW w:w="86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rPr>
              <w:t>Remaining</w:t>
            </w:r>
          </w:p>
        </w:tc>
        <w:tc>
          <w:tcPr>
            <w:tcW w:w="260" w:type="dxa"/>
            <w:vAlign w:val="bottom"/>
          </w:tcPr>
          <w:p>
            <w:pPr>
              <w:spacing w:after="0"/>
              <w:rPr>
                <w:sz w:val="7"/>
                <w:szCs w:val="7"/>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Expansion</w:t>
            </w: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1"/>
              </w:rPr>
              <w:t>Total</w:t>
            </w:r>
          </w:p>
        </w:tc>
        <w:tc>
          <w:tcPr>
            <w:tcW w:w="82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rPr>
              <w:t>Remaining</w:t>
            </w:r>
          </w:p>
        </w:tc>
        <w:tc>
          <w:tcPr>
            <w:tcW w:w="260" w:type="dxa"/>
            <w:vAlign w:val="bottom"/>
          </w:tcPr>
          <w:p>
            <w:pPr>
              <w:spacing w:after="0"/>
              <w:rPr>
                <w:sz w:val="7"/>
                <w:szCs w:val="7"/>
                <w:color w:val="auto"/>
              </w:rPr>
            </w:pP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4"/>
              </w:rPr>
              <w:t>Expansion</w:t>
            </w:r>
          </w:p>
        </w:tc>
        <w:tc>
          <w:tcPr>
            <w:tcW w:w="1480" w:type="dxa"/>
            <w:vAlign w:val="bottom"/>
            <w:gridSpan w:val="2"/>
            <w:vMerge w:val="restart"/>
          </w:tcPr>
          <w:p>
            <w:pPr>
              <w:jc w:val="center"/>
              <w:ind w:right="90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86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5"/>
              </w:rPr>
              <w:t>Permitted</w:t>
            </w:r>
          </w:p>
        </w:tc>
        <w:tc>
          <w:tcPr>
            <w:tcW w:w="2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5"/>
              </w:rPr>
              <w:t>Permitted</w:t>
            </w:r>
          </w:p>
        </w:tc>
        <w:tc>
          <w:tcPr>
            <w:tcW w:w="2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580" w:type="dxa"/>
            <w:vAlign w:val="bottom"/>
          </w:tcPr>
          <w:p>
            <w:pPr>
              <w:spacing w:after="0"/>
              <w:rPr>
                <w:sz w:val="10"/>
                <w:szCs w:val="1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Capacity</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b w:val="1"/>
                <w:bCs w:val="1"/>
                <w:color w:val="auto"/>
              </w:rPr>
              <w:t>Capacity</w:t>
            </w:r>
          </w:p>
        </w:tc>
        <w:tc>
          <w:tcPr>
            <w:tcW w:w="40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Capacity</w:t>
            </w:r>
          </w:p>
        </w:tc>
        <w:tc>
          <w:tcPr>
            <w:tcW w:w="40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Capacity</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Capacity</w:t>
            </w:r>
          </w:p>
        </w:tc>
        <w:tc>
          <w:tcPr>
            <w:tcW w:w="400" w:type="dxa"/>
            <w:vAlign w:val="bottom"/>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Capacity</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580" w:type="dxa"/>
            <w:vAlign w:val="bottom"/>
          </w:tcPr>
          <w:p>
            <w:pPr>
              <w:ind w:left="680"/>
              <w:spacing w:after="0"/>
              <w:rPr>
                <w:sz w:val="20"/>
                <w:szCs w:val="20"/>
                <w:color w:val="auto"/>
              </w:rPr>
            </w:pPr>
            <w:r>
              <w:rPr>
                <w:rFonts w:ascii="Arial" w:cs="Arial" w:eastAsia="Arial" w:hAnsi="Arial"/>
                <w:sz w:val="13"/>
                <w:szCs w:val="13"/>
                <w:color w:val="auto"/>
              </w:rPr>
              <w:t>Remaining cubic yards</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4,265</w:t>
            </w:r>
          </w:p>
        </w:tc>
        <w:tc>
          <w:tcPr>
            <w:tcW w:w="1380" w:type="dxa"/>
            <w:vAlign w:val="bottom"/>
            <w:gridSpan w:val="3"/>
          </w:tcPr>
          <w:p>
            <w:pPr>
              <w:jc w:val="right"/>
              <w:ind w:right="400"/>
              <w:spacing w:after="0"/>
              <w:rPr>
                <w:sz w:val="20"/>
                <w:szCs w:val="20"/>
                <w:color w:val="auto"/>
              </w:rPr>
            </w:pPr>
            <w:r>
              <w:rPr>
                <w:rFonts w:ascii="Arial" w:cs="Arial" w:eastAsia="Arial" w:hAnsi="Arial"/>
                <w:sz w:val="13"/>
                <w:szCs w:val="13"/>
                <w:color w:val="auto"/>
              </w:rPr>
              <w:t>944</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5,209</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4,255</w:t>
            </w:r>
          </w:p>
        </w:tc>
        <w:tc>
          <w:tcPr>
            <w:tcW w:w="1340" w:type="dxa"/>
            <w:vAlign w:val="bottom"/>
            <w:gridSpan w:val="3"/>
          </w:tcPr>
          <w:p>
            <w:pPr>
              <w:jc w:val="right"/>
              <w:ind w:right="400"/>
              <w:spacing w:after="0"/>
              <w:rPr>
                <w:sz w:val="20"/>
                <w:szCs w:val="20"/>
                <w:color w:val="auto"/>
              </w:rPr>
            </w:pPr>
            <w:r>
              <w:rPr>
                <w:rFonts w:ascii="Arial" w:cs="Arial" w:eastAsia="Arial" w:hAnsi="Arial"/>
                <w:sz w:val="13"/>
                <w:szCs w:val="13"/>
                <w:color w:val="auto"/>
              </w:rPr>
              <w:t>1,037</w:t>
            </w:r>
          </w:p>
        </w:tc>
        <w:tc>
          <w:tcPr>
            <w:tcW w:w="1480" w:type="dxa"/>
            <w:vAlign w:val="bottom"/>
            <w:gridSpan w:val="2"/>
          </w:tcPr>
          <w:p>
            <w:pPr>
              <w:jc w:val="right"/>
              <w:ind w:right="900"/>
              <w:spacing w:after="0"/>
              <w:rPr>
                <w:sz w:val="20"/>
                <w:szCs w:val="20"/>
                <w:color w:val="auto"/>
              </w:rPr>
            </w:pPr>
            <w:r>
              <w:rPr>
                <w:rFonts w:ascii="Arial" w:cs="Arial" w:eastAsia="Arial" w:hAnsi="Arial"/>
                <w:sz w:val="13"/>
                <w:szCs w:val="13"/>
                <w:color w:val="auto"/>
              </w:rPr>
              <w:t>5,292</w:t>
            </w:r>
          </w:p>
        </w:tc>
        <w:tc>
          <w:tcPr>
            <w:tcW w:w="0" w:type="dxa"/>
            <w:vAlign w:val="bottom"/>
          </w:tcPr>
          <w:p>
            <w:pPr>
              <w:spacing w:after="0"/>
              <w:rPr>
                <w:sz w:val="1"/>
                <w:szCs w:val="1"/>
                <w:color w:val="auto"/>
              </w:rPr>
            </w:pPr>
          </w:p>
        </w:tc>
      </w:tr>
      <w:tr>
        <w:trPr>
          <w:trHeight w:val="165"/>
        </w:trPr>
        <w:tc>
          <w:tcPr>
            <w:tcW w:w="4580" w:type="dxa"/>
            <w:vAlign w:val="bottom"/>
          </w:tcPr>
          <w:p>
            <w:pPr>
              <w:ind w:left="680"/>
              <w:spacing w:after="0"/>
              <w:rPr>
                <w:sz w:val="20"/>
                <w:szCs w:val="20"/>
                <w:color w:val="auto"/>
              </w:rPr>
            </w:pPr>
            <w:r>
              <w:rPr>
                <w:rFonts w:ascii="Arial" w:cs="Arial" w:eastAsia="Arial" w:hAnsi="Arial"/>
                <w:sz w:val="13"/>
                <w:szCs w:val="13"/>
                <w:color w:val="auto"/>
              </w:rPr>
              <w:t>Remaining tonnage</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3,787</w:t>
            </w:r>
          </w:p>
        </w:tc>
        <w:tc>
          <w:tcPr>
            <w:tcW w:w="1380" w:type="dxa"/>
            <w:vAlign w:val="bottom"/>
            <w:gridSpan w:val="3"/>
          </w:tcPr>
          <w:p>
            <w:pPr>
              <w:jc w:val="right"/>
              <w:ind w:right="400"/>
              <w:spacing w:after="0"/>
              <w:rPr>
                <w:sz w:val="20"/>
                <w:szCs w:val="20"/>
                <w:color w:val="auto"/>
              </w:rPr>
            </w:pPr>
            <w:r>
              <w:rPr>
                <w:rFonts w:ascii="Arial" w:cs="Arial" w:eastAsia="Arial" w:hAnsi="Arial"/>
                <w:sz w:val="13"/>
                <w:szCs w:val="13"/>
                <w:color w:val="auto"/>
              </w:rPr>
              <w:t>893</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4,680</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3,760</w:t>
            </w:r>
          </w:p>
        </w:tc>
        <w:tc>
          <w:tcPr>
            <w:tcW w:w="1340" w:type="dxa"/>
            <w:vAlign w:val="bottom"/>
            <w:gridSpan w:val="3"/>
          </w:tcPr>
          <w:p>
            <w:pPr>
              <w:jc w:val="right"/>
              <w:ind w:right="400"/>
              <w:spacing w:after="0"/>
              <w:rPr>
                <w:sz w:val="20"/>
                <w:szCs w:val="20"/>
                <w:color w:val="auto"/>
              </w:rPr>
            </w:pPr>
            <w:r>
              <w:rPr>
                <w:rFonts w:ascii="Arial" w:cs="Arial" w:eastAsia="Arial" w:hAnsi="Arial"/>
                <w:sz w:val="13"/>
                <w:szCs w:val="13"/>
                <w:color w:val="auto"/>
              </w:rPr>
              <w:t>959</w:t>
            </w:r>
          </w:p>
        </w:tc>
        <w:tc>
          <w:tcPr>
            <w:tcW w:w="1480" w:type="dxa"/>
            <w:vAlign w:val="bottom"/>
            <w:gridSpan w:val="2"/>
          </w:tcPr>
          <w:p>
            <w:pPr>
              <w:jc w:val="right"/>
              <w:ind w:right="900"/>
              <w:spacing w:after="0"/>
              <w:rPr>
                <w:sz w:val="20"/>
                <w:szCs w:val="20"/>
                <w:color w:val="auto"/>
              </w:rPr>
            </w:pPr>
            <w:r>
              <w:rPr>
                <w:rFonts w:ascii="Arial" w:cs="Arial" w:eastAsia="Arial" w:hAnsi="Arial"/>
                <w:sz w:val="13"/>
                <w:szCs w:val="13"/>
                <w:color w:val="auto"/>
              </w:rPr>
              <w:t>4,719</w:t>
            </w:r>
          </w:p>
        </w:tc>
        <w:tc>
          <w:tcPr>
            <w:tcW w:w="0" w:type="dxa"/>
            <w:vAlign w:val="bottom"/>
          </w:tcPr>
          <w:p>
            <w:pPr>
              <w:spacing w:after="0"/>
              <w:rPr>
                <w:sz w:val="1"/>
                <w:szCs w:val="1"/>
                <w:color w:val="auto"/>
              </w:rPr>
            </w:pPr>
          </w:p>
        </w:tc>
      </w:tr>
      <w:tr>
        <w:trPr>
          <w:trHeight w:val="452"/>
        </w:trPr>
        <w:tc>
          <w:tcPr>
            <w:tcW w:w="4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4</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5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20" w:firstLine="399"/>
        <w:spacing w:after="0" w:line="276" w:lineRule="auto"/>
        <w:rPr>
          <w:sz w:val="20"/>
          <w:szCs w:val="20"/>
          <w:color w:val="auto"/>
        </w:rPr>
      </w:pPr>
      <w:r>
        <w:rPr>
          <w:rFonts w:ascii="Arial" w:cs="Arial" w:eastAsia="Arial" w:hAnsi="Arial"/>
          <w:sz w:val="13"/>
          <w:szCs w:val="13"/>
          <w:color w:val="auto"/>
        </w:rPr>
        <w:t>The following table reflects landfill capacity and airspace changes, as measured in tons of waste, for landfills owned or operated by us during the years ended December 31, 2007 and 2006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0"/>
                <w:szCs w:val="10"/>
                <w:b w:val="1"/>
                <w:bCs w:val="1"/>
                <w:color w:val="auto"/>
              </w:rPr>
              <w:t>December 31, 2007</w:t>
            </w:r>
          </w:p>
        </w:tc>
        <w:tc>
          <w:tcPr>
            <w:tcW w:w="6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0"/>
                <w:szCs w:val="10"/>
                <w:b w:val="1"/>
                <w:bCs w:val="1"/>
                <w:color w:val="auto"/>
              </w:rPr>
              <w:t>December 31, 2006</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88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rPr>
              <w:t>Remaining</w:t>
            </w:r>
          </w:p>
        </w:tc>
        <w:tc>
          <w:tcPr>
            <w:tcW w:w="240" w:type="dxa"/>
            <w:vAlign w:val="bottom"/>
          </w:tcPr>
          <w:p>
            <w:pPr>
              <w:spacing w:after="0"/>
              <w:rPr>
                <w:sz w:val="7"/>
                <w:szCs w:val="7"/>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0"/>
                <w:szCs w:val="10"/>
                <w:b w:val="1"/>
                <w:bCs w:val="1"/>
                <w:color w:val="auto"/>
              </w:rPr>
              <w:t>Expansion</w:t>
            </w: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0"/>
                <w:szCs w:val="10"/>
                <w:b w:val="1"/>
                <w:bCs w:val="1"/>
                <w:color w:val="auto"/>
              </w:rPr>
              <w:t>Total</w:t>
            </w:r>
          </w:p>
        </w:tc>
        <w:tc>
          <w:tcPr>
            <w:tcW w:w="84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rPr>
              <w:t>Remaining</w:t>
            </w:r>
          </w:p>
        </w:tc>
        <w:tc>
          <w:tcPr>
            <w:tcW w:w="240" w:type="dxa"/>
            <w:vAlign w:val="bottom"/>
          </w:tcPr>
          <w:p>
            <w:pPr>
              <w:spacing w:after="0"/>
              <w:rPr>
                <w:sz w:val="7"/>
                <w:szCs w:val="7"/>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Expansion</w:t>
            </w: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5"/>
              </w:rPr>
              <w:t>Permitted</w:t>
            </w: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5"/>
              </w:rPr>
              <w:t>Permitted</w:t>
            </w:r>
          </w:p>
        </w:tc>
        <w:tc>
          <w:tcPr>
            <w:tcW w:w="2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Capacity</w:t>
            </w:r>
          </w:p>
        </w:tc>
        <w:tc>
          <w:tcPr>
            <w:tcW w:w="240" w:type="dxa"/>
            <w:vAlign w:val="bottom"/>
          </w:tcPr>
          <w:p>
            <w:pPr>
              <w:spacing w:after="0"/>
              <w:rPr>
                <w:sz w:val="10"/>
                <w:szCs w:val="1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Capacity</w:t>
            </w: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Capacity</w:t>
            </w: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Capacity</w:t>
            </w:r>
          </w:p>
        </w:tc>
        <w:tc>
          <w:tcPr>
            <w:tcW w:w="240" w:type="dxa"/>
            <w:vAlign w:val="bottom"/>
          </w:tcPr>
          <w:p>
            <w:pPr>
              <w:spacing w:after="0"/>
              <w:rPr>
                <w:sz w:val="10"/>
                <w:szCs w:val="1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Capacity</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Capacity</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beginning of year</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3,760</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959</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4,719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3,460</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1,196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4,656</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Acquisitions, divestitures, newly permitted landfills and closures</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(5)</w:t>
            </w:r>
          </w:p>
        </w:tc>
        <w:tc>
          <w:tcPr>
            <w:tcW w:w="1360" w:type="dxa"/>
            <w:vAlign w:val="bottom"/>
            <w:gridSpan w:val="3"/>
          </w:tcPr>
          <w:p>
            <w:pPr>
              <w:jc w:val="right"/>
              <w:ind w:right="360"/>
              <w:spacing w:after="0"/>
              <w:rPr>
                <w:sz w:val="20"/>
                <w:szCs w:val="20"/>
                <w:color w:val="auto"/>
              </w:rPr>
            </w:pPr>
            <w:r>
              <w:rPr>
                <w:rFonts w:ascii="Arial" w:cs="Arial" w:eastAsia="Arial" w:hAnsi="Arial"/>
                <w:sz w:val="13"/>
                <w:szCs w:val="13"/>
                <w:color w:val="auto"/>
              </w:rPr>
              <w:t>(15)</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(20)</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4</w:t>
            </w:r>
          </w:p>
        </w:tc>
        <w:tc>
          <w:tcPr>
            <w:tcW w:w="24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Changes in expansions pursued</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60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103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Expansion permits granted</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128</w:t>
            </w:r>
          </w:p>
        </w:tc>
        <w:tc>
          <w:tcPr>
            <w:tcW w:w="1360" w:type="dxa"/>
            <w:vAlign w:val="bottom"/>
            <w:gridSpan w:val="3"/>
          </w:tcPr>
          <w:p>
            <w:pPr>
              <w:jc w:val="right"/>
              <w:ind w:right="360"/>
              <w:spacing w:after="0"/>
              <w:rPr>
                <w:sz w:val="20"/>
                <w:szCs w:val="20"/>
                <w:color w:val="auto"/>
              </w:rPr>
            </w:pPr>
            <w:r>
              <w:rPr>
                <w:rFonts w:ascii="Arial" w:cs="Arial" w:eastAsia="Arial" w:hAnsi="Arial"/>
                <w:sz w:val="13"/>
                <w:szCs w:val="13"/>
                <w:color w:val="auto"/>
              </w:rPr>
              <w:t>(128)</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387</w:t>
            </w:r>
          </w:p>
        </w:tc>
        <w:tc>
          <w:tcPr>
            <w:tcW w:w="1320" w:type="dxa"/>
            <w:vAlign w:val="bottom"/>
            <w:gridSpan w:val="3"/>
          </w:tcPr>
          <w:p>
            <w:pPr>
              <w:jc w:val="right"/>
              <w:ind w:right="360"/>
              <w:spacing w:after="0"/>
              <w:rPr>
                <w:sz w:val="20"/>
                <w:szCs w:val="20"/>
                <w:color w:val="auto"/>
              </w:rPr>
            </w:pPr>
            <w:r>
              <w:rPr>
                <w:rFonts w:ascii="Arial" w:cs="Arial" w:eastAsia="Arial" w:hAnsi="Arial"/>
                <w:sz w:val="13"/>
                <w:szCs w:val="13"/>
                <w:color w:val="auto"/>
              </w:rPr>
              <w:t>(387)</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Airspace consumed</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(114)</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(126)</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Changes in engineering estimates and other(a)</w:t>
            </w:r>
          </w:p>
        </w:tc>
        <w:tc>
          <w:tcPr>
            <w:tcW w:w="720" w:type="dxa"/>
            <w:vAlign w:val="bottom"/>
          </w:tcPr>
          <w:p>
            <w:pPr>
              <w:jc w:val="right"/>
              <w:spacing w:after="0"/>
              <w:rPr>
                <w:sz w:val="20"/>
                <w:szCs w:val="20"/>
                <w:color w:val="auto"/>
              </w:rPr>
            </w:pPr>
            <w:r>
              <w:rPr>
                <w:rFonts w:ascii="Arial" w:cs="Arial" w:eastAsia="Arial" w:hAnsi="Arial"/>
                <w:sz w:val="13"/>
                <w:szCs w:val="13"/>
                <w:color w:val="auto"/>
              </w:rPr>
              <w:t>18</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w:t>
            </w:r>
          </w:p>
        </w:tc>
        <w:tc>
          <w:tcPr>
            <w:tcW w:w="4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35</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35</w:t>
            </w:r>
          </w:p>
        </w:tc>
        <w:tc>
          <w:tcPr>
            <w:tcW w:w="1320" w:type="dxa"/>
            <w:vAlign w:val="bottom"/>
            <w:gridSpan w:val="3"/>
          </w:tcPr>
          <w:p>
            <w:pPr>
              <w:jc w:val="right"/>
              <w:ind w:right="400"/>
              <w:spacing w:after="0"/>
              <w:rPr>
                <w:sz w:val="20"/>
                <w:szCs w:val="20"/>
                <w:color w:val="auto"/>
              </w:rPr>
            </w:pPr>
            <w:r>
              <w:rPr>
                <w:rFonts w:ascii="Arial" w:cs="Arial" w:eastAsia="Arial" w:hAnsi="Arial"/>
                <w:sz w:val="13"/>
                <w:szCs w:val="13"/>
                <w:color w:val="auto"/>
              </w:rPr>
              <w:t>47</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end of year</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3,787</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w:t>
            </w:r>
          </w:p>
        </w:tc>
        <w:tc>
          <w:tcPr>
            <w:tcW w:w="4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4,680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3,760</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959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4,719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820" w:hanging="493"/>
        <w:spacing w:after="0" w:line="282" w:lineRule="auto"/>
        <w:tabs>
          <w:tab w:leader="none" w:pos="118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Changes in engineering estimates can result in changes to the estimated available remaining capacity of a landfill or changes in the utilization of such landfill capacity,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and anticipated access to moisture through precipitation or recirculation of landfill leachate. We continually focus on improving the utilization of airspace through efforts that include recirculating landfill leachate where allowed by permit; optimizing the placement of daily cover materials; and increasing initial compaction through improved landfill equipment, operations and training.</w:t>
      </w:r>
    </w:p>
    <w:p>
      <w:pPr>
        <w:spacing w:after="0" w:line="59" w:lineRule="exact"/>
        <w:rPr>
          <w:sz w:val="20"/>
          <w:szCs w:val="20"/>
          <w:color w:val="auto"/>
        </w:rPr>
      </w:pPr>
    </w:p>
    <w:p>
      <w:pPr>
        <w:ind w:left="680" w:right="980" w:firstLine="399"/>
        <w:spacing w:after="0" w:line="276" w:lineRule="auto"/>
        <w:rPr>
          <w:sz w:val="20"/>
          <w:szCs w:val="20"/>
          <w:color w:val="auto"/>
        </w:rPr>
      </w:pPr>
      <w:r>
        <w:rPr>
          <w:rFonts w:ascii="Arial" w:cs="Arial" w:eastAsia="Arial" w:hAnsi="Arial"/>
          <w:sz w:val="13"/>
          <w:szCs w:val="13"/>
          <w:color w:val="auto"/>
        </w:rPr>
        <w:t>The number of landfills we own or operate as of December 31, 2007, segregated by their estimated operating lives (in years), based on remaining permitted and expansion airspace and projected annual disposal volume was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78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0 to 5</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6 to 10</w:t>
            </w:r>
          </w:p>
        </w:tc>
        <w:tc>
          <w:tcPr>
            <w:tcW w:w="88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11 to 20</w:t>
            </w:r>
          </w:p>
        </w:tc>
        <w:tc>
          <w:tcPr>
            <w:tcW w:w="88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21 to 40</w:t>
            </w:r>
          </w:p>
        </w:tc>
        <w:tc>
          <w:tcPr>
            <w:tcW w:w="240" w:type="dxa"/>
            <w:vAlign w:val="bottom"/>
          </w:tcPr>
          <w:p>
            <w:pPr>
              <w:jc w:val="right"/>
              <w:spacing w:after="0"/>
              <w:rPr>
                <w:sz w:val="20"/>
                <w:szCs w:val="20"/>
                <w:color w:val="auto"/>
              </w:rPr>
            </w:pPr>
            <w:r>
              <w:rPr>
                <w:rFonts w:ascii="Arial" w:cs="Arial" w:eastAsia="Arial" w:hAnsi="Arial"/>
                <w:sz w:val="10"/>
                <w:szCs w:val="10"/>
                <w:b w:val="1"/>
                <w:bCs w:val="1"/>
                <w:color w:val="auto"/>
              </w:rPr>
              <w:t>41+</w:t>
            </w:r>
          </w:p>
        </w:tc>
        <w:tc>
          <w:tcPr>
            <w:tcW w:w="380" w:type="dxa"/>
            <w:vAlign w:val="bottom"/>
          </w:tcPr>
          <w:p>
            <w:pPr>
              <w:spacing w:after="0"/>
              <w:rPr>
                <w:sz w:val="10"/>
                <w:szCs w:val="10"/>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Total</w:t>
            </w:r>
          </w:p>
        </w:tc>
      </w:tr>
      <w:tr>
        <w:trPr>
          <w:trHeight w:val="29"/>
        </w:trPr>
        <w:tc>
          <w:tcPr>
            <w:tcW w:w="57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5780" w:type="dxa"/>
            <w:vAlign w:val="bottom"/>
            <w:shd w:val="clear" w:color="auto" w:fill="CCEEFF"/>
          </w:tcPr>
          <w:p>
            <w:pPr>
              <w:spacing w:after="0"/>
              <w:rPr>
                <w:sz w:val="20"/>
                <w:szCs w:val="20"/>
                <w:color w:val="auto"/>
              </w:rPr>
            </w:pPr>
            <w:r>
              <w:rPr>
                <w:rFonts w:ascii="Arial" w:cs="Arial" w:eastAsia="Arial" w:hAnsi="Arial"/>
                <w:sz w:val="13"/>
                <w:szCs w:val="13"/>
                <w:color w:val="auto"/>
              </w:rPr>
              <w:t>Owned/operated through lease</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242</w:t>
            </w:r>
          </w:p>
        </w:tc>
      </w:tr>
      <w:tr>
        <w:trPr>
          <w:trHeight w:val="157"/>
        </w:trPr>
        <w:tc>
          <w:tcPr>
            <w:tcW w:w="5780" w:type="dxa"/>
            <w:vAlign w:val="bottom"/>
          </w:tcPr>
          <w:p>
            <w:pPr>
              <w:spacing w:after="0"/>
              <w:rPr>
                <w:sz w:val="20"/>
                <w:szCs w:val="20"/>
                <w:color w:val="auto"/>
              </w:rPr>
            </w:pPr>
            <w:r>
              <w:rPr>
                <w:rFonts w:ascii="Arial" w:cs="Arial" w:eastAsia="Arial" w:hAnsi="Arial"/>
                <w:sz w:val="13"/>
                <w:szCs w:val="13"/>
                <w:color w:val="auto"/>
              </w:rPr>
              <w:t>Operating contracts</w:t>
            </w:r>
          </w:p>
        </w:tc>
        <w:tc>
          <w:tcPr>
            <w:tcW w:w="300" w:type="dxa"/>
            <w:vAlign w:val="bottom"/>
          </w:tcPr>
          <w:p>
            <w:pPr>
              <w:jc w:val="right"/>
              <w:spacing w:after="0"/>
              <w:rPr>
                <w:sz w:val="20"/>
                <w:szCs w:val="20"/>
                <w:color w:val="auto"/>
              </w:rPr>
            </w:pPr>
            <w:r>
              <w:rPr>
                <w:rFonts w:ascii="Arial" w:cs="Arial" w:eastAsia="Arial" w:hAnsi="Arial"/>
                <w:sz w:val="13"/>
                <w:szCs w:val="13"/>
                <w:color w:val="auto"/>
              </w:rPr>
              <w:t>14</w:t>
            </w: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w:t>
            </w:r>
          </w:p>
        </w:tc>
        <w:tc>
          <w:tcPr>
            <w:tcW w:w="4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8</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620" w:type="dxa"/>
            <w:vAlign w:val="bottom"/>
            <w:gridSpan w:val="2"/>
          </w:tcPr>
          <w:p>
            <w:pPr>
              <w:jc w:val="right"/>
              <w:ind w:right="380"/>
              <w:spacing w:after="0"/>
              <w:rPr>
                <w:sz w:val="20"/>
                <w:szCs w:val="20"/>
                <w:color w:val="auto"/>
              </w:rPr>
            </w:pPr>
            <w:r>
              <w:rPr>
                <w:rFonts w:ascii="Arial" w:cs="Arial" w:eastAsia="Arial" w:hAnsi="Arial"/>
                <w:sz w:val="13"/>
                <w:szCs w:val="13"/>
                <w:color w:val="auto"/>
              </w:rPr>
              <w:t>4</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35</w:t>
            </w:r>
          </w:p>
        </w:tc>
      </w:tr>
      <w:tr>
        <w:trPr>
          <w:trHeight w:val="20"/>
        </w:trPr>
        <w:tc>
          <w:tcPr>
            <w:tcW w:w="5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5780" w:type="dxa"/>
            <w:vAlign w:val="bottom"/>
            <w:shd w:val="clear" w:color="auto" w:fill="CCEEFF"/>
          </w:tcPr>
          <w:p>
            <w:pPr>
              <w:spacing w:after="0"/>
              <w:rPr>
                <w:sz w:val="20"/>
                <w:szCs w:val="20"/>
                <w:color w:val="auto"/>
              </w:rPr>
            </w:pPr>
            <w:r>
              <w:rPr>
                <w:rFonts w:ascii="Arial" w:cs="Arial" w:eastAsia="Arial" w:hAnsi="Arial"/>
                <w:sz w:val="13"/>
                <w:szCs w:val="13"/>
                <w:color w:val="auto"/>
              </w:rPr>
              <w:t>Total landfills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4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277</w:t>
            </w:r>
          </w:p>
        </w:tc>
      </w:tr>
      <w:tr>
        <w:trPr>
          <w:trHeight w:val="29"/>
        </w:trPr>
        <w:tc>
          <w:tcPr>
            <w:tcW w:w="57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90"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 xml:space="preserve">The volume of waste that we received in 2007 was lower than in 2006, primarily as a result of pricing competition and a slow down in residential construction, which are discussed in the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xml:space="preserve"> section of this report. The tons received at our landfills in 2007 and 2006 are shown below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0"/>
                <w:szCs w:val="10"/>
                <w:b w:val="1"/>
                <w:bCs w:val="1"/>
                <w:color w:val="auto"/>
              </w:rPr>
              <w:t>2007</w:t>
            </w:r>
          </w:p>
        </w:tc>
        <w:tc>
          <w:tcPr>
            <w:tcW w:w="4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2006</w:t>
            </w:r>
          </w:p>
        </w:tc>
        <w:tc>
          <w:tcPr>
            <w:tcW w:w="4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81"/>
        </w:trPr>
        <w:tc>
          <w:tcPr>
            <w:tcW w:w="680" w:type="dxa"/>
            <w:vAlign w:val="bottom"/>
          </w:tcPr>
          <w:p>
            <w:pPr>
              <w:spacing w:after="0"/>
              <w:rPr>
                <w:sz w:val="7"/>
                <w:szCs w:val="7"/>
                <w:color w:val="auto"/>
              </w:rPr>
            </w:pPr>
          </w:p>
        </w:tc>
        <w:tc>
          <w:tcPr>
            <w:tcW w:w="4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gridSpan w:val="2"/>
          </w:tcPr>
          <w:p>
            <w:pPr>
              <w:jc w:val="right"/>
              <w:ind w:right="500"/>
              <w:spacing w:after="0" w:line="81" w:lineRule="exact"/>
              <w:rPr>
                <w:sz w:val="20"/>
                <w:szCs w:val="20"/>
                <w:color w:val="auto"/>
              </w:rPr>
            </w:pPr>
            <w:r>
              <w:rPr>
                <w:rFonts w:ascii="Arial" w:cs="Arial" w:eastAsia="Arial" w:hAnsi="Arial"/>
                <w:sz w:val="9"/>
                <w:szCs w:val="9"/>
                <w:b w:val="1"/>
                <w:bCs w:val="1"/>
                <w:color w:val="auto"/>
              </w:rPr>
              <w:t># of</w:t>
            </w:r>
          </w:p>
        </w:tc>
        <w:tc>
          <w:tcPr>
            <w:tcW w:w="1020" w:type="dxa"/>
            <w:vAlign w:val="bottom"/>
            <w:gridSpan w:val="2"/>
          </w:tcPr>
          <w:p>
            <w:pPr>
              <w:jc w:val="right"/>
              <w:ind w:right="620"/>
              <w:spacing w:after="0" w:line="81" w:lineRule="exact"/>
              <w:rPr>
                <w:sz w:val="20"/>
                <w:szCs w:val="20"/>
                <w:color w:val="auto"/>
              </w:rPr>
            </w:pPr>
            <w:r>
              <w:rPr>
                <w:rFonts w:ascii="Arial" w:cs="Arial" w:eastAsia="Arial" w:hAnsi="Arial"/>
                <w:sz w:val="9"/>
                <w:szCs w:val="9"/>
                <w:b w:val="1"/>
                <w:bCs w:val="1"/>
                <w:color w:val="auto"/>
              </w:rPr>
              <w:t>Total</w:t>
            </w:r>
          </w:p>
        </w:tc>
        <w:tc>
          <w:tcPr>
            <w:tcW w:w="500" w:type="dxa"/>
            <w:vAlign w:val="bottom"/>
          </w:tcPr>
          <w:p>
            <w:pPr>
              <w:jc w:val="right"/>
              <w:ind w:right="81"/>
              <w:spacing w:after="0" w:line="81" w:lineRule="exact"/>
              <w:rPr>
                <w:sz w:val="20"/>
                <w:szCs w:val="20"/>
                <w:color w:val="auto"/>
              </w:rPr>
            </w:pPr>
            <w:r>
              <w:rPr>
                <w:rFonts w:ascii="Arial" w:cs="Arial" w:eastAsia="Arial" w:hAnsi="Arial"/>
                <w:sz w:val="9"/>
                <w:szCs w:val="9"/>
                <w:b w:val="1"/>
                <w:bCs w:val="1"/>
                <w:color w:val="auto"/>
              </w:rPr>
              <w:t>Tons</w:t>
            </w:r>
          </w:p>
        </w:tc>
        <w:tc>
          <w:tcPr>
            <w:tcW w:w="380" w:type="dxa"/>
            <w:vAlign w:val="bottom"/>
          </w:tcPr>
          <w:p>
            <w:pPr>
              <w:spacing w:after="0"/>
              <w:rPr>
                <w:sz w:val="7"/>
                <w:szCs w:val="7"/>
                <w:color w:val="auto"/>
              </w:rPr>
            </w:pPr>
          </w:p>
        </w:tc>
        <w:tc>
          <w:tcPr>
            <w:tcW w:w="68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 of</w:t>
            </w:r>
          </w:p>
        </w:tc>
        <w:tc>
          <w:tcPr>
            <w:tcW w:w="1040" w:type="dxa"/>
            <w:vAlign w:val="bottom"/>
            <w:gridSpan w:val="2"/>
          </w:tcPr>
          <w:p>
            <w:pPr>
              <w:jc w:val="right"/>
              <w:ind w:right="620"/>
              <w:spacing w:after="0" w:line="81" w:lineRule="exact"/>
              <w:rPr>
                <w:sz w:val="20"/>
                <w:szCs w:val="20"/>
                <w:color w:val="auto"/>
              </w:rPr>
            </w:pPr>
            <w:r>
              <w:rPr>
                <w:rFonts w:ascii="Arial" w:cs="Arial" w:eastAsia="Arial" w:hAnsi="Arial"/>
                <w:sz w:val="9"/>
                <w:szCs w:val="9"/>
                <w:b w:val="1"/>
                <w:bCs w:val="1"/>
                <w:color w:val="auto"/>
              </w:rPr>
              <w:t>Total</w:t>
            </w:r>
          </w:p>
        </w:tc>
        <w:tc>
          <w:tcPr>
            <w:tcW w:w="480" w:type="dxa"/>
            <w:vAlign w:val="bottom"/>
          </w:tcPr>
          <w:p>
            <w:pPr>
              <w:jc w:val="right"/>
              <w:ind w:right="81"/>
              <w:spacing w:after="0" w:line="81" w:lineRule="exact"/>
              <w:rPr>
                <w:sz w:val="20"/>
                <w:szCs w:val="20"/>
                <w:color w:val="auto"/>
              </w:rPr>
            </w:pPr>
            <w:r>
              <w:rPr>
                <w:rFonts w:ascii="Arial" w:cs="Arial" w:eastAsia="Arial" w:hAnsi="Arial"/>
                <w:sz w:val="9"/>
                <w:szCs w:val="9"/>
                <w:b w:val="1"/>
                <w:bCs w:val="1"/>
                <w:color w:val="auto"/>
              </w:rPr>
              <w:t>Tons</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Sites</w:t>
            </w:r>
          </w:p>
        </w:tc>
        <w:tc>
          <w:tcPr>
            <w:tcW w:w="102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Tons</w:t>
            </w:r>
          </w:p>
        </w:tc>
        <w:tc>
          <w:tcPr>
            <w:tcW w:w="8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per Day</w:t>
            </w:r>
          </w:p>
        </w:tc>
        <w:tc>
          <w:tcPr>
            <w:tcW w:w="6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1"/>
              </w:rPr>
              <w:t>Sites</w:t>
            </w:r>
          </w:p>
        </w:tc>
        <w:tc>
          <w:tcPr>
            <w:tcW w:w="104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Tons</w:t>
            </w:r>
          </w:p>
        </w:tc>
        <w:tc>
          <w:tcPr>
            <w:tcW w:w="58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per Day</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Solid waste landfills</w:t>
            </w:r>
          </w:p>
        </w:tc>
        <w:tc>
          <w:tcPr>
            <w:tcW w:w="10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271(a)</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113,449</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417</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277</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125,528</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Hazardous waste landfills</w:t>
            </w:r>
          </w:p>
        </w:tc>
        <w:tc>
          <w:tcPr>
            <w:tcW w:w="1020" w:type="dxa"/>
            <w:vAlign w:val="bottom"/>
          </w:tcPr>
          <w:p>
            <w:pPr>
              <w:spacing w:after="0"/>
              <w:rPr>
                <w:sz w:val="13"/>
                <w:szCs w:val="13"/>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3"/>
                <w:szCs w:val="13"/>
                <w:color w:val="auto"/>
              </w:rPr>
              <w:t>6</w:t>
            </w:r>
          </w:p>
        </w:tc>
        <w:tc>
          <w:tcPr>
            <w:tcW w:w="1020" w:type="dxa"/>
            <w:vAlign w:val="bottom"/>
            <w:gridSpan w:val="2"/>
          </w:tcPr>
          <w:p>
            <w:pPr>
              <w:jc w:val="right"/>
              <w:ind w:right="440"/>
              <w:spacing w:after="0"/>
              <w:rPr>
                <w:sz w:val="20"/>
                <w:szCs w:val="20"/>
                <w:color w:val="auto"/>
              </w:rPr>
            </w:pPr>
            <w:r>
              <w:rPr>
                <w:rFonts w:ascii="Arial" w:cs="Arial" w:eastAsia="Arial" w:hAnsi="Arial"/>
                <w:sz w:val="13"/>
                <w:szCs w:val="13"/>
                <w:color w:val="auto"/>
              </w:rPr>
              <w:t>1,473</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5</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6</w:t>
            </w:r>
          </w:p>
        </w:tc>
        <w:tc>
          <w:tcPr>
            <w:tcW w:w="1040" w:type="dxa"/>
            <w:vAlign w:val="bottom"/>
            <w:gridSpan w:val="2"/>
          </w:tcPr>
          <w:p>
            <w:pPr>
              <w:jc w:val="right"/>
              <w:ind w:right="440"/>
              <w:spacing w:after="0"/>
              <w:rPr>
                <w:sz w:val="20"/>
                <w:szCs w:val="20"/>
                <w:color w:val="auto"/>
              </w:rPr>
            </w:pPr>
            <w:r>
              <w:rPr>
                <w:rFonts w:ascii="Arial" w:cs="Arial" w:eastAsia="Arial" w:hAnsi="Arial"/>
                <w:sz w:val="13"/>
                <w:szCs w:val="13"/>
                <w:color w:val="auto"/>
              </w:rPr>
              <w:t>1,287</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277</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114,922</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422</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283</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126,815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466</w:t>
            </w:r>
          </w:p>
        </w:tc>
        <w:tc>
          <w:tcPr>
            <w:tcW w:w="800" w:type="dxa"/>
            <w:vAlign w:val="bottom"/>
          </w:tcPr>
          <w:p>
            <w:pPr>
              <w:spacing w:after="0"/>
              <w:rPr>
                <w:sz w:val="14"/>
                <w:szCs w:val="14"/>
                <w:color w:val="auto"/>
              </w:rPr>
            </w:pPr>
          </w:p>
        </w:tc>
      </w:tr>
      <w:tr>
        <w:trPr>
          <w:trHeight w:val="166"/>
        </w:trPr>
        <w:tc>
          <w:tcPr>
            <w:tcW w:w="68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Solid waste landfills closed or divested during related year</w:t>
            </w:r>
          </w:p>
        </w:tc>
        <w:tc>
          <w:tcPr>
            <w:tcW w:w="1760" w:type="dxa"/>
            <w:vAlign w:val="bottom"/>
            <w:gridSpan w:val="3"/>
          </w:tcPr>
          <w:p>
            <w:pPr>
              <w:jc w:val="right"/>
              <w:ind w:right="440"/>
              <w:spacing w:after="0"/>
              <w:rPr>
                <w:sz w:val="20"/>
                <w:szCs w:val="20"/>
                <w:color w:val="auto"/>
              </w:rPr>
            </w:pPr>
            <w:r>
              <w:rPr>
                <w:rFonts w:ascii="Arial" w:cs="Arial" w:eastAsia="Arial" w:hAnsi="Arial"/>
                <w:sz w:val="13"/>
                <w:szCs w:val="13"/>
                <w:color w:val="auto"/>
              </w:rPr>
              <w:t>8</w:t>
            </w:r>
          </w:p>
        </w:tc>
        <w:tc>
          <w:tcPr>
            <w:tcW w:w="1020" w:type="dxa"/>
            <w:vAlign w:val="bottom"/>
            <w:gridSpan w:val="2"/>
          </w:tcPr>
          <w:p>
            <w:pPr>
              <w:jc w:val="right"/>
              <w:ind w:right="440"/>
              <w:spacing w:after="0"/>
              <w:rPr>
                <w:sz w:val="20"/>
                <w:szCs w:val="20"/>
                <w:color w:val="auto"/>
              </w:rPr>
            </w:pPr>
            <w:r>
              <w:rPr>
                <w:rFonts w:ascii="Arial" w:cs="Arial" w:eastAsia="Arial" w:hAnsi="Arial"/>
                <w:sz w:val="13"/>
                <w:szCs w:val="13"/>
                <w:color w:val="auto"/>
              </w:rPr>
              <w:t>1,555</w:t>
            </w:r>
          </w:p>
        </w:tc>
        <w:tc>
          <w:tcPr>
            <w:tcW w:w="5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4</w:t>
            </w:r>
          </w:p>
        </w:tc>
        <w:tc>
          <w:tcPr>
            <w:tcW w:w="1040" w:type="dxa"/>
            <w:vAlign w:val="bottom"/>
            <w:gridSpan w:val="2"/>
          </w:tcPr>
          <w:p>
            <w:pPr>
              <w:jc w:val="right"/>
              <w:ind w:right="440"/>
              <w:spacing w:after="0"/>
              <w:rPr>
                <w:sz w:val="20"/>
                <w:szCs w:val="20"/>
                <w:color w:val="auto"/>
              </w:rPr>
            </w:pPr>
            <w:r>
              <w:rPr>
                <w:rFonts w:ascii="Arial" w:cs="Arial" w:eastAsia="Arial" w:hAnsi="Arial"/>
                <w:sz w:val="13"/>
                <w:szCs w:val="13"/>
                <w:color w:val="auto"/>
              </w:rPr>
              <w:t>1,287</w:t>
            </w: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116,477(b)</w:t>
            </w: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128,102(b)</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451"/>
        </w:trPr>
        <w:tc>
          <w:tcPr>
            <w:tcW w:w="6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02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180" w:hanging="493"/>
        <w:spacing w:after="0"/>
        <w:tabs>
          <w:tab w:leader="none" w:pos="11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2007, we acquired two landfills, sold three landfills, closed four landfills and discontinued operations at one operating contract site.</w:t>
      </w:r>
    </w:p>
    <w:p>
      <w:pPr>
        <w:spacing w:after="0" w:line="47" w:lineRule="exact"/>
        <w:rPr>
          <w:rFonts w:ascii="Arial" w:cs="Arial" w:eastAsia="Arial" w:hAnsi="Arial"/>
          <w:sz w:val="13"/>
          <w:szCs w:val="13"/>
          <w:color w:val="auto"/>
        </w:rPr>
      </w:pPr>
    </w:p>
    <w:p>
      <w:pPr>
        <w:ind w:left="1180" w:right="160" w:hanging="493"/>
        <w:spacing w:after="0" w:line="264" w:lineRule="auto"/>
        <w:tabs>
          <w:tab w:leader="none" w:pos="11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These amounts include 2.4 million tons at December 31, 2007 and 2.0 million tons at December 31, 2006 that were received at our landfills but were used for beneficial purposes and generally were redirected from the permitted airspace to other areas of the landfill. Waste types that are frequently identified for beneficial use include green waste for composting and clean dirt for on-site construction projects.</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When a landfill we own or operate (i) reaches its permitted waste capacity; (ii) is permanently capped; and (iii) receives certification of closure from the applicable regulatory agency, management of the site, including remediation activities, is generally transferred to our closed sites management group. In addition to the 277 active landfills we managed at December 31, 2007, we managed 187 closed landfills.</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Transfer. </w:t>
      </w:r>
      <w:r>
        <w:rPr>
          <w:rFonts w:ascii="Arial" w:cs="Arial" w:eastAsia="Arial" w:hAnsi="Arial"/>
          <w:sz w:val="13"/>
          <w:szCs w:val="13"/>
          <w:color w:val="auto"/>
        </w:rPr>
        <w:t>At December 31, 2007, we owned or operated 341 transfer stations in North America. We deposit waste at these stations, as do other waste haulers. The solid waste is then</w:t>
      </w:r>
      <w:r>
        <w:rPr>
          <w:rFonts w:ascii="Arial" w:cs="Arial" w:eastAsia="Arial" w:hAnsi="Arial"/>
          <w:sz w:val="13"/>
          <w:szCs w:val="13"/>
          <w:i w:val="1"/>
          <w:iCs w:val="1"/>
          <w:color w:val="auto"/>
        </w:rPr>
        <w:t xml:space="preserve"> </w:t>
      </w:r>
      <w:r>
        <w:rPr>
          <w:rFonts w:ascii="Arial" w:cs="Arial" w:eastAsia="Arial" w:hAnsi="Arial"/>
          <w:sz w:val="13"/>
          <w:szCs w:val="13"/>
          <w:color w:val="auto"/>
        </w:rPr>
        <w:t>consolidated and compacted to reduce the volume and increase the density of the waste and transported by transfer trucks or by rail to disposal sites.</w:t>
      </w:r>
    </w:p>
    <w:p>
      <w:pPr>
        <w:spacing w:after="0" w:line="59"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Access to transfer stations is often critical to third-party haulers who do not operate their own disposal facilities in close proximity to their collection operations. Fees charged to third parties at transfer stations are usually based on the type and volume or weight of the waste transferred, the distance to the disposal site and general market factors.</w:t>
      </w:r>
    </w:p>
    <w:p>
      <w:pPr>
        <w:spacing w:after="0" w:line="3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utilization of our transfer stations by our own collection operations improves internalization by allowing us to retain fees that we would otherwise pay to third parties for the disposal of the waste we collect. It allows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collection operations; and (iii) we can retain the volume by managing the transfer of the waste to one of our own disposal sites.</w:t>
      </w:r>
    </w:p>
    <w:p>
      <w:pPr>
        <w:spacing w:after="0" w:line="53" w:lineRule="exact"/>
        <w:rPr>
          <w:sz w:val="20"/>
          <w:szCs w:val="20"/>
          <w:color w:val="auto"/>
        </w:rPr>
      </w:pPr>
    </w:p>
    <w:p>
      <w:pPr>
        <w:jc w:val="both"/>
        <w:ind w:left="680" w:right="300" w:firstLine="399"/>
        <w:spacing w:after="0" w:line="264" w:lineRule="auto"/>
        <w:rPr>
          <w:sz w:val="20"/>
          <w:szCs w:val="20"/>
          <w:color w:val="auto"/>
        </w:rPr>
      </w:pPr>
      <w:r>
        <w:rPr>
          <w:rFonts w:ascii="Arial" w:cs="Arial" w:eastAsia="Arial" w:hAnsi="Arial"/>
          <w:sz w:val="13"/>
          <w:szCs w:val="13"/>
          <w:color w:val="auto"/>
        </w:rPr>
        <w:t>The transfer stations that we operate but do not own are generally operated through lease agreements under which we lease property from third parties. There are some instances where transfer stations are operated under contract, generally for municipalities. In most cases we own the permits and will be responsible for the regulatory requirements relating to the operation, closure and post closure of the transfer station.</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Wheelabrator. </w:t>
      </w:r>
      <w:r>
        <w:rPr>
          <w:rFonts w:ascii="Arial" w:cs="Arial" w:eastAsia="Arial" w:hAnsi="Arial"/>
          <w:sz w:val="13"/>
          <w:szCs w:val="13"/>
          <w:color w:val="auto"/>
        </w:rPr>
        <w:t>As of December 31, 2007, we owned or operated 16 waste-to-energy facilities and five independent power production plants, or IPPs, that are located in the Northeast</w:t>
      </w:r>
      <w:r>
        <w:rPr>
          <w:rFonts w:ascii="Arial" w:cs="Arial" w:eastAsia="Arial" w:hAnsi="Arial"/>
          <w:sz w:val="13"/>
          <w:szCs w:val="13"/>
          <w:i w:val="1"/>
          <w:iCs w:val="1"/>
          <w:color w:val="auto"/>
        </w:rPr>
        <w:t xml:space="preserve"> </w:t>
      </w:r>
      <w:r>
        <w:rPr>
          <w:rFonts w:ascii="Arial" w:cs="Arial" w:eastAsia="Arial" w:hAnsi="Arial"/>
          <w:sz w:val="13"/>
          <w:szCs w:val="13"/>
          <w:color w:val="auto"/>
        </w:rPr>
        <w:t>and in Florida, California and Washington.</w:t>
      </w:r>
    </w:p>
    <w:p>
      <w:pPr>
        <w:spacing w:after="0" w:line="59" w:lineRule="exact"/>
        <w:rPr>
          <w:sz w:val="20"/>
          <w:szCs w:val="20"/>
          <w:color w:val="auto"/>
        </w:rPr>
      </w:pPr>
    </w:p>
    <w:p>
      <w:pPr>
        <w:ind w:left="680" w:right="280" w:firstLine="399"/>
        <w:spacing w:after="0" w:line="285" w:lineRule="auto"/>
        <w:rPr>
          <w:sz w:val="20"/>
          <w:szCs w:val="20"/>
          <w:color w:val="auto"/>
        </w:rPr>
      </w:pPr>
      <w:r>
        <w:rPr>
          <w:rFonts w:ascii="Arial" w:cs="Arial" w:eastAsia="Arial" w:hAnsi="Arial"/>
          <w:sz w:val="12"/>
          <w:szCs w:val="12"/>
          <w:color w:val="auto"/>
        </w:rPr>
        <w:t>At our waste-to-energy facilities, solid waste is burned at high temperatures in specially designed boilers to produce heat that is converted into high-pressure steam. As of December 31, 2007, our waste-to-energy facilities were capable of processing up to 21,000 tons of solid waste each day, a decrease in capacity of approximately 3,000 tons per day from December 31, 2006. In 2007, our waste-to-energy facilities received and processed 7.1 million tons of solid waste, or approximately 19,500 tons per day. In 2006, our waste-to-energy facilities received and processed 7.8 million tons of solid waste, or approximately 21,300 tons per day. The decline in both the capacity and production of our waste-to-energy facilities during 2007 was due to the termination of an operating and maintenance agreement in May 2007.</w:t>
      </w:r>
    </w:p>
    <w:p>
      <w:pPr>
        <w:spacing w:after="0" w:line="55" w:lineRule="exact"/>
        <w:rPr>
          <w:sz w:val="20"/>
          <w:szCs w:val="20"/>
          <w:color w:val="auto"/>
        </w:rPr>
      </w:pPr>
    </w:p>
    <w:p>
      <w:pPr>
        <w:jc w:val="both"/>
        <w:ind w:left="680" w:right="200" w:firstLine="399"/>
        <w:spacing w:after="0" w:line="296" w:lineRule="auto"/>
        <w:rPr>
          <w:sz w:val="20"/>
          <w:szCs w:val="20"/>
          <w:color w:val="auto"/>
        </w:rPr>
      </w:pPr>
      <w:r>
        <w:rPr>
          <w:rFonts w:ascii="Arial" w:cs="Arial" w:eastAsia="Arial" w:hAnsi="Arial"/>
          <w:sz w:val="12"/>
          <w:szCs w:val="12"/>
          <w:color w:val="auto"/>
        </w:rPr>
        <w:t>Our IPPs convert various waste and conventional fuels into steam. The plants burn wood waste, anthracite coal waste (culm), tires, landfill gas and natural gas. These facilities are integral to the solid waste industry, disposing of urban wood, waste tires, railroad ties and utility poles. Our anthracite culm facility in Pennsylvania processes the waste materials left over from coal mining operations from over half a century ago. Ash remaining after burning the culm is used to reclaim the land damaged by decades of coal mining.</w:t>
      </w:r>
    </w:p>
    <w:p>
      <w:pPr>
        <w:spacing w:after="0" w:line="50" w:lineRule="exact"/>
        <w:rPr>
          <w:sz w:val="20"/>
          <w:szCs w:val="20"/>
          <w:color w:val="auto"/>
        </w:rPr>
      </w:pPr>
    </w:p>
    <w:p>
      <w:pPr>
        <w:ind w:left="680" w:right="380" w:firstLine="399"/>
        <w:spacing w:after="0" w:line="296" w:lineRule="auto"/>
        <w:rPr>
          <w:sz w:val="20"/>
          <w:szCs w:val="20"/>
          <w:color w:val="auto"/>
        </w:rPr>
      </w:pPr>
      <w:r>
        <w:rPr>
          <w:rFonts w:ascii="Arial" w:cs="Arial" w:eastAsia="Arial" w:hAnsi="Arial"/>
          <w:sz w:val="12"/>
          <w:szCs w:val="12"/>
          <w:color w:val="auto"/>
        </w:rPr>
        <w:t>We sell the steam produced at our waste-to-energy facilities and IPPs to industrial and commercial users. Steam that is not sold is used to generate electricity for sale to electric utilities. Fees charged for steam and electricity at our waste-to-energy facilities and IPPs are generally subject to the terms and conditions of long-term contracts that include interim adjustments to the prices charged for changes in market conditions such as inflation, natural gas prices and other general market factors.</w:t>
      </w:r>
    </w:p>
    <w:p>
      <w:pPr>
        <w:spacing w:after="0" w:line="24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Recycling. </w:t>
      </w:r>
      <w:r>
        <w:rPr>
          <w:rFonts w:ascii="Arial" w:cs="Arial" w:eastAsia="Arial" w:hAnsi="Arial"/>
          <w:sz w:val="13"/>
          <w:szCs w:val="13"/>
          <w:color w:val="auto"/>
        </w:rPr>
        <w:t>Our WMRA Group focuses on improving the sustainability and future growth of recycling programs within communities and industries. In addition to our WMRA Group,</w:t>
      </w:r>
      <w:r>
        <w:rPr>
          <w:rFonts w:ascii="Arial" w:cs="Arial" w:eastAsia="Arial" w:hAnsi="Arial"/>
          <w:sz w:val="13"/>
          <w:szCs w:val="13"/>
          <w:i w:val="1"/>
          <w:iCs w:val="1"/>
          <w:color w:val="auto"/>
        </w:rPr>
        <w:t xml:space="preserve"> </w:t>
      </w:r>
      <w:r>
        <w:rPr>
          <w:rFonts w:ascii="Arial" w:cs="Arial" w:eastAsia="Arial" w:hAnsi="Arial"/>
          <w:sz w:val="13"/>
          <w:szCs w:val="13"/>
          <w:color w:val="auto"/>
        </w:rPr>
        <w:t>our four geographic operating Groups provide certain recycling services that are embedded within the Groups’ other operations and, therefore, are not included within the WMRA Group’s financial results.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Recycling involves the separation of reusable materials from the waste stream for processing and resale or other disposition. Our recycling operations include the following:</w:t>
      </w:r>
    </w:p>
    <w:p>
      <w:pPr>
        <w:spacing w:after="0" w:line="108" w:lineRule="exact"/>
        <w:rPr>
          <w:sz w:val="20"/>
          <w:szCs w:val="20"/>
          <w:color w:val="auto"/>
        </w:rPr>
      </w:pPr>
    </w:p>
    <w:p>
      <w:pPr>
        <w:ind w:left="1080" w:right="200" w:firstLine="383"/>
        <w:spacing w:after="0" w:line="289" w:lineRule="auto"/>
        <w:rPr>
          <w:sz w:val="20"/>
          <w:szCs w:val="20"/>
          <w:color w:val="auto"/>
        </w:rPr>
      </w:pPr>
      <w:r>
        <w:rPr>
          <w:rFonts w:ascii="Arial" w:cs="Arial" w:eastAsia="Arial" w:hAnsi="Arial"/>
          <w:sz w:val="12"/>
          <w:szCs w:val="12"/>
          <w:i w:val="1"/>
          <w:iCs w:val="1"/>
          <w:color w:val="auto"/>
        </w:rPr>
        <w:t xml:space="preserve">Collection and materials processing </w:t>
      </w:r>
      <w:r>
        <w:rPr>
          <w:rFonts w:ascii="Arial" w:cs="Arial" w:eastAsia="Arial" w:hAnsi="Arial"/>
          <w:sz w:val="12"/>
          <w:szCs w:val="12"/>
          <w:color w:val="auto"/>
        </w:rPr>
        <w:t>— Through our collection operations, we collect recyclable materials from residential, commercial and industrial customers and direct</w:t>
      </w:r>
      <w:r>
        <w:rPr>
          <w:rFonts w:ascii="Arial" w:cs="Arial" w:eastAsia="Arial" w:hAnsi="Arial"/>
          <w:sz w:val="12"/>
          <w:szCs w:val="12"/>
          <w:i w:val="1"/>
          <w:iCs w:val="1"/>
          <w:color w:val="auto"/>
        </w:rPr>
        <w:t xml:space="preserve"> </w:t>
      </w:r>
      <w:r>
        <w:rPr>
          <w:rFonts w:ascii="Arial" w:cs="Arial" w:eastAsia="Arial" w:hAnsi="Arial"/>
          <w:sz w:val="12"/>
          <w:szCs w:val="12"/>
          <w:color w:val="auto"/>
        </w:rPr>
        <w:t>these materials to one of our material recovery facilities (“MRFs”) for processing. We operate 99 MRFs where paper, glass, metals and plastics are recovered for resale. We also operate six secondary processing facilities where materials received from MRFs can be further processed into raw products used in the manufacturing of consumer goods. Specifically, material processing services include data destruction, automated color sorting, and construction and demolition processing.</w:t>
      </w:r>
    </w:p>
    <w:p>
      <w:pPr>
        <w:spacing w:after="0" w:line="53" w:lineRule="exact"/>
        <w:rPr>
          <w:sz w:val="20"/>
          <w:szCs w:val="20"/>
          <w:color w:val="auto"/>
        </w:rPr>
      </w:pPr>
    </w:p>
    <w:p>
      <w:pPr>
        <w:ind w:left="1080" w:right="20" w:firstLine="383"/>
        <w:spacing w:after="0" w:line="276" w:lineRule="auto"/>
        <w:rPr>
          <w:sz w:val="20"/>
          <w:szCs w:val="20"/>
          <w:color w:val="auto"/>
        </w:rPr>
      </w:pPr>
      <w:r>
        <w:rPr>
          <w:rFonts w:ascii="Arial" w:cs="Arial" w:eastAsia="Arial" w:hAnsi="Arial"/>
          <w:sz w:val="13"/>
          <w:szCs w:val="13"/>
          <w:i w:val="1"/>
          <w:iCs w:val="1"/>
          <w:color w:val="auto"/>
        </w:rPr>
        <w:t xml:space="preserve">Plastics and rubber materials recycling </w:t>
      </w:r>
      <w:r>
        <w:rPr>
          <w:rFonts w:ascii="Arial" w:cs="Arial" w:eastAsia="Arial" w:hAnsi="Arial"/>
          <w:sz w:val="13"/>
          <w:szCs w:val="13"/>
          <w:color w:val="auto"/>
        </w:rPr>
        <w:t>— Using state-of-the-art sorting and processing technology, we process, inventory and sell plastic and rubber commodities making the</w:t>
      </w:r>
      <w:r>
        <w:rPr>
          <w:rFonts w:ascii="Arial" w:cs="Arial" w:eastAsia="Arial" w:hAnsi="Arial"/>
          <w:sz w:val="13"/>
          <w:szCs w:val="13"/>
          <w:i w:val="1"/>
          <w:iCs w:val="1"/>
          <w:color w:val="auto"/>
        </w:rPr>
        <w:t xml:space="preserve"> </w:t>
      </w:r>
      <w:r>
        <w:rPr>
          <w:rFonts w:ascii="Arial" w:cs="Arial" w:eastAsia="Arial" w:hAnsi="Arial"/>
          <w:sz w:val="13"/>
          <w:szCs w:val="13"/>
          <w:color w:val="auto"/>
        </w:rPr>
        <w:t>recycling of such items more cost effective and convenient.</w:t>
      </w:r>
    </w:p>
    <w:p>
      <w:pPr>
        <w:spacing w:after="0" w:line="59" w:lineRule="exact"/>
        <w:rPr>
          <w:sz w:val="20"/>
          <w:szCs w:val="20"/>
          <w:color w:val="auto"/>
        </w:rPr>
      </w:pPr>
    </w:p>
    <w:p>
      <w:pPr>
        <w:ind w:left="1080" w:right="520" w:firstLine="383"/>
        <w:spacing w:after="0" w:line="276" w:lineRule="auto"/>
        <w:rPr>
          <w:sz w:val="20"/>
          <w:szCs w:val="20"/>
          <w:color w:val="auto"/>
        </w:rPr>
      </w:pPr>
      <w:r>
        <w:rPr>
          <w:rFonts w:ascii="Arial" w:cs="Arial" w:eastAsia="Arial" w:hAnsi="Arial"/>
          <w:sz w:val="13"/>
          <w:szCs w:val="13"/>
          <w:i w:val="1"/>
          <w:iCs w:val="1"/>
          <w:color w:val="auto"/>
        </w:rPr>
        <w:t xml:space="preserve">Electronics recycling services </w:t>
      </w:r>
      <w:r>
        <w:rPr>
          <w:rFonts w:ascii="Arial" w:cs="Arial" w:eastAsia="Arial" w:hAnsi="Arial"/>
          <w:sz w:val="13"/>
          <w:szCs w:val="13"/>
          <w:color w:val="auto"/>
        </w:rPr>
        <w:t>— We provide an innovative, customized approach to recycling discarded computers, communications equipment, and other electronic</w:t>
      </w:r>
      <w:r>
        <w:rPr>
          <w:rFonts w:ascii="Arial" w:cs="Arial" w:eastAsia="Arial" w:hAnsi="Arial"/>
          <w:sz w:val="13"/>
          <w:szCs w:val="13"/>
          <w:i w:val="1"/>
          <w:iCs w:val="1"/>
          <w:color w:val="auto"/>
        </w:rPr>
        <w:t xml:space="preserve"> </w:t>
      </w:r>
      <w:r>
        <w:rPr>
          <w:rFonts w:ascii="Arial" w:cs="Arial" w:eastAsia="Arial" w:hAnsi="Arial"/>
          <w:sz w:val="13"/>
          <w:szCs w:val="13"/>
          <w:color w:val="auto"/>
        </w:rPr>
        <w:t>equipment. Services include the collection, sorting and disassembling of electronics in an effort to reuse or recycle all collected materials.</w:t>
      </w:r>
    </w:p>
    <w:p>
      <w:pPr>
        <w:spacing w:after="0" w:line="59" w:lineRule="exact"/>
        <w:rPr>
          <w:sz w:val="20"/>
          <w:szCs w:val="20"/>
          <w:color w:val="auto"/>
        </w:rPr>
      </w:pPr>
    </w:p>
    <w:p>
      <w:pPr>
        <w:ind w:left="1080" w:right="80" w:firstLine="383"/>
        <w:spacing w:after="0" w:line="320" w:lineRule="auto"/>
        <w:rPr>
          <w:sz w:val="20"/>
          <w:szCs w:val="20"/>
          <w:color w:val="auto"/>
        </w:rPr>
      </w:pPr>
      <w:r>
        <w:rPr>
          <w:rFonts w:ascii="Arial" w:cs="Arial" w:eastAsia="Arial" w:hAnsi="Arial"/>
          <w:sz w:val="12"/>
          <w:szCs w:val="12"/>
          <w:i w:val="1"/>
          <w:iCs w:val="1"/>
          <w:color w:val="auto"/>
        </w:rPr>
        <w:t xml:space="preserve">Commodities recycling </w:t>
      </w:r>
      <w:r>
        <w:rPr>
          <w:rFonts w:ascii="Arial" w:cs="Arial" w:eastAsia="Arial" w:hAnsi="Arial"/>
          <w:sz w:val="12"/>
          <w:szCs w:val="12"/>
          <w:color w:val="auto"/>
        </w:rPr>
        <w:t>— We market and resell recyclable commodities to customers world-wide. We manage the marketing of recyclable commodities for our own facilities</w:t>
      </w:r>
      <w:r>
        <w:rPr>
          <w:rFonts w:ascii="Arial" w:cs="Arial" w:eastAsia="Arial" w:hAnsi="Arial"/>
          <w:sz w:val="12"/>
          <w:szCs w:val="12"/>
          <w:i w:val="1"/>
          <w:iCs w:val="1"/>
          <w:color w:val="auto"/>
        </w:rPr>
        <w:t xml:space="preserve"> </w:t>
      </w:r>
      <w:r>
        <w:rPr>
          <w:rFonts w:ascii="Arial" w:cs="Arial" w:eastAsia="Arial" w:hAnsi="Arial"/>
          <w:sz w:val="12"/>
          <w:szCs w:val="12"/>
          <w:color w:val="auto"/>
        </w:rPr>
        <w:t>and for third parties by maintaining comprehensive service centers that continuously analyze market prices, logistics, market demands and product quality.</w:t>
      </w:r>
    </w:p>
    <w:p>
      <w:pPr>
        <w:spacing w:after="0" w:line="35"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During 2006, we also provided glass recycling services. However, we divested of our glass recycling facilities in 2006 as part of our continued focus on improving the profitability of our business.</w:t>
      </w:r>
    </w:p>
    <w:p>
      <w:pPr>
        <w:spacing w:after="0" w:line="59"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Fees for recycling services are influenced by frequency of collection, type and volume or weight of the recyclable material, degree of processing required, the market value of the recovered material and other market factors.</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Our WMRA Group purchases recyclable materials processed in our MRFs from various sources, including third parties and other operating subsidiaries of WMI. The cost per ton of material purchased is based on market prices and the cost to transport the finished goods to our customers. The price our WMRA Group pays for recyclable materials is often referred to as a “rebate” and is based upon the price we receive for sales of finished goods and local market conditions. As a result, higher commodity prices increase our revenues and increase the rebates we pay to our suppliers.</w:t>
      </w:r>
    </w:p>
    <w:p>
      <w:pPr>
        <w:spacing w:after="0" w:line="70" w:lineRule="exact"/>
        <w:rPr>
          <w:sz w:val="20"/>
          <w:szCs w:val="20"/>
          <w:color w:val="auto"/>
        </w:rPr>
      </w:pPr>
    </w:p>
    <w:p>
      <w:pPr>
        <w:ind w:left="680" w:right="340" w:firstLine="399"/>
        <w:spacing w:after="0" w:line="264"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We provide in-plant services, in which employees of our Upstream organization work full-time inside our customers’ facilities to provide full-service waste management</w:t>
      </w:r>
      <w:r>
        <w:rPr>
          <w:rFonts w:ascii="Arial" w:cs="Arial" w:eastAsia="Arial" w:hAnsi="Arial"/>
          <w:sz w:val="13"/>
          <w:szCs w:val="13"/>
          <w:i w:val="1"/>
          <w:iCs w:val="1"/>
          <w:color w:val="auto"/>
        </w:rPr>
        <w:t xml:space="preserve"> </w:t>
      </w:r>
      <w:r>
        <w:rPr>
          <w:rFonts w:ascii="Arial" w:cs="Arial" w:eastAsia="Arial" w:hAnsi="Arial"/>
          <w:sz w:val="13"/>
          <w:szCs w:val="13"/>
          <w:color w:val="auto"/>
        </w:rPr>
        <w:t>solutions. Our vertically integrated waste management operations allow us to provide customers with full management of their waste, including identifying recycling opportunities, minimizing waste, and determining the most efficient means available for waste collection and disposal.</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We also develop, operate and promote projects for the beneficial use of landfill gas through our Waste Management Renewable Energy Program. Landfill gas is produced naturally as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waste decomposes in a landfill. The methane component of the landfill gas is a readily available, renewable energy source that can be gathered and used beneficially as an alternative to fossil</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fuel. The United States Environmental Protection Agency endorses landfill gas as a renewable energy resource, in the same category as wind, solar and geothermal resources. At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December 31, 2007, landfill gas beneficial use projects were producing commercial quantities of methane gas at 108 of our solid waste landfills. At 80 of these landfills, the processed gas is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delivered to electricity generators. The electricity is then sold to public utilities, municipal utilities or power cooperatives. At 21 landfills, the gas is delivered by pipeline to industrial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customers as a direct substitute for fossil fuels in industrial processes. At seven landfills, the landfill gas is processed to pipeline-quality natural gas and then sold to natural gas suppliers.</w:t>
      </w:r>
    </w:p>
    <w:p>
      <w:pPr>
        <w:spacing w:after="0" w:line="30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20" w:firstLine="399"/>
        <w:spacing w:after="0" w:line="266" w:lineRule="auto"/>
        <w:rPr>
          <w:sz w:val="20"/>
          <w:szCs w:val="20"/>
          <w:color w:val="auto"/>
        </w:rPr>
      </w:pPr>
      <w:r>
        <w:rPr>
          <w:rFonts w:ascii="Arial" w:cs="Arial" w:eastAsia="Arial" w:hAnsi="Arial"/>
          <w:sz w:val="13"/>
          <w:szCs w:val="13"/>
          <w:color w:val="auto"/>
        </w:rPr>
        <w:t>In addition, we rent and service portable restroom facilities to municipalities and commercial customers under the name Port-O-Let</w:t>
      </w:r>
      <w:r>
        <w:rPr>
          <w:rFonts w:ascii="Arial" w:cs="Arial" w:eastAsia="Arial" w:hAnsi="Arial"/>
          <w:sz w:val="11"/>
          <w:szCs w:val="11"/>
          <w:color w:val="auto"/>
        </w:rPr>
        <w:t>®</w:t>
      </w:r>
      <w:r>
        <w:rPr>
          <w:rFonts w:ascii="Arial" w:cs="Arial" w:eastAsia="Arial" w:hAnsi="Arial"/>
          <w:sz w:val="13"/>
          <w:szCs w:val="13"/>
          <w:color w:val="auto"/>
        </w:rPr>
        <w:t>, and provide street and parking lot sweeping services. We also have begun providing portable self-storage and fluorescent lamp recycling services. From time to time, we are also contracted to construct waste facilities on behalf of third parties.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solid waste industry is very competitive. Competition comes from a number of publicly held solid waste companies, private solid waste companies, large commercial and industrial companies handling their own waste collection or disposal operations and public and private waste-to-energy companies. We also have competition from municipalities and regional government authorities with respect to residential and commercial solid waste collection and solid waste landfills. The municipalities and regional governmental authorities are often able to offer lower direct charges to customers for the same service by subsidizing their costs through the use of tax revenues and tax-exempt financing. Generally, however, municipalities do not provide significant commercial and industrial collection or waste disposal.</w:t>
      </w:r>
    </w:p>
    <w:p>
      <w:pPr>
        <w:spacing w:after="0" w:line="71"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compete for disposal business on the basis of tipping fees, geographic location and quality of operations. Our ability to obtain disposal business may be limited in areas where other companies own or operate their own landfills, to which they will send their waste. We compete for collection accounts primarily on the basis of price and quality of services. Operating costs, disposal costs and collection fees vary widely throughout the geographic areas in which we operate. The prices that we charge are determined locally, and typically vary by the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based on pricing and quality of service. Under certain customer service contracts, our ability to increase our prices or pass on cost increases to our customers may be limited. From time to time, competitors may reduce the price of their services and accept lower margins in an effort to expand or maintain market share or to successfully obtain competitively bid contracts.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At December 31, 2007, we had approximately 47,400 full-time employees, of which approximately 7,900 were employed in administrative and sales positions and the balance in operations. Approximately 11,700 of our employees are covered by collective bargaining agreements.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Assurance and Insurance Obligations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Assurance</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Municipal and governmental waste service contracts generally require contracting parties to demonstrate financial responsibility for their obligations under the contract. Financial assurance is also a requirement for obtaining or retaining disposal site or transfer station operating permits. Various forms of financial assurance are also required by regulatory agencies for estimated closure, post-closure and remedial obligations at many of our landfills. In addition, certain of our tax-exempt borrowings require us to hold funds in trust for the repayment of our interest and principal obligations.</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 The following table summarizes the various forms and dollar amounts (in millions) of financial assurance that we had outstanding as of December 31, 2007:</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Surety bonds:</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Issued by consolidated subsidiary(a)</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34"/>
              <w:spacing w:after="0"/>
              <w:rPr>
                <w:sz w:val="20"/>
                <w:szCs w:val="20"/>
                <w:color w:val="auto"/>
              </w:rPr>
            </w:pPr>
            <w:r>
              <w:rPr>
                <w:rFonts w:ascii="Arial" w:cs="Arial" w:eastAsia="Arial" w:hAnsi="Arial"/>
                <w:sz w:val="13"/>
                <w:szCs w:val="13"/>
                <w:color w:val="auto"/>
              </w:rPr>
              <w:t>307</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Issued by affiliated entity(b)</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1,076</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Issued by third-party surety companies</w:t>
            </w:r>
          </w:p>
        </w:tc>
        <w:tc>
          <w:tcPr>
            <w:tcW w:w="140" w:type="dxa"/>
            <w:vAlign w:val="bottom"/>
          </w:tcPr>
          <w:p>
            <w:pPr>
              <w:spacing w:after="0"/>
              <w:rPr>
                <w:sz w:val="13"/>
                <w:szCs w:val="13"/>
                <w:color w:val="auto"/>
              </w:rPr>
            </w:pPr>
          </w:p>
        </w:tc>
        <w:tc>
          <w:tcPr>
            <w:tcW w:w="760" w:type="dxa"/>
            <w:vAlign w:val="bottom"/>
            <w:gridSpan w:val="2"/>
          </w:tcPr>
          <w:p>
            <w:pPr>
              <w:jc w:val="right"/>
              <w:ind w:right="334"/>
              <w:spacing w:after="0"/>
              <w:rPr>
                <w:sz w:val="20"/>
                <w:szCs w:val="20"/>
                <w:color w:val="auto"/>
              </w:rPr>
            </w:pPr>
            <w:r>
              <w:rPr>
                <w:rFonts w:ascii="Arial" w:cs="Arial" w:eastAsia="Arial" w:hAnsi="Arial"/>
                <w:sz w:val="13"/>
                <w:szCs w:val="13"/>
                <w:color w:val="auto"/>
              </w:rPr>
              <w:t>1,376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surety bonds</w:t>
            </w:r>
          </w:p>
        </w:tc>
        <w:tc>
          <w:tcPr>
            <w:tcW w:w="1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2,759</w:t>
            </w: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Letters of credit:</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Revolving credit facility(c)</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1,437</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Letter of credit and term loan agreements(d)</w:t>
            </w:r>
          </w:p>
        </w:tc>
        <w:tc>
          <w:tcPr>
            <w:tcW w:w="140" w:type="dxa"/>
            <w:vAlign w:val="bottom"/>
          </w:tcPr>
          <w:p>
            <w:pPr>
              <w:spacing w:after="0"/>
              <w:rPr>
                <w:sz w:val="13"/>
                <w:szCs w:val="13"/>
                <w:color w:val="auto"/>
              </w:rPr>
            </w:pPr>
          </w:p>
        </w:tc>
        <w:tc>
          <w:tcPr>
            <w:tcW w:w="760" w:type="dxa"/>
            <w:vAlign w:val="bottom"/>
            <w:gridSpan w:val="2"/>
          </w:tcPr>
          <w:p>
            <w:pPr>
              <w:jc w:val="right"/>
              <w:ind w:right="334"/>
              <w:spacing w:after="0"/>
              <w:rPr>
                <w:sz w:val="20"/>
                <w:szCs w:val="20"/>
                <w:color w:val="auto"/>
              </w:rPr>
            </w:pPr>
            <w:r>
              <w:rPr>
                <w:rFonts w:ascii="Arial" w:cs="Arial" w:eastAsia="Arial" w:hAnsi="Arial"/>
                <w:sz w:val="13"/>
                <w:szCs w:val="13"/>
                <w:color w:val="auto"/>
              </w:rPr>
              <w:t>294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Letter of credit facility(e)</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350</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Other lines of credit</w:t>
            </w:r>
          </w:p>
        </w:tc>
        <w:tc>
          <w:tcPr>
            <w:tcW w:w="140" w:type="dxa"/>
            <w:vAlign w:val="bottom"/>
          </w:tcPr>
          <w:p>
            <w:pPr>
              <w:spacing w:after="0"/>
              <w:rPr>
                <w:sz w:val="13"/>
                <w:szCs w:val="13"/>
                <w:color w:val="auto"/>
              </w:rPr>
            </w:pPr>
          </w:p>
        </w:tc>
        <w:tc>
          <w:tcPr>
            <w:tcW w:w="760" w:type="dxa"/>
            <w:vAlign w:val="bottom"/>
            <w:gridSpan w:val="2"/>
          </w:tcPr>
          <w:p>
            <w:pPr>
              <w:jc w:val="right"/>
              <w:ind w:right="334"/>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letters of credit</w:t>
            </w:r>
          </w:p>
        </w:tc>
        <w:tc>
          <w:tcPr>
            <w:tcW w:w="1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2,171</w:t>
            </w: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Insurance policies:</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Issued by consolidated subsidiary(a)</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944</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Issued by affiliated entity(b)</w:t>
            </w:r>
          </w:p>
        </w:tc>
        <w:tc>
          <w:tcPr>
            <w:tcW w:w="140" w:type="dxa"/>
            <w:vAlign w:val="bottom"/>
          </w:tcPr>
          <w:p>
            <w:pPr>
              <w:spacing w:after="0"/>
              <w:rPr>
                <w:sz w:val="13"/>
                <w:szCs w:val="13"/>
                <w:color w:val="auto"/>
              </w:rPr>
            </w:pPr>
          </w:p>
        </w:tc>
        <w:tc>
          <w:tcPr>
            <w:tcW w:w="760" w:type="dxa"/>
            <w:vAlign w:val="bottom"/>
            <w:gridSpan w:val="2"/>
          </w:tcPr>
          <w:p>
            <w:pPr>
              <w:jc w:val="right"/>
              <w:ind w:right="334"/>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insurance policies</w:t>
            </w:r>
          </w:p>
        </w:tc>
        <w:tc>
          <w:tcPr>
            <w:tcW w:w="1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w:t>
            </w: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Funded trust and escrow accounts(f)</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301</w:t>
            </w: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Financial guarantees(g)</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100" w:type="dxa"/>
            <w:vAlign w:val="bottom"/>
            <w:shd w:val="clear" w:color="auto" w:fill="CCEEFF"/>
          </w:tcPr>
          <w:p>
            <w:pPr>
              <w:spacing w:after="0"/>
              <w:rPr>
                <w:sz w:val="13"/>
                <w:szCs w:val="13"/>
                <w:color w:val="auto"/>
              </w:rPr>
            </w:pPr>
          </w:p>
        </w:tc>
      </w:tr>
      <w:tr>
        <w:trPr>
          <w:trHeight w:val="166"/>
        </w:trPr>
        <w:tc>
          <w:tcPr>
            <w:tcW w:w="8500" w:type="dxa"/>
            <w:vAlign w:val="bottom"/>
            <w:gridSpan w:val="2"/>
          </w:tcPr>
          <w:p>
            <w:pPr>
              <w:spacing w:after="0"/>
              <w:rPr>
                <w:sz w:val="20"/>
                <w:szCs w:val="20"/>
                <w:color w:val="auto"/>
              </w:rPr>
            </w:pPr>
            <w:r>
              <w:rPr>
                <w:rFonts w:ascii="Arial" w:cs="Arial" w:eastAsia="Arial" w:hAnsi="Arial"/>
                <w:sz w:val="13"/>
                <w:szCs w:val="13"/>
                <w:color w:val="auto"/>
              </w:rPr>
              <w:t>Total financial assurance</w:t>
            </w:r>
          </w:p>
        </w:tc>
        <w:tc>
          <w:tcPr>
            <w:tcW w:w="14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6,426</w:t>
            </w:r>
          </w:p>
        </w:tc>
        <w:tc>
          <w:tcPr>
            <w:tcW w:w="100" w:type="dxa"/>
            <w:vAlign w:val="bottom"/>
          </w:tcPr>
          <w:p>
            <w:pPr>
              <w:spacing w:after="0"/>
              <w:rPr>
                <w:sz w:val="14"/>
                <w:szCs w:val="14"/>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180" w:right="140" w:hanging="493"/>
        <w:spacing w:after="0" w:line="264" w:lineRule="auto"/>
        <w:tabs>
          <w:tab w:leader="none" w:pos="118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use surety bonds and insurance policies issued by a wholly-owned insurance subsidiary, National Guaranty Insurance Company of Vermont, the sole business of which is to issue financial assurance to WMI and our subsidiaries. National Guaranty Insurance Company is authorized to write up to approximately $1.4 billion in surety bonds or insurance policies for our closure and post-closure requirements, waste collection contracts and other business related obligations.</w:t>
      </w:r>
    </w:p>
    <w:p>
      <w:pPr>
        <w:spacing w:after="0" w:line="17" w:lineRule="exact"/>
        <w:rPr>
          <w:rFonts w:ascii="Arial" w:cs="Arial" w:eastAsia="Arial" w:hAnsi="Arial"/>
          <w:sz w:val="13"/>
          <w:szCs w:val="13"/>
          <w:color w:val="auto"/>
        </w:rPr>
      </w:pPr>
    </w:p>
    <w:p>
      <w:pPr>
        <w:ind w:left="1180" w:right="80" w:hanging="493"/>
        <w:spacing w:after="0" w:line="264" w:lineRule="auto"/>
        <w:tabs>
          <w:tab w:leader="none" w:pos="118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hold a non-controlling financial interest in an entity that we use to obtain financial assurance. Our contractual agreement with this entity does not specifically limit the amounts of surety bonds or insurance that we may obtain, making our financial assurance under this agreement limited only by the guidelines and restrictions of surety and insurance regulations.</w:t>
      </w:r>
    </w:p>
    <w:p>
      <w:pPr>
        <w:spacing w:after="0" w:line="17" w:lineRule="exact"/>
        <w:rPr>
          <w:rFonts w:ascii="Arial" w:cs="Arial" w:eastAsia="Arial" w:hAnsi="Arial"/>
          <w:sz w:val="13"/>
          <w:szCs w:val="13"/>
          <w:color w:val="auto"/>
        </w:rPr>
      </w:pPr>
    </w:p>
    <w:p>
      <w:pPr>
        <w:ind w:left="1180" w:right="220" w:hanging="493"/>
        <w:spacing w:after="0" w:line="276" w:lineRule="auto"/>
        <w:tabs>
          <w:tab w:leader="none" w:pos="1180" w:val="left"/>
        </w:tabs>
        <w:numPr>
          <w:ilvl w:val="0"/>
          <w:numId w:val="7"/>
        </w:numPr>
        <w:rPr>
          <w:rFonts w:ascii="Arial" w:cs="Arial" w:eastAsia="Arial" w:hAnsi="Arial"/>
          <w:sz w:val="13"/>
          <w:szCs w:val="13"/>
          <w:color w:val="auto"/>
        </w:rPr>
      </w:pPr>
      <w:r>
        <w:rPr>
          <w:rFonts w:ascii="Arial" w:cs="Arial" w:eastAsia="Arial" w:hAnsi="Arial"/>
          <w:sz w:val="13"/>
          <w:szCs w:val="13"/>
          <w:color w:val="auto"/>
        </w:rPr>
        <w:t>WMI has a $2.4 billion revolving credit facility that matures in August 2011. At December 31, 2007, $300 million of borrowings were outstanding under the facility and we had unused and available credit capacity of $663 million.</w:t>
      </w:r>
    </w:p>
    <w:p>
      <w:pPr>
        <w:spacing w:after="0" w:line="10" w:lineRule="exact"/>
        <w:rPr>
          <w:rFonts w:ascii="Arial" w:cs="Arial" w:eastAsia="Arial" w:hAnsi="Arial"/>
          <w:sz w:val="13"/>
          <w:szCs w:val="13"/>
          <w:color w:val="auto"/>
        </w:rPr>
      </w:pPr>
    </w:p>
    <w:p>
      <w:pPr>
        <w:jc w:val="both"/>
        <w:ind w:left="1180" w:right="40" w:hanging="493"/>
        <w:spacing w:after="0" w:line="264" w:lineRule="auto"/>
        <w:tabs>
          <w:tab w:leader="none" w:pos="118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have a $15 million letter of credit and term loan agreement, a $175 million letter of credit and term loan agreement and a $105 million letter of credit and term loan agreement, which expire in June 2008, 2010, and 2013, respectively. At December 31, 2007, $1 million was unused and available under the letter of credit and term loan agreements to support letters of credit.</w:t>
      </w:r>
    </w:p>
    <w:p>
      <w:pPr>
        <w:spacing w:after="0" w:line="17" w:lineRule="exact"/>
        <w:rPr>
          <w:rFonts w:ascii="Arial" w:cs="Arial" w:eastAsia="Arial" w:hAnsi="Arial"/>
          <w:sz w:val="13"/>
          <w:szCs w:val="13"/>
          <w:color w:val="auto"/>
        </w:rPr>
      </w:pPr>
    </w:p>
    <w:p>
      <w:pPr>
        <w:ind w:left="1180" w:right="80" w:hanging="493"/>
        <w:spacing w:after="0" w:line="276" w:lineRule="auto"/>
        <w:tabs>
          <w:tab w:leader="none" w:pos="118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have a $350 million letter of credit facility that matures in December 2008. At December 31, 2007, the entire capacity under the facility was used to support outstanding letters of credit.</w:t>
      </w:r>
    </w:p>
    <w:p>
      <w:pPr>
        <w:spacing w:after="0" w:line="10" w:lineRule="exact"/>
        <w:rPr>
          <w:rFonts w:ascii="Arial" w:cs="Arial" w:eastAsia="Arial" w:hAnsi="Arial"/>
          <w:sz w:val="13"/>
          <w:szCs w:val="13"/>
          <w:color w:val="auto"/>
        </w:rPr>
      </w:pPr>
    </w:p>
    <w:p>
      <w:pPr>
        <w:ind w:left="1180" w:hanging="493"/>
        <w:spacing w:after="0"/>
        <w:tabs>
          <w:tab w:leader="none" w:pos="118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funded trust and escrow accounts have been established to support landfill closure, post-closure and environmental remediation obligations, the repayment of debt obligations</w:t>
      </w:r>
    </w:p>
    <w:p>
      <w:pPr>
        <w:spacing w:after="0" w:line="27"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and our performance under various operating contracts. Balances maintained in these trust funds and escrow accounts will fluctuate based on (i) changes in statutory requirements;</w:t>
      </w:r>
    </w:p>
    <w:p>
      <w:pPr>
        <w:spacing w:after="0" w:line="31" w:lineRule="exact"/>
        <w:rPr>
          <w:sz w:val="20"/>
          <w:szCs w:val="20"/>
          <w:color w:val="auto"/>
        </w:rPr>
      </w:pPr>
    </w:p>
    <w:p>
      <w:pPr>
        <w:ind w:left="1380" w:hanging="192"/>
        <w:spacing w:after="0"/>
        <w:tabs>
          <w:tab w:leader="none" w:pos="1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future deposits made to comply with contractual arrangements; (iii) the ongoing use of funds for qualifying activities; (iv) acquisitions or divestitures of landfills; and</w:t>
      </w:r>
    </w:p>
    <w:p>
      <w:pPr>
        <w:spacing w:after="0" w:line="19" w:lineRule="exact"/>
        <w:rPr>
          <w:rFonts w:ascii="Arial" w:cs="Arial" w:eastAsia="Arial" w:hAnsi="Arial"/>
          <w:sz w:val="12"/>
          <w:szCs w:val="12"/>
          <w:color w:val="auto"/>
        </w:rPr>
      </w:pPr>
    </w:p>
    <w:p>
      <w:pPr>
        <w:ind w:left="1380" w:hanging="192"/>
        <w:spacing w:after="0"/>
        <w:tabs>
          <w:tab w:leader="none" w:pos="1380" w:val="left"/>
        </w:tabs>
        <w:numPr>
          <w:ilvl w:val="0"/>
          <w:numId w:val="9"/>
        </w:numPr>
        <w:rPr>
          <w:rFonts w:ascii="Arial" w:cs="Arial" w:eastAsia="Arial" w:hAnsi="Arial"/>
          <w:sz w:val="13"/>
          <w:szCs w:val="13"/>
          <w:color w:val="auto"/>
        </w:rPr>
      </w:pPr>
      <w:r>
        <w:rPr>
          <w:rFonts w:ascii="Arial" w:cs="Arial" w:eastAsia="Arial" w:hAnsi="Arial"/>
          <w:sz w:val="13"/>
          <w:szCs w:val="13"/>
          <w:color w:val="auto"/>
        </w:rPr>
        <w:t>changes in the fair value of the financial instruments held in the trust fund or escrow accounts.</w:t>
      </w:r>
    </w:p>
    <w:p>
      <w:pPr>
        <w:spacing w:after="0" w:line="28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80" w:right="100" w:hanging="493"/>
        <w:spacing w:after="0" w:line="276" w:lineRule="auto"/>
        <w:tabs>
          <w:tab w:leader="none" w:pos="11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WMI provides financial guarantees on behalf of its subsidiaries to municipalities, customers and regulatory authorities. They are provided primarily to support our performance of landfill closure and post-closure activities.</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assets held in our funded trust and escrow accounts may be drawn and used to meet the obligations for which the trusts and escrows were established. Other than these permitted draws on funds, virtually no claims have been made against our financial assurance instruments in the past, and considering our current financial position, management does not expect there to be claims against these instruments that will have a material adverse effect on our consolidated financial statements. In an ongoing effort to mitigate the risks of future cost increases and reductions in available capacity, we are continually evaluating various options to access cost-effective sources of financial assurance.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Insurance</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We carry a broad range of insurance coverages, including general liability, automobile liability, real 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general liability, workers’ compensation and auto insurance programs have per incident deductibles of $2.5 million, $1.5 million and $1 million, respectively. Effective January 1, 2008, we increased the per incident deductible for our workers’ compensation insurance program to $5 million. We do not expect the impact of any known casualty, property, environmental or other contingency to have a material impact on our financial condition, results of operations or cash flows. Our estimated insurance liabilities as of December 31, 2007 are summarized in Note 10 to the Consolidated Financial Statements.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Regulation</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business is subject to extensive and evolving federal, state or provincial and local environmental, health, safety and transportation laws and regulations. These laws and regulations are administered by the EPA and various other federal, state and local environmental, zoning, transportation, land use, health and safety agencies in the United States and various agencies in Canada. Many of these agencies regularly examine our operations to monitor compliance with these laws and regulations and have the power to enforce compliance, obtain injunctions or impose civil or criminal penalties in case of violations.</w:t>
      </w:r>
    </w:p>
    <w:p>
      <w:pPr>
        <w:spacing w:after="0" w:line="70"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Because the major component of our business is the collection and disposal of solid waste in an environmentally sound manner, a significant amount of our capital expenditures is related, either directly or indirectly, to environmental protection measures, including compliance with federal, state or provincial and local provisions that regulate the discharge of materials into the environment. There are costs associated with siting, design, operations, monitoring, site maintenance, corrective actions, financial assurance, and facility closure and post-closure obligations. In connection with our acquisition, development or expansion of a disposal facility or transfer station, we must often spend considerable time, effort and money to obtain or maintain necessary required permits and approvals. There cannot be any assurances that we will be able to obtain or maintain necessary governmental approvals. Once obtained, operating permits are subject to modification, suspension or revocation by the issuing agency. Compliance with these and any future regulatory requirements could require us to make significant capital and operating expenditures. However, most of these expenditures are made in the normal course of business and do not place us at any competitive disadvantage.</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primary United States federal statutes affecting our business are summarized below:</w:t>
      </w:r>
    </w:p>
    <w:p>
      <w:pPr>
        <w:spacing w:after="0" w:line="96" w:lineRule="exact"/>
        <w:rPr>
          <w:sz w:val="20"/>
          <w:szCs w:val="20"/>
          <w:color w:val="auto"/>
        </w:rPr>
      </w:pPr>
    </w:p>
    <w:p>
      <w:pPr>
        <w:ind w:left="1280" w:hanging="190"/>
        <w:spacing w:after="0" w:line="289" w:lineRule="auto"/>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Resource Conservation and Recovery Act of 1976, as amended, regulates handling, transporting and disposing of hazardous and non-hazardous waste and delegates authority to states to develop programs to ensure the safe disposal of solid waste. In 1991, the EPA issued its final regulations under Subtitle D of RCRA, which set forth minimum federal performance and design criteria for solid waste landfills. These regulations must be implemented by the states, although states can impose requirements that are more stringent than the Subtitle D standards. We incur costs in complying with these standards in the ordinary course of our operations.</w:t>
      </w:r>
    </w:p>
    <w:p>
      <w:pPr>
        <w:spacing w:after="0" w:line="43" w:lineRule="exact"/>
        <w:rPr>
          <w:rFonts w:ascii="Arial" w:cs="Arial" w:eastAsia="Arial" w:hAnsi="Arial"/>
          <w:sz w:val="12"/>
          <w:szCs w:val="12"/>
          <w:color w:val="auto"/>
        </w:rPr>
      </w:pPr>
    </w:p>
    <w:p>
      <w:pPr>
        <w:ind w:left="1280" w:right="4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Comprehensive Environmental Response, Compensation and Liability Act of 1980, as amended, which is also known as Superfund, provides for federal authority to respond directly to releases or threatened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line="280" w:lineRule="auto"/>
        <w:rPr>
          <w:sz w:val="20"/>
          <w:szCs w:val="20"/>
          <w:color w:val="auto"/>
        </w:rPr>
      </w:pPr>
      <w:r>
        <w:rPr>
          <w:rFonts w:ascii="Arial" w:cs="Arial" w:eastAsia="Arial" w:hAnsi="Arial"/>
          <w:sz w:val="12"/>
          <w:szCs w:val="12"/>
          <w:color w:val="auto"/>
        </w:rPr>
        <w:t>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disposal of hazardous substances; it can be based upon the release or threatened release, even as a result of lawful, unintentional and non-negligent action, of hazardous substances as the term is defined by CERCLA and other applicable statutes and regulations. Liability may include contribution for cleanup costs incurred by a defendant in a CERCLA civil action or by an entity that has previously resolved its liability to federal or state regulators in an administrative or judicially approved settlement. Liability could also include liability to a PRP that voluntarily expends site clean-up costs. Further, liability may include damage to publicly owned natural resources. We are subject to potential liability under CERCLA as an owner or operator of facilities at which hazardous substances have been disposed or as a generator or transporter of hazardous substances disposed of at other locations.</w:t>
      </w:r>
    </w:p>
    <w:p>
      <w:pPr>
        <w:spacing w:after="0" w:line="59" w:lineRule="exact"/>
        <w:rPr>
          <w:sz w:val="20"/>
          <w:szCs w:val="20"/>
          <w:color w:val="auto"/>
        </w:rPr>
      </w:pPr>
    </w:p>
    <w:p>
      <w:pPr>
        <w:ind w:left="1280" w:right="120" w:hanging="190"/>
        <w:spacing w:after="0" w:line="281" w:lineRule="auto"/>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Federal Water Pollution Control Act of 1972, known as the Clean Water Act, regulates the discharge of pollutants into streams, rivers, groundwater, or other surface waters from a variety of sources, including solid waste disposal sites. If run-off from our operations may be discharged into surface waters, the Clean Water Act requires us to apply for and obtain discharge permits, conduct sampling and monitoring, and, under certain circumstances, reduce the quantity of pollutants in those discharges. In 1990, the EPA issued additional standards for management of storm water runoff from landfills that require landfills to obtain storm water discharge permits. In addition, if a landfill or a transfer station discharges wastewater through a sewage system to a publicly owned treatment works, the facility must comply with discharge limits imposed by the treatment works. Also, before the development or expansion of a landfill can alter or affect “wetlands,” a permit may have to be obtained providing for mitigation or replacement wetlands. The Clean Water Act provides for civil, criminal and administrative penalties for violations of its provisions.</w:t>
      </w:r>
    </w:p>
    <w:p>
      <w:pPr>
        <w:spacing w:after="0" w:line="48" w:lineRule="exact"/>
        <w:rPr>
          <w:rFonts w:ascii="Arial" w:cs="Arial" w:eastAsia="Arial" w:hAnsi="Arial"/>
          <w:sz w:val="12"/>
          <w:szCs w:val="12"/>
          <w:color w:val="auto"/>
        </w:rPr>
      </w:pPr>
    </w:p>
    <w:p>
      <w:pPr>
        <w:ind w:left="1280" w:right="60" w:hanging="190"/>
        <w:spacing w:after="0" w:line="279" w:lineRule="auto"/>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Clean Air Act of 1970, as amended, provides for increased federal, state and local regulation of the emission of air pollutants. Certain of our operations are subject to the requirements of the Clean Air Act, including large municipal solid waste landfills and large municipal waste-to-energy facilities. Standards have also been imposed on manufacturers of transportation vehicles (including waste collection vehicles). In 1996 the EPA issued new source performance standards and emission guidelines controlling landfill gases from new and existing large landfills. The regulations impose limits on air emissions from large municipal solid waste landfills, subject most of our large municipal solid waste landfills to certain operating permitting requirements under Title V of the Clean Air Act, and, in many instances, require installation of landfill gas collection and control systems to control emissions or to treat and utilize landfill gas on or off-site. In general, controlling emissions involves drilling collection wells into a landfill and routing the gas to a suitable energy recovery system or combustion device. We are currently capturing and utilizing the renewable energy value of landfill gas at 108 of our solid waste landfills. In January 2003, the EPA issued additional regulations that required affected landfills to prepare, by January 2004, startup, shutdown and malfunction plans to ensure proper operation of gas collection, control and treatment systems.</w:t>
      </w:r>
    </w:p>
    <w:p>
      <w:pPr>
        <w:spacing w:after="0" w:line="60" w:lineRule="exact"/>
        <w:rPr>
          <w:rFonts w:ascii="Arial" w:cs="Arial" w:eastAsia="Arial" w:hAnsi="Arial"/>
          <w:sz w:val="12"/>
          <w:szCs w:val="12"/>
          <w:color w:val="auto"/>
        </w:rPr>
      </w:pPr>
    </w:p>
    <w:p>
      <w:pPr>
        <w:jc w:val="both"/>
        <w:ind w:left="1280" w:right="140"/>
        <w:spacing w:after="0" w:line="296" w:lineRule="auto"/>
        <w:rPr>
          <w:rFonts w:ascii="Arial" w:cs="Arial" w:eastAsia="Arial" w:hAnsi="Arial"/>
          <w:sz w:val="12"/>
          <w:szCs w:val="12"/>
          <w:color w:val="auto"/>
        </w:rPr>
      </w:pPr>
      <w:r>
        <w:rPr>
          <w:rFonts w:ascii="Arial" w:cs="Arial" w:eastAsia="Arial" w:hAnsi="Arial"/>
          <w:sz w:val="12"/>
          <w:szCs w:val="12"/>
          <w:color w:val="auto"/>
        </w:rPr>
        <w:t>The EPA has issued new source performance standards and emission guidelines for large and small municipal waste-to-energy facilities, which include stringent emission limits for various pollutants based on Maximum Achievable Control Technology standards. These sources are also subject to operating permit requirements under Title V of the Clean Air Act. The Clean Air Act requires the EPA to review and revise the MACT standards applicable to municipal waste-to-energy facilities every five years.</w:t>
      </w:r>
    </w:p>
    <w:p>
      <w:pPr>
        <w:spacing w:after="0" w:line="49" w:lineRule="exact"/>
        <w:rPr>
          <w:rFonts w:ascii="Arial" w:cs="Arial" w:eastAsia="Arial" w:hAnsi="Arial"/>
          <w:sz w:val="12"/>
          <w:szCs w:val="12"/>
          <w:color w:val="auto"/>
        </w:rPr>
      </w:pPr>
    </w:p>
    <w:p>
      <w:pPr>
        <w:ind w:left="1280" w:right="160" w:hanging="190"/>
        <w:spacing w:after="0" w:line="285" w:lineRule="auto"/>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Occupational Safety and Health Act of 1970, as amended,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safety in excavation and demolition work and the handling of asbestos, may apply to our operations. The Department of Transportation and OSHA, along with other federal agencies, have jurisdiction over certain aspects of hazardous materials and hazardous waste, including safety, movement and disposal . Various state and local agencies with jurisdiction over disposal of hazardous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waste may seek to regulate movement of hazardous materials in areas not otherwise preempted by federal law.</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There are also various state or provincial and local regulations that affect our operations. Sometimes states’ regulations are stricter than federal laws and regulations when not otherwise preempted by federal law. Additionally, our collection and landfill operations could be affected by legislative and regulatory measures requiring or encouraging waste reduction at the source and waste recycling.</w:t>
      </w:r>
    </w:p>
    <w:p>
      <w:pPr>
        <w:spacing w:after="0" w:line="67"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Additionally, certain state and local governments have enacted “flow control” regulations, which attempt to require that all waste generated within the state or local jurisdiction be deposited at specific sites. In 1994, the United States Supreme Court ruled that a flow control ordinance that gave preference to a local facility that was privately owned was unconstitutional, but in 2007 the Court ruled that an ordinance directing waste to a facility owned by the local government was constitutional. In addition, from time to time, the United States Congress has considered legislation authorizing states to adopt regulations, restrictions, or taxes on the importation of out-of-state or out-of-jurisdiction waste. The United States Congress’ adoption of legislation allowing restrictions on interstate transportation of out-of-state or out-of-jurisdiction waste or certain types of flow control or the adoption of legislation affecting interstate transportation of waste at the state level could adversely affect our operations. Courts’ interpretation of flow control legislation or the Supreme Court decisions also could adversely affect our solid waste management services.</w:t>
      </w:r>
    </w:p>
    <w:p>
      <w:pPr>
        <w:spacing w:after="0" w:line="59"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Many states, provinces and local jurisdictions have enacted “fitness” laws that allow the agencies that have jurisdiction over waste services contracts or permits to deny or revoke these contracts or permits based on the applicant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See Notes 3 and 10 to the Consolidated Financial Statements for disclosures relating to our current assessments of the impact of regulations on our current and future operations.</w:t>
      </w:r>
    </w:p>
    <w:p>
      <w:pPr>
        <w:spacing w:after="0" w:line="18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220" w:firstLine="399"/>
        <w:spacing w:after="0" w:line="371" w:lineRule="auto"/>
        <w:rPr>
          <w:sz w:val="20"/>
          <w:szCs w:val="20"/>
          <w:color w:val="auto"/>
        </w:rPr>
      </w:pPr>
      <w:r>
        <w:rPr>
          <w:rFonts w:ascii="Arial" w:cs="Arial" w:eastAsia="Arial" w:hAnsi="Arial"/>
          <w:sz w:val="11"/>
          <w:szCs w:val="11"/>
          <w:color w:val="auto"/>
        </w:rPr>
        <w:t>In an effort to keep our shareholders and the public informed about our business, we may make “forward-looking statements.” Forward-looking statements usually relate to future events and anticipated revenues, earnings, cash flows or other aspects of our operations or operating results. Forward-looking statements generally include statements containing:</w:t>
      </w:r>
    </w:p>
    <w:p>
      <w:pPr>
        <w:spacing w:after="0" w:line="12"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projections about accounting and finances;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plans and objectives for the future;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projections or estimates about assumptions relating to our performance;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opinions, views or beliefs about the effects of current or future events, circumstances or performance.</w:t>
      </w:r>
    </w:p>
    <w:p>
      <w:pPr>
        <w:spacing w:after="0" w:line="96"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You should view these statements with caution. These statements are not guarantees of future performance, circumstances or events. They are based on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Consolidated Financial Statements and the notes thereto. Outlined below are some of the risks that we believe could affect our business and financial statements for 2008 and beyond. These are not the only risks that we face. There may be other risks that we do not presently know or that we currently believe are immaterial that could also impair our business and financial position.</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400"/>
        <w:spacing w:after="0" w:line="276" w:lineRule="auto"/>
        <w:rPr>
          <w:sz w:val="20"/>
          <w:szCs w:val="20"/>
          <w:color w:val="auto"/>
        </w:rPr>
      </w:pPr>
      <w:r>
        <w:rPr>
          <w:rFonts w:ascii="Arial" w:cs="Arial" w:eastAsia="Arial" w:hAnsi="Arial"/>
          <w:sz w:val="13"/>
          <w:szCs w:val="13"/>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encounter intense competition from governmental, quasi-governmental and private sources in all aspects of our operations. In North America, the industry consists of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w:t>
      </w:r>
    </w:p>
    <w:p>
      <w:pPr>
        <w:spacing w:after="0" w:line="71"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addition, competitors may reduce their prices to expand sales volume or to win competitively bid contracts. When this happens, we may rollback prices or offer lower pricing to attract or retain our customers, resulting in a negative impact to our revenue growth from yield on base business.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successfully manage our costs, our income from operations could be lower than expected.</w:t>
      </w:r>
    </w:p>
    <w:p>
      <w:pPr>
        <w:spacing w:after="0" w:line="96"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In recent years, we have implemented several profit improvement initiatives aimed at lowering our costs and enhancing our revenues, and we continue to seek ways to reduce our selling, general and administrative and operating expenses. While generally we have been successful in managing our costs, including subcontractor costs and the effect of fuel price increases, our initiatives may not be sufficient. Even as our revenues increase, if we are unable to control variable costs or increases to our fixed costs in the future, we will be unable to maintain or expand our margins.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cannot guarantee that we will be able to successfully implement our plans and strategies to improve margins and increase our income from operations.</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have announced several programs and strategies that we have implemented or planned to improve our margins and operating results. For example, except when prohibited by contract, we have implemented price increases and environmental fees, and we continue our fuel surcharge programs, all of which have increased our internal revenue growth. The loss of volumes as a result of price increases may negatively affect our cash flows or results of operations. Additionally, 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 If we are not able to fully implement our plans for any reason, many of which are out of our control, we may not see the expected improvements in our income from operations or our operating margins.</w:t>
      </w:r>
    </w:p>
    <w:p>
      <w:pPr>
        <w:spacing w:after="0" w:line="150" w:lineRule="exact"/>
        <w:rPr>
          <w:sz w:val="20"/>
          <w:szCs w:val="20"/>
          <w:color w:val="auto"/>
        </w:rPr>
      </w:pPr>
    </w:p>
    <w:p>
      <w:pPr>
        <w:ind w:left="880" w:right="440"/>
        <w:spacing w:after="0" w:line="276" w:lineRule="auto"/>
        <w:rPr>
          <w:sz w:val="20"/>
          <w:szCs w:val="20"/>
          <w:color w:val="auto"/>
        </w:rPr>
      </w:pPr>
      <w:r>
        <w:rPr>
          <w:rFonts w:ascii="Arial" w:cs="Arial" w:eastAsia="Arial" w:hAnsi="Arial"/>
          <w:sz w:val="13"/>
          <w:szCs w:val="13"/>
          <w:b w:val="1"/>
          <w:bCs w:val="1"/>
          <w:i w:val="1"/>
          <w:iCs w:val="1"/>
          <w:color w:val="auto"/>
        </w:rPr>
        <w:t>The seasonal nature of our business and changes in general and local economic conditions cause our quarterly results to fluctuate, and prior performance is not necessarily indicative of our future results.</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experienced during 2004 and 2005,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business is affected by changes in national and general economic factors that are also outside of our control, including interest rates and consumer confidence. We have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$2.9 billion of debt as of December 31, 2007 that is exposed to changes in market interest rates because of the combined impact of our variable rate tax-exempt bonds and our interest rate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swap agreements. Therefore, any increase in interest rates can significantly increase our expenses. Additionally, although our services are of an essential nature, a weak economy generally</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results in decreases in volumes of waste generated, which decreases our revenues. We also face risks related to other adverse</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external factors, such as the ability of our insurers to meet their commitments in a timely manner and the effect that significant claims or litigation against insurance companies may have on such ability.</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Any of the factors described above could materially adversely affect our results of operations and cash flows. Additionally, due to these and other factors, operating results in any interim period are not necessarily indicative of operating results for an entire year, and operating results for any historical period are not necessarily indicative of operating results for a future period.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cannot predict with certainty the extent of future costs under environmental, health and safety laws, and cannot guarantee that they will not be material.</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could be liable if our operations cause environmental damage to our properties or to the property of other landowners, particularly as a result of the contamination of air, drinking water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71"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59" w:lineRule="exact"/>
        <w:rPr>
          <w:sz w:val="20"/>
          <w:szCs w:val="20"/>
          <w:color w:val="auto"/>
        </w:rPr>
      </w:pPr>
    </w:p>
    <w:p>
      <w:pPr>
        <w:ind w:left="1280" w:hanging="190"/>
        <w:spacing w:after="0" w:line="276"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49"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local communities and 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59"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14" w:lineRule="exact"/>
        <w:rPr>
          <w:sz w:val="20"/>
          <w:szCs w:val="20"/>
          <w:color w:val="auto"/>
        </w:rPr>
      </w:pPr>
    </w:p>
    <w:p>
      <w:pPr>
        <w:ind w:left="880" w:right="260"/>
        <w:spacing w:after="0" w:line="276" w:lineRule="auto"/>
        <w:rPr>
          <w:sz w:val="20"/>
          <w:szCs w:val="20"/>
          <w:color w:val="auto"/>
        </w:rPr>
      </w:pPr>
      <w:r>
        <w:rPr>
          <w:rFonts w:ascii="Arial" w:cs="Arial" w:eastAsia="Arial" w:hAnsi="Arial"/>
          <w:sz w:val="13"/>
          <w:szCs w:val="13"/>
          <w:b w:val="1"/>
          <w:bCs w:val="1"/>
          <w:i w:val="1"/>
          <w:iCs w:val="1"/>
          <w:color w:val="auto"/>
        </w:rPr>
        <w:t>The waste industry is subject to extensive government regulation, and existing or future regulations may restrict our operations, increase our costs of operations or require us to make additional capital expenditures.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Stringent government regulations at the federal, state, provincial,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67"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limitations on siting and constructing new waste disposal, transfer or processing facilities or expanding existing facilities;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limitations, regulations or levies on collection and disposal prices, rates and volumes;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limitations or bans on disposal or transportation of out-of-state waste or certain categories of waste;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mandates regarding the disposal of solid waste</w:t>
      </w:r>
    </w:p>
    <w:p>
      <w:pPr>
        <w:spacing w:after="0" w:line="96" w:lineRule="exact"/>
        <w:rPr>
          <w:sz w:val="20"/>
          <w:szCs w:val="20"/>
          <w:color w:val="auto"/>
        </w:rPr>
      </w:pPr>
    </w:p>
    <w:p>
      <w:pPr>
        <w:ind w:left="680" w:right="20" w:firstLine="399"/>
        <w:spacing w:after="0" w:line="371" w:lineRule="auto"/>
        <w:rPr>
          <w:sz w:val="20"/>
          <w:szCs w:val="20"/>
          <w:color w:val="auto"/>
        </w:rPr>
      </w:pPr>
      <w:r>
        <w:rPr>
          <w:rFonts w:ascii="Arial" w:cs="Arial" w:eastAsia="Arial" w:hAnsi="Arial"/>
          <w:sz w:val="11"/>
          <w:szCs w:val="11"/>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1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order to develop, expand or operate a landfill or other waste management facility, we must have various facility permits and other governmental approvals, including those relating to zoning, environmental protection and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land use. The permits and approvals are often difficult, time consuming and costly to obtain and could contain conditions that limit our operations.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Governmental authorities may enact climate change regulations that could increase our costs to operate.</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Environmental advocacy groups and regulatory agencies in the United States have been focusing considerable attention on the emissions of greenhouse gases and their potential role in climate change. The adoption of laws and regulations to implement controls of greenhouse gases, including the imposition of fees or taxes, could adversely affect our collection and disposal operations. Additionally, certain of the states in which we operate are contemplating air pollution control regulations that are more stringent than existing and proposed federal regulations. Changing environmental regulations could require us to take any number of actions, including the purchase of emission allowances or installation of additional pollution control technology, and could make some operations less profitable, which could adversely affect our results of operations.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Significant shortages in fuel supply or increases in fuel prices will increase our operating expenses.</w:t>
      </w:r>
    </w:p>
    <w:p>
      <w:pPr>
        <w:spacing w:after="0" w:line="96"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The price and supply of fuel are unpredictable, and can fluctuate significantly based on international, political and economic circumstances, as well as other factors outside our control, such as actions by the Organization of the Petroleum Exporting Countries, or OPEC, and other oil and gas producers, regional production patterns, weather conditions and environmental concerns. In the past two years, the year-over-year changes in the average quarterly fuel prices have ranged from an increase of 28% to a decrease of 5%. We need fuel to run our collection and transfer trucks and equipment used in our landfill operations. Supply shortages could substantially increase our operating expenses. Additionally, as fuel prices increase, our direct operating expenses 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 through of the increased costs. We may initiate other programs or means to guard against the rising costs of fuel, although there can be no assurances that we will be able to do so or that such programs will be successful. Regardless of any offsetting surcharge programs, the increased operating costs will decrease our operating margins.</w:t>
      </w:r>
    </w:p>
    <w:p>
      <w:pPr>
        <w:spacing w:after="0" w:line="137" w:lineRule="exact"/>
        <w:rPr>
          <w:sz w:val="20"/>
          <w:szCs w:val="20"/>
          <w:color w:val="auto"/>
        </w:rPr>
      </w:pPr>
    </w:p>
    <w:p>
      <w:pPr>
        <w:ind w:left="880" w:right="280"/>
        <w:spacing w:after="0" w:line="276" w:lineRule="auto"/>
        <w:rPr>
          <w:sz w:val="20"/>
          <w:szCs w:val="20"/>
          <w:color w:val="auto"/>
        </w:rPr>
      </w:pPr>
      <w:r>
        <w:rPr>
          <w:rFonts w:ascii="Arial" w:cs="Arial" w:eastAsia="Arial" w:hAnsi="Arial"/>
          <w:sz w:val="13"/>
          <w:szCs w:val="13"/>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59"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 required levels. We face the risk of incurring liabilities for environmental damage if our insurance coverage is ultimately inadequate to cover those damages. We also carry a broad range of insurance coverages that are customary for a company our size. We use these programs to mitigate risk of loss, thereby allowing us to manage our self-insurance exposure associated with claims. To the extent our insurers were unable to meet their obligations, or our own obligations for claims were more than we estimated, there could be a material adverse effect to our financial results.</w:t>
      </w:r>
    </w:p>
    <w:p>
      <w:pPr>
        <w:spacing w:after="0" w:line="55"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In addition, to fulfill our financial assurance obligations with respect to environmental closure and post-closure liabilities, we generally obtain letters of credit or surety bonds, rely on insurance, including captive insurance, or fund trust and escrow accounts. We currently have in place all financial assurance instruments necessary for our operations. We do not anticipate any unmanageable difficulty in obtaining financial assurance instruments in the future. However, in the event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 and our ability to meet our obligations as they become due.</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The possibility of development and expansion projects or pending acquisitions not being completed or certain other events could result in a material charge against our earnings.</w:t>
      </w:r>
    </w:p>
    <w:p>
      <w:pPr>
        <w:spacing w:after="0" w:line="11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 accordance with generally accepted accounting principles, we capitalize certain expenditures and advances relating to disposal site development, expansion projects, acquisitions, software development costs and other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projects. If a facility or operation is permanently shut down or determined to be impaired, a pending acquisition is not completed, a development or expansion project is not completed or is determined to be impaired, we will charge against earnings any unamortized capitalized expenditures and advances relating to such facility, acquisition or project. We reduce the charge against earnings by any portion of the capitalized costs that we estimate will be recoverable, through sale or otherwise.</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In future periods, we may be required to incur charges against earnings in accordance with this policy, or due to other events that cause impairments. Any such charges could have a material adverse effect on our results of operations.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revenues will fluctuate based on changes in commodity prices.</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Our recycling operations process for sale certain recyclable materials, including fibers, aluminum and glass, all of which are subject to significant market price fluctuations. The majority of the recyclables that we process for sale are paper fibers, including old corrugated cardboard, known as OCC, and old newsprint, or ONP. In the past two years, the year-over-year changes in the quarterly average market prices for OCC ranged from a decrease of as much as 34% to an increase of as much as 83%. The same comparisons for ONP have ranged from a decrease of as much as 16% to an increase of as much as 47%. These fluctuations can affect future operating income and cash flows. Additionally, our recycling operations offer rebates to suppliers, based on the market prices of commodities we buy to process for resale. Therefore, even if we experience higher revenues based on increased market prices for commodities, the rebates we pay will also increase.</w:t>
      </w:r>
    </w:p>
    <w:p>
      <w:pPr>
        <w:spacing w:after="0" w:line="72"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Additionally, there may be significant price fluctuations in the price of methane gas, electricity and other energy related products that are marketed and sold by our landfill gas recovery, waste-to-energy and independent power production plant operations. The marketing and sales of energy related products by our landfill gas and waste-to-energy operations are generally pursuant to long-term sales agreements. Therefore, market fluctuations do not have a significant effect on these operations in the short-term. However, as those agreements expire and are up for renewal, changes in market prices may affect our revenues. Additionally, revenues from our independent power production plants can be affected by price fluctuations. In the past two years, the year-over-year changes in the average quarterly electricity prices have increased or decreased by as much as 5%.</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development and acceptance of alternatives to landfill disposal and waste-to-energy facilities could reduce our ability to operate at full capacity.</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Our customers are increasingly using alternatives to landfill and waste-to-energy disposal, such as recycling and composting. In addition, some state and local governments mandate recycling and waste reduction at the source and prohibit the disposal of certain types of waste, such as yard waste, at landfills or waste-to-energy facilities. Although such mandates are a useful tool to protect our environment, these developments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Efforts by labor unions to organize our employees could increase our operating expenses.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Labor unions constantly make attempts to organize our employees, and these efforts will likely continue in the future. Certain groups of our employees have already chosen to be represented by unions, and we have negotiated collective bargaining agreements with some of the groups. Additional groups of employees may seek union representation in the future, and, if successful, the negotiation of collective bargaining agreements could divert management attention and result in increased operating expenses and lower net income. If we are unable to negotiate acceptable collective bargaining agreements, work stoppages, including strikes, could ensue. Depending on the type and duration of any labor disruptions, our operating expenses could increase significantly, which could adversely affect our financial condition, results of operations and cash flows.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Currently pending or future litigation or governmental proceedings could result in material adverse consequences, including judgments or settlements.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are involved in civil litigation in the ordinary course of our business and from time-to-time are involved in governmental proceedings relating to the conduct of our business. The timing of the final resolutions to these types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of matters is often uncertain. Additionally, the possible outcomes or resolutions to these matters could include adverse judgments or settlements, either of which could require substantial payments, adversely affecting our liquidity.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increasingly dependent on technology in our operations and if our technology fails, our business could be adversely affected.</w:t>
      </w:r>
    </w:p>
    <w:p>
      <w:pPr>
        <w:spacing w:after="0" w:line="96"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We may experience problems with either the operation of our current information technology systems or the development and deployment of new information technology systems that could adversely affect, or even temporarily disrupt, all or a portion of our operations until resolved. We encountered problems with the new revenue management application that we had been piloting throughout 2007, resulting in the termination of the pilot while we determine how to proceed on an enterprise-wide basis. The termination of the pilot may lead to additional costs and expenses, which could be material. Additionally, the delay in implementing a new, enterprise-wide revenue management system may negatively affect our ability to improve our operating margins. Finally, there can be no assurances that our issues related to the licensed application will not ultimately result in an impairment charge, which could be material.</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Additionally, any systems failures could impede our ability to timely collect and report financial results in accordance with applicable law and regulations.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experience adverse impacts on our reported results of operations as a result of adopting new accounting standards or interpretations.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Our implementation of and compliance with changes in accounting rules, including new accounting rules and interpretations, could adversely affect our reported operating results or cause unanticipated fluctuations in our reported operating results in future periods.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Unforeseen circumstances could result in a need for additional capital.</w:t>
      </w:r>
    </w:p>
    <w:p>
      <w:pPr>
        <w:spacing w:after="0" w:line="96"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We currently expect to meet our anticipated cash needs for capital expenditures, acquisitions and other cash expenditures with our cash flows from operations and, to the extent necessary, additional financings. However, materially adverse events could reduce our cash flows from operations. Our Board of Directors has approved a capital allocation program that provides for up to $1.4 billion in aggregate dividend payments and share repurchases during 2008 and recently announced that it expects future quarterly dividend payments, when declared by the Board of Directors, to be $0.27 per share. If our cash flows from operations were negatively affected, we could be forced to reduce capital expenditures, acquisition activity, share repurchase activity or dividend declarations. In these circumstances we instead may elect to incur more indebtedness. If we made such an election, there can be no assurances that we would be able to obtain additional financings on acceptable terms. In these circumstances, we would likely use our revolving credit facility to meet our cash needs.</w:t>
      </w:r>
    </w:p>
    <w:p>
      <w:pPr>
        <w:spacing w:after="0" w:line="59"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In the event of a default under our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Any such default would have a material adverse effect on our ability to operate.</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Properties.</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Our principal executive offices are in Houston, Texas, where we lease approximately 390,000 square feet under leases expiring at various times through 2010. Our operating Group offices are in Pennsylvania, Illinois, Georgia, Arizona, New Hampshire and Texas. We also have field-based administrative offices in Arizona, Illinois and Canada. We own or lease real property in most locations where we have operations. We have operations in each of the fifty states other than Montana and Wyoming. We also have operations in the District of Columbia, Puerto Rico and throughout Canada.</w:t>
      </w:r>
    </w:p>
    <w:p>
      <w:pPr>
        <w:spacing w:after="0" w:line="7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principal property and equipment consist of land (primarily landfills and other disposal facilities, transfer stations and bases for collection operations), buildings, vehicles and equipment. We believe that our vehicles,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40"/>
        <w:spacing w:after="0" w:line="264" w:lineRule="auto"/>
        <w:rPr>
          <w:sz w:val="20"/>
          <w:szCs w:val="20"/>
          <w:color w:val="auto"/>
        </w:rPr>
      </w:pPr>
      <w:r>
        <w:rPr>
          <w:rFonts w:ascii="Arial" w:cs="Arial" w:eastAsia="Arial" w:hAnsi="Arial"/>
          <w:sz w:val="13"/>
          <w:szCs w:val="13"/>
          <w:color w:val="auto"/>
        </w:rPr>
        <w:t xml:space="preserve">equipment, and operating properties are adequately maintained and sufficient for our current operations. However, we expect to continue to make investments in additional equipment and property for expansion, for replacement of assets, and in connection with future acquisitions. For more information, see </w:t>
      </w:r>
      <w:r>
        <w:rPr>
          <w:rFonts w:ascii="Arial" w:cs="Arial" w:eastAsia="Arial" w:hAnsi="Arial"/>
          <w:sz w:val="13"/>
          <w:szCs w:val="13"/>
          <w:i w:val="1"/>
          <w:iCs w:val="1"/>
          <w:color w:val="auto"/>
        </w:rPr>
        <w:t>Management’s Discussion and Analysis of Financial Condition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Results of Operations </w:t>
      </w:r>
      <w:r>
        <w:rPr>
          <w:rFonts w:ascii="Arial" w:cs="Arial" w:eastAsia="Arial" w:hAnsi="Arial"/>
          <w:sz w:val="13"/>
          <w:szCs w:val="13"/>
          <w:color w:val="auto"/>
        </w:rPr>
        <w:t>included within this report.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various operations at December 31 for the periods noted: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900" w:type="dxa"/>
            <w:vAlign w:val="bottom"/>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10"/>
                <w:szCs w:val="10"/>
                <w:color w:val="auto"/>
              </w:rPr>
            </w:pPr>
          </w:p>
        </w:tc>
      </w:tr>
      <w:tr>
        <w:trPr>
          <w:trHeight w:val="29"/>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Landfills:</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900" w:type="dxa"/>
            <w:vAlign w:val="bottom"/>
          </w:tcPr>
          <w:p>
            <w:pPr>
              <w:ind w:left="140"/>
              <w:spacing w:after="0"/>
              <w:rPr>
                <w:sz w:val="20"/>
                <w:szCs w:val="20"/>
                <w:color w:val="auto"/>
              </w:rPr>
            </w:pPr>
            <w:r>
              <w:rPr>
                <w:rFonts w:ascii="Arial" w:cs="Arial" w:eastAsia="Arial" w:hAnsi="Arial"/>
                <w:sz w:val="13"/>
                <w:szCs w:val="13"/>
                <w:color w:val="auto"/>
              </w:rPr>
              <w:t>Owned</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216</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223</w:t>
            </w:r>
          </w:p>
        </w:tc>
      </w:tr>
      <w:tr>
        <w:trPr>
          <w:trHeight w:val="157"/>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Operated through lease agreements(a)</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w:t>
            </w:r>
          </w:p>
        </w:tc>
      </w:tr>
      <w:tr>
        <w:trPr>
          <w:trHeight w:val="157"/>
        </w:trPr>
        <w:tc>
          <w:tcPr>
            <w:tcW w:w="8900" w:type="dxa"/>
            <w:vAlign w:val="bottom"/>
          </w:tcPr>
          <w:p>
            <w:pPr>
              <w:ind w:left="140"/>
              <w:spacing w:after="0"/>
              <w:rPr>
                <w:sz w:val="20"/>
                <w:szCs w:val="20"/>
                <w:color w:val="auto"/>
              </w:rPr>
            </w:pPr>
            <w:r>
              <w:rPr>
                <w:rFonts w:ascii="Arial" w:cs="Arial" w:eastAsia="Arial" w:hAnsi="Arial"/>
                <w:sz w:val="13"/>
                <w:szCs w:val="13"/>
                <w:color w:val="auto"/>
              </w:rPr>
              <w:t>Operated through contractual agreements</w:t>
            </w:r>
          </w:p>
        </w:tc>
        <w:tc>
          <w:tcPr>
            <w:tcW w:w="300" w:type="dxa"/>
            <w:vAlign w:val="bottom"/>
          </w:tcPr>
          <w:p>
            <w:pPr>
              <w:jc w:val="right"/>
              <w:spacing w:after="0"/>
              <w:rPr>
                <w:sz w:val="20"/>
                <w:szCs w:val="20"/>
                <w:color w:val="auto"/>
              </w:rPr>
            </w:pPr>
            <w:r>
              <w:rPr>
                <w:rFonts w:ascii="Arial" w:cs="Arial" w:eastAsia="Arial" w:hAnsi="Arial"/>
                <w:sz w:val="13"/>
                <w:szCs w:val="13"/>
                <w:color w:val="auto"/>
              </w:rPr>
              <w:t>35</w:t>
            </w:r>
          </w:p>
        </w:tc>
        <w:tc>
          <w:tcPr>
            <w:tcW w:w="4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36</w:t>
            </w:r>
          </w:p>
        </w:tc>
      </w:tr>
      <w:tr>
        <w:trPr>
          <w:trHeight w:val="20"/>
        </w:trPr>
        <w:tc>
          <w:tcPr>
            <w:tcW w:w="8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4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Transfer stations</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341</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342</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Material recovery facilities</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Secondary processing facilities</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6</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Waste-to-energy facilities</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w:t>
            </w:r>
          </w:p>
        </w:tc>
      </w:tr>
      <w:tr>
        <w:trPr>
          <w:trHeight w:val="165"/>
        </w:trPr>
        <w:tc>
          <w:tcPr>
            <w:tcW w:w="8900" w:type="dxa"/>
            <w:vAlign w:val="bottom"/>
          </w:tcPr>
          <w:p>
            <w:pPr>
              <w:spacing w:after="0"/>
              <w:rPr>
                <w:sz w:val="20"/>
                <w:szCs w:val="20"/>
                <w:color w:val="auto"/>
              </w:rPr>
            </w:pPr>
            <w:r>
              <w:rPr>
                <w:rFonts w:ascii="Arial" w:cs="Arial" w:eastAsia="Arial" w:hAnsi="Arial"/>
                <w:sz w:val="13"/>
                <w:szCs w:val="13"/>
                <w:color w:val="auto"/>
              </w:rPr>
              <w:t>Independent power production plants</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180" w:right="220" w:hanging="493"/>
        <w:spacing w:after="0" w:line="276"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From an operating perspective, landfills we operate through lease agreements are similar to landfills we own because we own the landfill’s operating permit and will operate the landfill for the entire lease term, which in many cases is the life of the landfill.</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following table provides certain information by Group regarding the 242 landfills owned or operated through lease agreements and a count, by Group, of contracted disposal sites as of December 31, 2007:</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Total</w:t>
            </w: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9"/>
              </w:rPr>
              <w:t>Permitted</w:t>
            </w:r>
          </w:p>
        </w:tc>
        <w:tc>
          <w:tcPr>
            <w:tcW w:w="108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Expansion</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Contracted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Landfills</w:t>
            </w:r>
          </w:p>
        </w:tc>
        <w:tc>
          <w:tcPr>
            <w:tcW w:w="110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1"/>
              </w:rPr>
              <w:t>Disposal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Acreage(a)</w:t>
            </w: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Acreage(b)</w:t>
            </w:r>
          </w:p>
        </w:tc>
        <w:tc>
          <w:tcPr>
            <w:tcW w:w="1080" w:type="dxa"/>
            <w:vAlign w:val="bottom"/>
            <w:gridSpan w:val="2"/>
          </w:tcPr>
          <w:p>
            <w:pPr>
              <w:ind w:left="120"/>
              <w:spacing w:after="0"/>
              <w:rPr>
                <w:sz w:val="20"/>
                <w:szCs w:val="20"/>
                <w:color w:val="auto"/>
              </w:rPr>
            </w:pPr>
            <w:r>
              <w:rPr>
                <w:rFonts w:ascii="Arial" w:cs="Arial" w:eastAsia="Arial" w:hAnsi="Arial"/>
                <w:sz w:val="10"/>
                <w:szCs w:val="10"/>
                <w:b w:val="1"/>
                <w:bCs w:val="1"/>
                <w:color w:val="auto"/>
              </w:rPr>
              <w:t>Acreage(c)</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1"/>
              </w:rPr>
              <w:t>Sites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29,435</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5,934</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601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620" w:type="dxa"/>
            <w:vAlign w:val="bottom"/>
          </w:tcPr>
          <w:p>
            <w:pPr>
              <w:jc w:val="right"/>
              <w:spacing w:after="0"/>
              <w:rPr>
                <w:sz w:val="20"/>
                <w:szCs w:val="20"/>
                <w:color w:val="auto"/>
              </w:rPr>
            </w:pPr>
            <w:r>
              <w:rPr>
                <w:rFonts w:ascii="Arial" w:cs="Arial" w:eastAsia="Arial" w:hAnsi="Arial"/>
                <w:sz w:val="13"/>
                <w:szCs w:val="13"/>
                <w:color w:val="auto"/>
              </w:rPr>
              <w:t>73</w:t>
            </w:r>
          </w:p>
        </w:tc>
        <w:tc>
          <w:tcPr>
            <w:tcW w:w="40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28,251</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7,081</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1,827</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39,590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12,039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507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620" w:type="dxa"/>
            <w:vAlign w:val="bottom"/>
          </w:tcPr>
          <w:p>
            <w:pPr>
              <w:jc w:val="right"/>
              <w:spacing w:after="0"/>
              <w:rPr>
                <w:sz w:val="20"/>
                <w:szCs w:val="20"/>
                <w:color w:val="auto"/>
              </w:rPr>
            </w:pPr>
            <w:r>
              <w:rPr>
                <w:rFonts w:ascii="Arial" w:cs="Arial" w:eastAsia="Arial" w:hAnsi="Arial"/>
                <w:sz w:val="13"/>
                <w:szCs w:val="13"/>
                <w:color w:val="auto"/>
              </w:rPr>
              <w:t>43</w:t>
            </w:r>
          </w:p>
        </w:tc>
        <w:tc>
          <w:tcPr>
            <w:tcW w:w="40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41,744</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9,981</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1,162</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242</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139,801</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35,324</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4,097</w:t>
            </w:r>
          </w:p>
        </w:tc>
        <w:tc>
          <w:tcPr>
            <w:tcW w:w="3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300" w:hanging="493"/>
        <w:spacing w:after="0" w:line="276"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“Total acreage” includes permitted acreage, expansion acreage, other acreage available for future disposal that has not been permitted, buffer land and other land owned by our landfill operations.</w:t>
      </w:r>
    </w:p>
    <w:p>
      <w:pPr>
        <w:spacing w:after="0" w:line="10" w:lineRule="exact"/>
        <w:rPr>
          <w:rFonts w:ascii="Arial" w:cs="Arial" w:eastAsia="Arial" w:hAnsi="Arial"/>
          <w:sz w:val="13"/>
          <w:szCs w:val="13"/>
          <w:color w:val="auto"/>
        </w:rPr>
      </w:pPr>
    </w:p>
    <w:p>
      <w:pPr>
        <w:ind w:left="1180" w:hanging="493"/>
        <w:spacing w:after="0"/>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“Permitted acreage” consists of all acreage at the landfill encompassed by an active permit to dispose of waste.</w:t>
      </w:r>
    </w:p>
    <w:p>
      <w:pPr>
        <w:spacing w:after="0" w:line="47" w:lineRule="exact"/>
        <w:rPr>
          <w:rFonts w:ascii="Arial" w:cs="Arial" w:eastAsia="Arial" w:hAnsi="Arial"/>
          <w:sz w:val="13"/>
          <w:szCs w:val="13"/>
          <w:color w:val="auto"/>
        </w:rPr>
      </w:pPr>
    </w:p>
    <w:p>
      <w:pPr>
        <w:ind w:left="1180" w:right="20" w:hanging="493"/>
        <w:spacing w:after="0" w:line="264"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 xml:space="preserve">“Expansion acreage” consists of unpermitted acreage where the related expansion efforts meet our criteria to be included as expansion airspace. A discussion of the related criteria is included within the </w:t>
      </w:r>
      <w:r>
        <w:rPr>
          <w:rFonts w:ascii="Arial" w:cs="Arial" w:eastAsia="Arial" w:hAnsi="Arial"/>
          <w:sz w:val="13"/>
          <w:szCs w:val="13"/>
          <w:i w:val="1"/>
          <w:iCs w:val="1"/>
          <w:color w:val="auto"/>
        </w:rPr>
        <w:t>Management’s Discussion and Analysis of Financial Condition and Results of Operations — Critical Accounting Estimates and Assumptions</w:t>
      </w:r>
      <w:r>
        <w:rPr>
          <w:rFonts w:ascii="Arial" w:cs="Arial" w:eastAsia="Arial" w:hAnsi="Arial"/>
          <w:sz w:val="13"/>
          <w:szCs w:val="13"/>
          <w:color w:val="auto"/>
        </w:rPr>
        <w:t xml:space="preserve"> section included herein.</w:t>
      </w:r>
    </w:p>
    <w:p>
      <w:pPr>
        <w:spacing w:after="0" w:line="14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Information regarding our legal proceedings can be found under the </w:t>
      </w:r>
      <w:r>
        <w:rPr>
          <w:rFonts w:ascii="Arial" w:cs="Arial" w:eastAsia="Arial" w:hAnsi="Arial"/>
          <w:sz w:val="13"/>
          <w:szCs w:val="13"/>
          <w:i w:val="1"/>
          <w:iCs w:val="1"/>
          <w:color w:val="auto"/>
        </w:rPr>
        <w:t>Litigation</w:t>
      </w:r>
      <w:r>
        <w:rPr>
          <w:rFonts w:ascii="Arial" w:cs="Arial" w:eastAsia="Arial" w:hAnsi="Arial"/>
          <w:sz w:val="13"/>
          <w:szCs w:val="13"/>
          <w:color w:val="auto"/>
        </w:rPr>
        <w:t xml:space="preserve"> section of Note 10 in the Consolidated Financial Statements included in this report.</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did not submit any matters to a vote of our stockholders during the fourth quarter of 2007.</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common stock is traded on the New York Stock Exchange (“NYSE”) under the symbol “WMI.” The following table sets forth the range of the high and low per share sales prices for our common stock as reported on the NYSE:</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High</w:t>
            </w:r>
          </w:p>
        </w:tc>
        <w:tc>
          <w:tcPr>
            <w:tcW w:w="100" w:type="dxa"/>
            <w:vAlign w:val="bottom"/>
          </w:tcPr>
          <w:p>
            <w:pPr>
              <w:spacing w:after="0"/>
              <w:rPr>
                <w:sz w:val="10"/>
                <w:szCs w:val="10"/>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Low</w:t>
            </w:r>
          </w:p>
        </w:tc>
      </w:tr>
      <w:tr>
        <w:trPr>
          <w:trHeight w:val="29"/>
        </w:trPr>
        <w:tc>
          <w:tcPr>
            <w:tcW w:w="8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35.35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30.08</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38.34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33.83</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37.41</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32.88</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38.64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35.68</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38.70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32.56</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Second Quarter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40.35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33.93</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40.80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33.94</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39.11</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32.56</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5"/>
        </w:trPr>
        <w:tc>
          <w:tcPr>
            <w:tcW w:w="8500" w:type="dxa"/>
            <w:vAlign w:val="bottom"/>
          </w:tcPr>
          <w:p>
            <w:pPr>
              <w:ind w:left="140"/>
              <w:spacing w:after="0"/>
              <w:rPr>
                <w:sz w:val="20"/>
                <w:szCs w:val="20"/>
                <w:color w:val="auto"/>
              </w:rPr>
            </w:pPr>
            <w:r>
              <w:rPr>
                <w:rFonts w:ascii="Arial" w:cs="Arial" w:eastAsia="Arial" w:hAnsi="Arial"/>
                <w:sz w:val="13"/>
                <w:szCs w:val="13"/>
                <w:color w:val="auto"/>
              </w:rPr>
              <w:t>First Quarter (through February 11, 2008)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33.45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28.10</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On February 11, 2008, the closing sale price as reported on the NYSE was $32.16 per share. The number of holders of record of our common stock at February 11, 2008 was 15,215.</w:t>
      </w:r>
    </w:p>
    <w:p>
      <w:pPr>
        <w:spacing w:after="0" w:line="32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graph below shows the relative investment performance of Waste Management, Inc. common stock, the Dow Jones Waste &amp; Disposal Services Index and the S&amp;P 500 Index for the last five years, assuming reinvestment of dividends at date of payment into the common stock. The graph is presented pursuant to SEC rules and is not meant to be an indication of our future performance.</w:t>
      </w:r>
    </w:p>
    <w:p>
      <w:pPr>
        <w:spacing w:after="0" w:line="220" w:lineRule="exact"/>
        <w:rPr>
          <w:sz w:val="20"/>
          <w:szCs w:val="20"/>
          <w:color w:val="auto"/>
        </w:rPr>
      </w:pPr>
    </w:p>
    <w:p>
      <w:pPr>
        <w:ind w:left="4260"/>
        <w:spacing w:after="0"/>
        <w:rPr>
          <w:sz w:val="20"/>
          <w:szCs w:val="20"/>
          <w:color w:val="auto"/>
        </w:rPr>
      </w:pPr>
      <w:r>
        <w:rPr>
          <w:rFonts w:ascii="Arial" w:cs="Arial" w:eastAsia="Arial" w:hAnsi="Arial"/>
          <w:sz w:val="13"/>
          <w:szCs w:val="13"/>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1821815</wp:posOffset>
            </wp:positionH>
            <wp:positionV relativeFrom="paragraph">
              <wp:posOffset>119380</wp:posOffset>
            </wp:positionV>
            <wp:extent cx="3569970" cy="1560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997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3660" w:type="dxa"/>
            <w:vAlign w:val="bottom"/>
          </w:tcPr>
          <w:p>
            <w:pPr>
              <w:spacing w:after="0"/>
              <w:rPr>
                <w:sz w:val="10"/>
                <w:szCs w:val="10"/>
                <w:color w:val="auto"/>
              </w:rPr>
            </w:pPr>
          </w:p>
        </w:tc>
        <w:tc>
          <w:tcPr>
            <w:tcW w:w="1980" w:type="dxa"/>
            <w:vAlign w:val="bottom"/>
          </w:tcPr>
          <w:p>
            <w:pPr>
              <w:jc w:val="right"/>
              <w:ind w:right="139"/>
              <w:spacing w:after="0"/>
              <w:rPr>
                <w:sz w:val="20"/>
                <w:szCs w:val="20"/>
                <w:color w:val="auto"/>
              </w:rPr>
            </w:pPr>
            <w:r>
              <w:rPr>
                <w:rFonts w:ascii="Arial" w:cs="Arial" w:eastAsia="Arial" w:hAnsi="Arial"/>
                <w:sz w:val="9"/>
                <w:szCs w:val="9"/>
                <w:b w:val="1"/>
                <w:bCs w:val="1"/>
                <w:color w:val="auto"/>
              </w:rPr>
              <w:t>12/31/02</w:t>
            </w:r>
          </w:p>
        </w:tc>
        <w:tc>
          <w:tcPr>
            <w:tcW w:w="880" w:type="dxa"/>
            <w:vAlign w:val="bottom"/>
          </w:tcPr>
          <w:p>
            <w:pPr>
              <w:jc w:val="right"/>
              <w:ind w:right="139"/>
              <w:spacing w:after="0"/>
              <w:rPr>
                <w:sz w:val="20"/>
                <w:szCs w:val="20"/>
                <w:color w:val="auto"/>
              </w:rPr>
            </w:pPr>
            <w:r>
              <w:rPr>
                <w:rFonts w:ascii="Arial" w:cs="Arial" w:eastAsia="Arial" w:hAnsi="Arial"/>
                <w:sz w:val="9"/>
                <w:szCs w:val="9"/>
                <w:b w:val="1"/>
                <w:bCs w:val="1"/>
                <w:color w:val="auto"/>
              </w:rPr>
              <w:t>12/31/03</w:t>
            </w:r>
          </w:p>
        </w:tc>
        <w:tc>
          <w:tcPr>
            <w:tcW w:w="900" w:type="dxa"/>
            <w:vAlign w:val="bottom"/>
          </w:tcPr>
          <w:p>
            <w:pPr>
              <w:jc w:val="right"/>
              <w:ind w:right="139"/>
              <w:spacing w:after="0"/>
              <w:rPr>
                <w:sz w:val="20"/>
                <w:szCs w:val="20"/>
                <w:color w:val="auto"/>
              </w:rPr>
            </w:pPr>
            <w:r>
              <w:rPr>
                <w:rFonts w:ascii="Arial" w:cs="Arial" w:eastAsia="Arial" w:hAnsi="Arial"/>
                <w:sz w:val="9"/>
                <w:szCs w:val="9"/>
                <w:b w:val="1"/>
                <w:bCs w:val="1"/>
                <w:color w:val="auto"/>
              </w:rPr>
              <w:t>12/31/04</w:t>
            </w:r>
          </w:p>
        </w:tc>
        <w:tc>
          <w:tcPr>
            <w:tcW w:w="880" w:type="dxa"/>
            <w:vAlign w:val="bottom"/>
          </w:tcPr>
          <w:p>
            <w:pPr>
              <w:jc w:val="right"/>
              <w:ind w:right="139"/>
              <w:spacing w:after="0"/>
              <w:rPr>
                <w:sz w:val="20"/>
                <w:szCs w:val="20"/>
                <w:color w:val="auto"/>
              </w:rPr>
            </w:pPr>
            <w:r>
              <w:rPr>
                <w:rFonts w:ascii="Arial" w:cs="Arial" w:eastAsia="Arial" w:hAnsi="Arial"/>
                <w:sz w:val="9"/>
                <w:szCs w:val="9"/>
                <w:b w:val="1"/>
                <w:bCs w:val="1"/>
                <w:color w:val="auto"/>
              </w:rPr>
              <w:t>12/31/05</w:t>
            </w:r>
          </w:p>
        </w:tc>
        <w:tc>
          <w:tcPr>
            <w:tcW w:w="900" w:type="dxa"/>
            <w:vAlign w:val="bottom"/>
          </w:tcPr>
          <w:p>
            <w:pPr>
              <w:jc w:val="right"/>
              <w:ind w:right="159"/>
              <w:spacing w:after="0"/>
              <w:rPr>
                <w:sz w:val="20"/>
                <w:szCs w:val="20"/>
                <w:color w:val="auto"/>
              </w:rPr>
            </w:pPr>
            <w:r>
              <w:rPr>
                <w:rFonts w:ascii="Arial" w:cs="Arial" w:eastAsia="Arial" w:hAnsi="Arial"/>
                <w:sz w:val="9"/>
                <w:szCs w:val="9"/>
                <w:b w:val="1"/>
                <w:bCs w:val="1"/>
                <w:color w:val="auto"/>
              </w:rPr>
              <w:t>12/31/06</w:t>
            </w:r>
          </w:p>
        </w:tc>
        <w:tc>
          <w:tcPr>
            <w:tcW w:w="700" w:type="dxa"/>
            <w:vAlign w:val="bottom"/>
          </w:tcPr>
          <w:p>
            <w:pPr>
              <w:jc w:val="right"/>
              <w:spacing w:after="0"/>
              <w:rPr>
                <w:sz w:val="20"/>
                <w:szCs w:val="20"/>
                <w:color w:val="auto"/>
              </w:rPr>
            </w:pPr>
            <w:r>
              <w:rPr>
                <w:rFonts w:ascii="Arial" w:cs="Arial" w:eastAsia="Arial" w:hAnsi="Arial"/>
                <w:sz w:val="9"/>
                <w:szCs w:val="9"/>
                <w:b w:val="1"/>
                <w:bCs w:val="1"/>
                <w:color w:val="auto"/>
              </w:rPr>
              <w:t>12/31/07</w:t>
            </w:r>
          </w:p>
        </w:tc>
      </w:tr>
      <w:tr>
        <w:trPr>
          <w:trHeight w:val="162"/>
        </w:trPr>
        <w:tc>
          <w:tcPr>
            <w:tcW w:w="3660" w:type="dxa"/>
            <w:vAlign w:val="bottom"/>
          </w:tcPr>
          <w:p>
            <w:pPr>
              <w:spacing w:after="0"/>
              <w:rPr>
                <w:sz w:val="20"/>
                <w:szCs w:val="20"/>
                <w:color w:val="auto"/>
              </w:rPr>
            </w:pPr>
            <w:r>
              <w:rPr>
                <w:rFonts w:ascii="Arial" w:cs="Arial" w:eastAsia="Arial" w:hAnsi="Arial"/>
                <w:sz w:val="13"/>
                <w:szCs w:val="13"/>
                <w:color w:val="auto"/>
              </w:rPr>
              <w:t>Waste Management, Inc.</w:t>
            </w:r>
          </w:p>
        </w:tc>
        <w:tc>
          <w:tcPr>
            <w:tcW w:w="1980" w:type="dxa"/>
            <w:vAlign w:val="bottom"/>
          </w:tcPr>
          <w:p>
            <w:pPr>
              <w:jc w:val="right"/>
              <w:ind w:right="359"/>
              <w:spacing w:after="0"/>
              <w:rPr>
                <w:sz w:val="20"/>
                <w:szCs w:val="20"/>
                <w:color w:val="auto"/>
              </w:rPr>
            </w:pPr>
            <w:r>
              <w:rPr>
                <w:rFonts w:ascii="Arial" w:cs="Arial" w:eastAsia="Arial" w:hAnsi="Arial"/>
                <w:sz w:val="13"/>
                <w:szCs w:val="13"/>
                <w:color w:val="auto"/>
              </w:rPr>
              <w:t>$100</w:t>
            </w:r>
          </w:p>
        </w:tc>
        <w:tc>
          <w:tcPr>
            <w:tcW w:w="880" w:type="dxa"/>
            <w:vAlign w:val="bottom"/>
          </w:tcPr>
          <w:p>
            <w:pPr>
              <w:jc w:val="right"/>
              <w:ind w:right="359"/>
              <w:spacing w:after="0"/>
              <w:rPr>
                <w:sz w:val="20"/>
                <w:szCs w:val="20"/>
                <w:color w:val="auto"/>
              </w:rPr>
            </w:pPr>
            <w:r>
              <w:rPr>
                <w:rFonts w:ascii="Arial" w:cs="Arial" w:eastAsia="Arial" w:hAnsi="Arial"/>
                <w:sz w:val="13"/>
                <w:szCs w:val="13"/>
                <w:color w:val="auto"/>
              </w:rPr>
              <w:t>$129</w:t>
            </w:r>
          </w:p>
        </w:tc>
        <w:tc>
          <w:tcPr>
            <w:tcW w:w="900" w:type="dxa"/>
            <w:vAlign w:val="bottom"/>
          </w:tcPr>
          <w:p>
            <w:pPr>
              <w:jc w:val="right"/>
              <w:ind w:right="379"/>
              <w:spacing w:after="0"/>
              <w:rPr>
                <w:sz w:val="20"/>
                <w:szCs w:val="20"/>
                <w:color w:val="auto"/>
              </w:rPr>
            </w:pPr>
            <w:r>
              <w:rPr>
                <w:rFonts w:ascii="Arial" w:cs="Arial" w:eastAsia="Arial" w:hAnsi="Arial"/>
                <w:sz w:val="13"/>
                <w:szCs w:val="13"/>
                <w:color w:val="auto"/>
              </w:rPr>
              <w:t>$134</w:t>
            </w:r>
          </w:p>
        </w:tc>
        <w:tc>
          <w:tcPr>
            <w:tcW w:w="880" w:type="dxa"/>
            <w:vAlign w:val="bottom"/>
          </w:tcPr>
          <w:p>
            <w:pPr>
              <w:jc w:val="right"/>
              <w:ind w:right="359"/>
              <w:spacing w:after="0"/>
              <w:rPr>
                <w:sz w:val="20"/>
                <w:szCs w:val="20"/>
                <w:color w:val="auto"/>
              </w:rPr>
            </w:pPr>
            <w:r>
              <w:rPr>
                <w:rFonts w:ascii="Arial" w:cs="Arial" w:eastAsia="Arial" w:hAnsi="Arial"/>
                <w:sz w:val="13"/>
                <w:szCs w:val="13"/>
                <w:color w:val="auto"/>
              </w:rPr>
              <w:t>$140</w:t>
            </w:r>
          </w:p>
        </w:tc>
        <w:tc>
          <w:tcPr>
            <w:tcW w:w="900" w:type="dxa"/>
            <w:vAlign w:val="bottom"/>
          </w:tcPr>
          <w:p>
            <w:pPr>
              <w:jc w:val="right"/>
              <w:ind w:right="379"/>
              <w:spacing w:after="0"/>
              <w:rPr>
                <w:sz w:val="20"/>
                <w:szCs w:val="20"/>
                <w:color w:val="auto"/>
              </w:rPr>
            </w:pPr>
            <w:r>
              <w:rPr>
                <w:rFonts w:ascii="Arial" w:cs="Arial" w:eastAsia="Arial" w:hAnsi="Arial"/>
                <w:sz w:val="13"/>
                <w:szCs w:val="13"/>
                <w:color w:val="auto"/>
              </w:rPr>
              <w:t>$174</w:t>
            </w:r>
          </w:p>
        </w:tc>
        <w:tc>
          <w:tcPr>
            <w:tcW w:w="700" w:type="dxa"/>
            <w:vAlign w:val="bottom"/>
          </w:tcPr>
          <w:p>
            <w:pPr>
              <w:jc w:val="right"/>
              <w:ind w:right="159"/>
              <w:spacing w:after="0"/>
              <w:rPr>
                <w:sz w:val="20"/>
                <w:szCs w:val="20"/>
                <w:color w:val="auto"/>
              </w:rPr>
            </w:pPr>
            <w:r>
              <w:rPr>
                <w:rFonts w:ascii="Arial" w:cs="Arial" w:eastAsia="Arial" w:hAnsi="Arial"/>
                <w:sz w:val="13"/>
                <w:szCs w:val="13"/>
                <w:color w:val="auto"/>
              </w:rPr>
              <w:t>$158</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S&amp;P 500 Index</w:t>
            </w:r>
          </w:p>
        </w:tc>
        <w:tc>
          <w:tcPr>
            <w:tcW w:w="1980" w:type="dxa"/>
            <w:vAlign w:val="bottom"/>
          </w:tcPr>
          <w:p>
            <w:pPr>
              <w:jc w:val="right"/>
              <w:ind w:right="359"/>
              <w:spacing w:after="0"/>
              <w:rPr>
                <w:sz w:val="20"/>
                <w:szCs w:val="20"/>
                <w:color w:val="auto"/>
              </w:rPr>
            </w:pPr>
            <w:r>
              <w:rPr>
                <w:rFonts w:ascii="Arial" w:cs="Arial" w:eastAsia="Arial" w:hAnsi="Arial"/>
                <w:sz w:val="13"/>
                <w:szCs w:val="13"/>
                <w:color w:val="auto"/>
              </w:rPr>
              <w:t>$100</w:t>
            </w:r>
          </w:p>
        </w:tc>
        <w:tc>
          <w:tcPr>
            <w:tcW w:w="880" w:type="dxa"/>
            <w:vAlign w:val="bottom"/>
          </w:tcPr>
          <w:p>
            <w:pPr>
              <w:jc w:val="right"/>
              <w:ind w:right="359"/>
              <w:spacing w:after="0"/>
              <w:rPr>
                <w:sz w:val="20"/>
                <w:szCs w:val="20"/>
                <w:color w:val="auto"/>
              </w:rPr>
            </w:pPr>
            <w:r>
              <w:rPr>
                <w:rFonts w:ascii="Arial" w:cs="Arial" w:eastAsia="Arial" w:hAnsi="Arial"/>
                <w:sz w:val="13"/>
                <w:szCs w:val="13"/>
                <w:color w:val="auto"/>
              </w:rPr>
              <w:t>$129</w:t>
            </w:r>
          </w:p>
        </w:tc>
        <w:tc>
          <w:tcPr>
            <w:tcW w:w="900" w:type="dxa"/>
            <w:vAlign w:val="bottom"/>
          </w:tcPr>
          <w:p>
            <w:pPr>
              <w:jc w:val="right"/>
              <w:ind w:right="379"/>
              <w:spacing w:after="0"/>
              <w:rPr>
                <w:sz w:val="20"/>
                <w:szCs w:val="20"/>
                <w:color w:val="auto"/>
              </w:rPr>
            </w:pPr>
            <w:r>
              <w:rPr>
                <w:rFonts w:ascii="Arial" w:cs="Arial" w:eastAsia="Arial" w:hAnsi="Arial"/>
                <w:sz w:val="13"/>
                <w:szCs w:val="13"/>
                <w:color w:val="auto"/>
              </w:rPr>
              <w:t>$143</w:t>
            </w:r>
          </w:p>
        </w:tc>
        <w:tc>
          <w:tcPr>
            <w:tcW w:w="880" w:type="dxa"/>
            <w:vAlign w:val="bottom"/>
          </w:tcPr>
          <w:p>
            <w:pPr>
              <w:jc w:val="right"/>
              <w:ind w:right="359"/>
              <w:spacing w:after="0"/>
              <w:rPr>
                <w:sz w:val="20"/>
                <w:szCs w:val="20"/>
                <w:color w:val="auto"/>
              </w:rPr>
            </w:pPr>
            <w:r>
              <w:rPr>
                <w:rFonts w:ascii="Arial" w:cs="Arial" w:eastAsia="Arial" w:hAnsi="Arial"/>
                <w:sz w:val="13"/>
                <w:szCs w:val="13"/>
                <w:color w:val="auto"/>
              </w:rPr>
              <w:t>$150</w:t>
            </w:r>
          </w:p>
        </w:tc>
        <w:tc>
          <w:tcPr>
            <w:tcW w:w="900" w:type="dxa"/>
            <w:vAlign w:val="bottom"/>
          </w:tcPr>
          <w:p>
            <w:pPr>
              <w:jc w:val="right"/>
              <w:ind w:right="379"/>
              <w:spacing w:after="0"/>
              <w:rPr>
                <w:sz w:val="20"/>
                <w:szCs w:val="20"/>
                <w:color w:val="auto"/>
              </w:rPr>
            </w:pPr>
            <w:r>
              <w:rPr>
                <w:rFonts w:ascii="Arial" w:cs="Arial" w:eastAsia="Arial" w:hAnsi="Arial"/>
                <w:sz w:val="13"/>
                <w:szCs w:val="13"/>
                <w:color w:val="auto"/>
              </w:rPr>
              <w:t>$173</w:t>
            </w:r>
          </w:p>
        </w:tc>
        <w:tc>
          <w:tcPr>
            <w:tcW w:w="700" w:type="dxa"/>
            <w:vAlign w:val="bottom"/>
          </w:tcPr>
          <w:p>
            <w:pPr>
              <w:jc w:val="right"/>
              <w:ind w:right="159"/>
              <w:spacing w:after="0"/>
              <w:rPr>
                <w:sz w:val="20"/>
                <w:szCs w:val="20"/>
                <w:color w:val="auto"/>
              </w:rPr>
            </w:pPr>
            <w:r>
              <w:rPr>
                <w:rFonts w:ascii="Arial" w:cs="Arial" w:eastAsia="Arial" w:hAnsi="Arial"/>
                <w:sz w:val="13"/>
                <w:szCs w:val="13"/>
                <w:color w:val="auto"/>
              </w:rPr>
              <w:t>$183</w:t>
            </w:r>
          </w:p>
        </w:tc>
      </w:tr>
      <w:tr>
        <w:trPr>
          <w:trHeight w:val="165"/>
        </w:trPr>
        <w:tc>
          <w:tcPr>
            <w:tcW w:w="3660" w:type="dxa"/>
            <w:vAlign w:val="bottom"/>
          </w:tcPr>
          <w:p>
            <w:pPr>
              <w:spacing w:after="0"/>
              <w:rPr>
                <w:sz w:val="20"/>
                <w:szCs w:val="20"/>
                <w:color w:val="auto"/>
              </w:rPr>
            </w:pPr>
            <w:r>
              <w:rPr>
                <w:rFonts w:ascii="Arial" w:cs="Arial" w:eastAsia="Arial" w:hAnsi="Arial"/>
                <w:sz w:val="13"/>
                <w:szCs w:val="13"/>
                <w:color w:val="auto"/>
              </w:rPr>
              <w:t>Dow Jones Waste &amp; Disposal Services Index</w:t>
            </w:r>
          </w:p>
        </w:tc>
        <w:tc>
          <w:tcPr>
            <w:tcW w:w="1980" w:type="dxa"/>
            <w:vAlign w:val="bottom"/>
          </w:tcPr>
          <w:p>
            <w:pPr>
              <w:jc w:val="right"/>
              <w:ind w:right="359"/>
              <w:spacing w:after="0"/>
              <w:rPr>
                <w:sz w:val="20"/>
                <w:szCs w:val="20"/>
                <w:color w:val="auto"/>
              </w:rPr>
            </w:pPr>
            <w:r>
              <w:rPr>
                <w:rFonts w:ascii="Arial" w:cs="Arial" w:eastAsia="Arial" w:hAnsi="Arial"/>
                <w:sz w:val="13"/>
                <w:szCs w:val="13"/>
                <w:color w:val="auto"/>
              </w:rPr>
              <w:t>$100</w:t>
            </w:r>
          </w:p>
        </w:tc>
        <w:tc>
          <w:tcPr>
            <w:tcW w:w="880" w:type="dxa"/>
            <w:vAlign w:val="bottom"/>
          </w:tcPr>
          <w:p>
            <w:pPr>
              <w:jc w:val="right"/>
              <w:ind w:right="359"/>
              <w:spacing w:after="0"/>
              <w:rPr>
                <w:sz w:val="20"/>
                <w:szCs w:val="20"/>
                <w:color w:val="auto"/>
              </w:rPr>
            </w:pPr>
            <w:r>
              <w:rPr>
                <w:rFonts w:ascii="Arial" w:cs="Arial" w:eastAsia="Arial" w:hAnsi="Arial"/>
                <w:sz w:val="13"/>
                <w:szCs w:val="13"/>
                <w:color w:val="auto"/>
              </w:rPr>
              <w:t>$133</w:t>
            </w:r>
          </w:p>
        </w:tc>
        <w:tc>
          <w:tcPr>
            <w:tcW w:w="900" w:type="dxa"/>
            <w:vAlign w:val="bottom"/>
          </w:tcPr>
          <w:p>
            <w:pPr>
              <w:jc w:val="right"/>
              <w:ind w:right="379"/>
              <w:spacing w:after="0"/>
              <w:rPr>
                <w:sz w:val="20"/>
                <w:szCs w:val="20"/>
                <w:color w:val="auto"/>
              </w:rPr>
            </w:pPr>
            <w:r>
              <w:rPr>
                <w:rFonts w:ascii="Arial" w:cs="Arial" w:eastAsia="Arial" w:hAnsi="Arial"/>
                <w:sz w:val="13"/>
                <w:szCs w:val="13"/>
                <w:color w:val="auto"/>
              </w:rPr>
              <w:t>$138</w:t>
            </w:r>
          </w:p>
        </w:tc>
        <w:tc>
          <w:tcPr>
            <w:tcW w:w="880" w:type="dxa"/>
            <w:vAlign w:val="bottom"/>
          </w:tcPr>
          <w:p>
            <w:pPr>
              <w:jc w:val="right"/>
              <w:ind w:right="359"/>
              <w:spacing w:after="0"/>
              <w:rPr>
                <w:sz w:val="20"/>
                <w:szCs w:val="20"/>
                <w:color w:val="auto"/>
              </w:rPr>
            </w:pPr>
            <w:r>
              <w:rPr>
                <w:rFonts w:ascii="Arial" w:cs="Arial" w:eastAsia="Arial" w:hAnsi="Arial"/>
                <w:sz w:val="13"/>
                <w:szCs w:val="13"/>
                <w:color w:val="auto"/>
              </w:rPr>
              <w:t>$146</w:t>
            </w:r>
          </w:p>
        </w:tc>
        <w:tc>
          <w:tcPr>
            <w:tcW w:w="900" w:type="dxa"/>
            <w:vAlign w:val="bottom"/>
          </w:tcPr>
          <w:p>
            <w:pPr>
              <w:jc w:val="right"/>
              <w:ind w:right="379"/>
              <w:spacing w:after="0"/>
              <w:rPr>
                <w:sz w:val="20"/>
                <w:szCs w:val="20"/>
                <w:color w:val="auto"/>
              </w:rPr>
            </w:pPr>
            <w:r>
              <w:rPr>
                <w:rFonts w:ascii="Arial" w:cs="Arial" w:eastAsia="Arial" w:hAnsi="Arial"/>
                <w:sz w:val="13"/>
                <w:szCs w:val="13"/>
                <w:color w:val="auto"/>
              </w:rPr>
              <w:t>$179</w:t>
            </w:r>
          </w:p>
        </w:tc>
        <w:tc>
          <w:tcPr>
            <w:tcW w:w="700" w:type="dxa"/>
            <w:vAlign w:val="bottom"/>
          </w:tcPr>
          <w:p>
            <w:pPr>
              <w:jc w:val="right"/>
              <w:ind w:right="159"/>
              <w:spacing w:after="0"/>
              <w:rPr>
                <w:sz w:val="20"/>
                <w:szCs w:val="20"/>
                <w:color w:val="auto"/>
              </w:rPr>
            </w:pPr>
            <w:r>
              <w:rPr>
                <w:rFonts w:ascii="Arial" w:cs="Arial" w:eastAsia="Arial" w:hAnsi="Arial"/>
                <w:sz w:val="13"/>
                <w:szCs w:val="13"/>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-304165</wp:posOffset>
            </wp:positionV>
            <wp:extent cx="635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-304165</wp:posOffset>
            </wp:positionV>
            <wp:extent cx="635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-304165</wp:posOffset>
            </wp:positionV>
            <wp:extent cx="635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5367020</wp:posOffset>
            </wp:positionH>
            <wp:positionV relativeFrom="paragraph">
              <wp:posOffset>-304165</wp:posOffset>
            </wp:positionV>
            <wp:extent cx="635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-304165</wp:posOffset>
            </wp:positionV>
            <wp:extent cx="635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6509385</wp:posOffset>
            </wp:positionH>
            <wp:positionV relativeFrom="paragraph">
              <wp:posOffset>-304165</wp:posOffset>
            </wp:positionV>
            <wp:extent cx="635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October 2004, the Company announced that its Board of Directors approved a capital allocation program authorizing up to $1.2 billion of stock repurchases and dividend payments annually for each of 2005, 2006 and 2007. Under this program, we paid quarterly cash dividends of $0.20 per share for a total of $449 million in 2005; $0.22 per share for a total of $476 million in 2006; and $0.24 per share for a total of $495 million in 2007.</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March 2007, our Board of Directors approved up to $600 million of additional share repurchases for 2007, and in November 2007 approved up to $300 million of additional share repurchases, increasing the amount of capital authorized for our share repurchases and dividends for 2007 to $2.1 billion. In 2007, we repurchased approximately 40 million shares of our common stock for $1,421 million. All of the repurchases were made pursuant to our capital allocation program. The following table summarizes our fourth quarter 2007 share repurchase activity: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9"/>
              </w:rPr>
              <w:t>Total Number</w:t>
            </w:r>
          </w:p>
        </w:tc>
        <w:tc>
          <w:tcPr>
            <w:tcW w:w="240" w:type="dxa"/>
            <w:vAlign w:val="bottom"/>
          </w:tcPr>
          <w:p>
            <w:pPr>
              <w:spacing w:after="0"/>
              <w:rPr>
                <w:sz w:val="10"/>
                <w:szCs w:val="10"/>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8"/>
              </w:rPr>
              <w:t>Approximate Maximum</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87"/>
              </w:rPr>
              <w:t>of Shares</w:t>
            </w:r>
          </w:p>
        </w:tc>
        <w:tc>
          <w:tcPr>
            <w:tcW w:w="240" w:type="dxa"/>
            <w:vAlign w:val="bottom"/>
          </w:tcPr>
          <w:p>
            <w:pPr>
              <w:spacing w:after="0"/>
              <w:rPr>
                <w:sz w:val="9"/>
                <w:szCs w:val="9"/>
                <w:color w:val="auto"/>
              </w:rPr>
            </w:pPr>
          </w:p>
        </w:tc>
        <w:tc>
          <w:tcPr>
            <w:tcW w:w="174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7"/>
              </w:rPr>
              <w:t>Dollar Value of</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2"/>
              </w:rPr>
              <w:t>Purchased as</w:t>
            </w:r>
          </w:p>
        </w:tc>
        <w:tc>
          <w:tcPr>
            <w:tcW w:w="240" w:type="dxa"/>
            <w:vAlign w:val="bottom"/>
          </w:tcPr>
          <w:p>
            <w:pPr>
              <w:spacing w:after="0"/>
              <w:rPr>
                <w:sz w:val="9"/>
                <w:szCs w:val="9"/>
                <w:color w:val="auto"/>
              </w:rPr>
            </w:pPr>
          </w:p>
        </w:tc>
        <w:tc>
          <w:tcPr>
            <w:tcW w:w="174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5"/>
              </w:rPr>
              <w:t>Shares that</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9"/>
              </w:rPr>
              <w:t>Total Number</w:t>
            </w:r>
          </w:p>
        </w:tc>
        <w:tc>
          <w:tcPr>
            <w:tcW w:w="140" w:type="dxa"/>
            <w:vAlign w:val="bottom"/>
          </w:tcPr>
          <w:p>
            <w:pPr>
              <w:spacing w:after="0"/>
              <w:rPr>
                <w:sz w:val="9"/>
                <w:szCs w:val="9"/>
                <w:color w:val="auto"/>
              </w:rPr>
            </w:pPr>
          </w:p>
        </w:tc>
        <w:tc>
          <w:tcPr>
            <w:tcW w:w="126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2"/>
              </w:rPr>
              <w:t>Average Price</w:t>
            </w:r>
          </w:p>
        </w:tc>
        <w:tc>
          <w:tcPr>
            <w:tcW w:w="18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rPr>
              <w:t>Part of</w:t>
            </w:r>
          </w:p>
        </w:tc>
        <w:tc>
          <w:tcPr>
            <w:tcW w:w="240" w:type="dxa"/>
            <w:vAlign w:val="bottom"/>
          </w:tcPr>
          <w:p>
            <w:pPr>
              <w:spacing w:after="0"/>
              <w:rPr>
                <w:sz w:val="9"/>
                <w:szCs w:val="9"/>
                <w:color w:val="auto"/>
              </w:rPr>
            </w:pPr>
          </w:p>
        </w:tc>
        <w:tc>
          <w:tcPr>
            <w:tcW w:w="174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9"/>
              </w:rPr>
              <w:t>May Yet be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8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Publicly Announced</w:t>
            </w:r>
          </w:p>
        </w:tc>
        <w:tc>
          <w:tcPr>
            <w:tcW w:w="240" w:type="dxa"/>
            <w:vAlign w:val="bottom"/>
          </w:tcPr>
          <w:p>
            <w:pPr>
              <w:spacing w:after="0"/>
              <w:rPr>
                <w:sz w:val="9"/>
                <w:szCs w:val="9"/>
                <w:color w:val="auto"/>
              </w:rPr>
            </w:pPr>
          </w:p>
        </w:tc>
        <w:tc>
          <w:tcPr>
            <w:tcW w:w="174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4"/>
              </w:rPr>
              <w:t>Purchased Under</w:t>
            </w:r>
          </w:p>
        </w:tc>
        <w:tc>
          <w:tcPr>
            <w:tcW w:w="0" w:type="dxa"/>
            <w:vAlign w:val="bottom"/>
          </w:tcPr>
          <w:p>
            <w:pPr>
              <w:spacing w:after="0"/>
              <w:rPr>
                <w:sz w:val="1"/>
                <w:szCs w:val="1"/>
                <w:color w:val="auto"/>
              </w:rPr>
            </w:pPr>
          </w:p>
        </w:tc>
      </w:tr>
      <w:tr>
        <w:trPr>
          <w:trHeight w:val="118"/>
        </w:trPr>
        <w:tc>
          <w:tcPr>
            <w:tcW w:w="3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Period</w:t>
            </w:r>
          </w:p>
        </w:tc>
        <w:tc>
          <w:tcPr>
            <w:tcW w:w="14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of Shares</w:t>
            </w:r>
          </w:p>
        </w:tc>
        <w:tc>
          <w:tcPr>
            <w:tcW w:w="14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6"/>
              </w:rPr>
              <w:t>Paid per</w:t>
            </w:r>
          </w:p>
        </w:tc>
        <w:tc>
          <w:tcPr>
            <w:tcW w:w="18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Plans or</w:t>
            </w:r>
          </w:p>
        </w:tc>
        <w:tc>
          <w:tcPr>
            <w:tcW w:w="240" w:type="dxa"/>
            <w:vAlign w:val="bottom"/>
          </w:tcPr>
          <w:p>
            <w:pPr>
              <w:spacing w:after="0"/>
              <w:rPr>
                <w:sz w:val="10"/>
                <w:szCs w:val="10"/>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the Plans</w:t>
            </w:r>
          </w:p>
        </w:tc>
        <w:tc>
          <w:tcPr>
            <w:tcW w:w="0" w:type="dxa"/>
            <w:vAlign w:val="bottom"/>
          </w:tcPr>
          <w:p>
            <w:pPr>
              <w:spacing w:after="0"/>
              <w:rPr>
                <w:sz w:val="1"/>
                <w:szCs w:val="1"/>
                <w:color w:val="auto"/>
              </w:rPr>
            </w:pPr>
          </w:p>
        </w:tc>
      </w:tr>
      <w:tr>
        <w:trPr>
          <w:trHeight w:val="125"/>
        </w:trPr>
        <w:tc>
          <w:tcPr>
            <w:tcW w:w="3300" w:type="dxa"/>
            <w:vAlign w:val="bottom"/>
            <w:gridSpan w:val="2"/>
            <w:vMerge w:val="continue"/>
          </w:tcPr>
          <w:p>
            <w:pPr>
              <w:spacing w:after="0"/>
              <w:rPr>
                <w:sz w:val="10"/>
                <w:szCs w:val="1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Purchased</w:t>
            </w:r>
          </w:p>
        </w:tc>
        <w:tc>
          <w:tcPr>
            <w:tcW w:w="14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4"/>
              </w:rPr>
              <w:t>Share(a)</w:t>
            </w:r>
          </w:p>
        </w:tc>
        <w:tc>
          <w:tcPr>
            <w:tcW w:w="18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4"/>
              </w:rPr>
              <w:t>Programs</w:t>
            </w:r>
          </w:p>
        </w:tc>
        <w:tc>
          <w:tcPr>
            <w:tcW w:w="240" w:type="dxa"/>
            <w:vAlign w:val="bottom"/>
          </w:tcPr>
          <w:p>
            <w:pPr>
              <w:spacing w:after="0"/>
              <w:rPr>
                <w:sz w:val="10"/>
                <w:szCs w:val="10"/>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4"/>
              </w:rPr>
              <w:t>or Programs(b)</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October 1-31</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2,143,600</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37.74</w:t>
            </w: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2,143,600</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74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150 million</w:t>
            </w:r>
          </w:p>
        </w:tc>
        <w:tc>
          <w:tcPr>
            <w:tcW w:w="0" w:type="dxa"/>
            <w:vAlign w:val="bottom"/>
          </w:tcPr>
          <w:p>
            <w:pPr>
              <w:spacing w:after="0"/>
              <w:rPr>
                <w:sz w:val="1"/>
                <w:szCs w:val="1"/>
                <w:color w:val="auto"/>
              </w:rPr>
            </w:pPr>
          </w:p>
        </w:tc>
      </w:tr>
      <w:tr>
        <w:trPr>
          <w:trHeight w:val="157"/>
        </w:trPr>
        <w:tc>
          <w:tcPr>
            <w:tcW w:w="3300" w:type="dxa"/>
            <w:vAlign w:val="bottom"/>
            <w:gridSpan w:val="2"/>
          </w:tcPr>
          <w:p>
            <w:pPr>
              <w:spacing w:after="0"/>
              <w:rPr>
                <w:sz w:val="20"/>
                <w:szCs w:val="20"/>
                <w:color w:val="auto"/>
              </w:rPr>
            </w:pPr>
            <w:r>
              <w:rPr>
                <w:rFonts w:ascii="Arial" w:cs="Arial" w:eastAsia="Arial" w:hAnsi="Arial"/>
                <w:sz w:val="13"/>
                <w:szCs w:val="13"/>
                <w:color w:val="auto"/>
              </w:rPr>
              <w:t>November 1-30</w:t>
            </w:r>
          </w:p>
        </w:tc>
        <w:tc>
          <w:tcPr>
            <w:tcW w:w="1020" w:type="dxa"/>
            <w:vAlign w:val="bottom"/>
          </w:tcPr>
          <w:p>
            <w:pPr>
              <w:jc w:val="right"/>
              <w:spacing w:after="0"/>
              <w:rPr>
                <w:sz w:val="20"/>
                <w:szCs w:val="20"/>
                <w:color w:val="auto"/>
              </w:rPr>
            </w:pPr>
            <w:r>
              <w:rPr>
                <w:rFonts w:ascii="Arial" w:cs="Arial" w:eastAsia="Arial" w:hAnsi="Arial"/>
                <w:sz w:val="13"/>
                <w:szCs w:val="13"/>
                <w:color w:val="auto"/>
              </w:rPr>
              <w:t>4,782,300</w:t>
            </w: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34.66</w:t>
            </w:r>
          </w:p>
        </w:tc>
        <w:tc>
          <w:tcPr>
            <w:tcW w:w="1880" w:type="dxa"/>
            <w:vAlign w:val="bottom"/>
            <w:gridSpan w:val="2"/>
          </w:tcPr>
          <w:p>
            <w:pPr>
              <w:jc w:val="right"/>
              <w:ind w:right="400"/>
              <w:spacing w:after="0"/>
              <w:rPr>
                <w:sz w:val="20"/>
                <w:szCs w:val="20"/>
                <w:color w:val="auto"/>
              </w:rPr>
            </w:pPr>
            <w:r>
              <w:rPr>
                <w:rFonts w:ascii="Arial" w:cs="Arial" w:eastAsia="Arial" w:hAnsi="Arial"/>
                <w:sz w:val="13"/>
                <w:szCs w:val="13"/>
                <w:color w:val="auto"/>
              </w:rPr>
              <w:t>4,782,300</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740" w:type="dxa"/>
            <w:vAlign w:val="bottom"/>
            <w:gridSpan w:val="2"/>
          </w:tcPr>
          <w:p>
            <w:pPr>
              <w:ind w:left="1040"/>
              <w:spacing w:after="0"/>
              <w:rPr>
                <w:sz w:val="20"/>
                <w:szCs w:val="20"/>
                <w:color w:val="auto"/>
              </w:rPr>
            </w:pPr>
            <w:r>
              <w:rPr>
                <w:rFonts w:ascii="Arial" w:cs="Arial" w:eastAsia="Arial" w:hAnsi="Arial"/>
                <w:sz w:val="13"/>
                <w:szCs w:val="13"/>
                <w:color w:val="auto"/>
              </w:rPr>
              <w:t>284 million</w:t>
            </w:r>
          </w:p>
        </w:tc>
        <w:tc>
          <w:tcPr>
            <w:tcW w:w="0" w:type="dxa"/>
            <w:vAlign w:val="bottom"/>
          </w:tcPr>
          <w:p>
            <w:pPr>
              <w:spacing w:after="0"/>
              <w:rPr>
                <w:sz w:val="1"/>
                <w:szCs w:val="1"/>
                <w:color w:val="auto"/>
              </w:rPr>
            </w:pPr>
          </w:p>
        </w:tc>
      </w:tr>
      <w:tr>
        <w:trPr>
          <w:trHeight w:val="157"/>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1-31</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2,941,900</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34.01</w:t>
            </w: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2,941,900</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74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184 million</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35.13</w:t>
            </w:r>
          </w:p>
        </w:tc>
        <w:tc>
          <w:tcPr>
            <w:tcW w:w="1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300" w:type="dxa"/>
            <w:vAlign w:val="bottom"/>
            <w:gridSpan w:val="2"/>
            <w:vMerge w:val="continue"/>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9,867,800</w:t>
            </w:r>
          </w:p>
        </w:tc>
        <w:tc>
          <w:tcPr>
            <w:tcW w:w="4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3"/>
                <w:szCs w:val="13"/>
                <w:color w:val="auto"/>
              </w:rPr>
              <w:t>9,867,800</w:t>
            </w: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-535940</wp:posOffset>
            </wp:positionV>
            <wp:extent cx="1841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0" w:lineRule="exact"/>
        <w:rPr>
          <w:sz w:val="20"/>
          <w:szCs w:val="20"/>
          <w:color w:val="auto"/>
        </w:rPr>
      </w:pPr>
    </w:p>
    <w:p>
      <w:pPr>
        <w:ind w:left="1180" w:hanging="493"/>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This amount represents the weighted average price paid per share and includes a per share commission paid for all repurchases.</w:t>
      </w:r>
    </w:p>
    <w:p>
      <w:pPr>
        <w:spacing w:after="0" w:line="47" w:lineRule="exact"/>
        <w:rPr>
          <w:rFonts w:ascii="Arial" w:cs="Arial" w:eastAsia="Arial" w:hAnsi="Arial"/>
          <w:sz w:val="13"/>
          <w:szCs w:val="13"/>
          <w:color w:val="auto"/>
        </w:rPr>
      </w:pPr>
    </w:p>
    <w:p>
      <w:pPr>
        <w:ind w:left="1180" w:right="20" w:hanging="493"/>
        <w:spacing w:after="0" w:line="260" w:lineRule="auto"/>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For each period presented, the maximum dollar value of shares that may yet be purchased under the program has been provided net of the dividends declared and paid in the fourth quarter of 2007. As discussed above, the amount of capital available for share repurchases and dividends during 2007 was $2.1 billion. During the year ended December 31, 2007, we paid $495 million in dividends. The “Total” amount available for repurchases under the plan represents the remaining portion of the $300 million of additional share repurchases approved by the Board of Directors in November 2007.</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2006, we repurchased 31 million shares of our common stock for $1,072 million, all of which was made pursuant to the capital allocation program discussed above.</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ind w:left="680" w:right="800" w:firstLine="399"/>
        <w:spacing w:after="0" w:line="334" w:lineRule="auto"/>
        <w:rPr>
          <w:sz w:val="20"/>
          <w:szCs w:val="20"/>
          <w:color w:val="auto"/>
        </w:rPr>
      </w:pPr>
      <w:r>
        <w:rPr>
          <w:rFonts w:ascii="Arial" w:cs="Arial" w:eastAsia="Arial" w:hAnsi="Arial"/>
          <w:sz w:val="11"/>
          <w:szCs w:val="11"/>
          <w:color w:val="auto"/>
        </w:rPr>
        <w:t>The information below was derived from the audited Consolidated Financial Statements included in this report and in previous annual reports we filed with the SEC. This information should be read together with those Consolidated Financial Statements and the notes thereto. The adoption of new accounting pronouncements, changes in certain accounting policies and certain reclassifications impact the comparability of the financial information presented below. These historical results are not necessarily indicative of the results to be expected in the future.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w w:val="93"/>
              </w:rPr>
              <w:t>Years Ended December 31,</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rPr>
              <w:t>2007(a)</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2006(a)</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2005(a)</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w w:val="98"/>
              </w:rPr>
              <w:t>2004</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2003(b)</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5"/>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tcPr>
          <w:p>
            <w:pPr>
              <w:spacing w:after="0"/>
              <w:rPr>
                <w:sz w:val="20"/>
                <w:szCs w:val="20"/>
                <w:color w:val="auto"/>
              </w:rPr>
            </w:pPr>
            <w:r>
              <w:rPr>
                <w:rFonts w:ascii="Arial" w:cs="Arial" w:eastAsia="Arial" w:hAnsi="Arial"/>
                <w:sz w:val="10"/>
                <w:szCs w:val="10"/>
                <w:b w:val="1"/>
                <w:bCs w:val="1"/>
                <w:color w:val="auto"/>
                <w:w w:val="88"/>
              </w:rPr>
              <w:t>millions,</w:t>
            </w:r>
          </w:p>
        </w:tc>
        <w:tc>
          <w:tcPr>
            <w:tcW w:w="1160" w:type="dxa"/>
            <w:vAlign w:val="bottom"/>
            <w:gridSpan w:val="4"/>
          </w:tcPr>
          <w:p>
            <w:pPr>
              <w:spacing w:after="0"/>
              <w:rPr>
                <w:sz w:val="20"/>
                <w:szCs w:val="20"/>
                <w:color w:val="auto"/>
              </w:rPr>
            </w:pPr>
            <w:r>
              <w:rPr>
                <w:rFonts w:ascii="Arial" w:cs="Arial" w:eastAsia="Arial" w:hAnsi="Arial"/>
                <w:sz w:val="10"/>
                <w:szCs w:val="10"/>
                <w:b w:val="1"/>
                <w:bCs w:val="1"/>
                <w:color w:val="auto"/>
                <w:w w:val="89"/>
              </w:rPr>
              <w:t>except per share amounts)</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Operating revenues(c)</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13,310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13,363</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13,074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12,516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11,648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7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ind w:left="140"/>
              <w:spacing w:after="0"/>
              <w:rPr>
                <w:sz w:val="20"/>
                <w:szCs w:val="20"/>
                <w:color w:val="auto"/>
              </w:rPr>
            </w:pPr>
            <w:r>
              <w:rPr>
                <w:rFonts w:ascii="Arial" w:cs="Arial" w:eastAsia="Arial" w:hAnsi="Arial"/>
                <w:sz w:val="13"/>
                <w:szCs w:val="13"/>
                <w:color w:val="auto"/>
              </w:rPr>
              <w:t>Operating(c)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8,402</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8,587</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8,631</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8,228</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7,591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1,432</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1,388</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1,276</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1,267</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1,259</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1,334</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1,361</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1,336</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1,265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25</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68</w:t>
            </w:r>
          </w:p>
        </w:tc>
        <w:tc>
          <w:tcPr>
            <w:tcW w:w="16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11,334</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11,364</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10,817</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5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2,254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2,029</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1,710</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1,699</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1,540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Other expense, net</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(551)</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(618)</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(521)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Arial" w:cs="Arial" w:eastAsia="Arial" w:hAnsi="Arial"/>
                <w:sz w:val="13"/>
                <w:szCs w:val="13"/>
                <w:color w:val="auto"/>
              </w:rPr>
              <w:t>Income before income taxes and accounting changes</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5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1,703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1,474</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1,092</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1,178</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1,123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(90)</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Arial" w:cs="Arial" w:eastAsia="Arial" w:hAnsi="Arial"/>
                <w:sz w:val="13"/>
                <w:szCs w:val="13"/>
                <w:color w:val="auto"/>
              </w:rPr>
              <w:t>Income before accounting changes</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5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1,163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1,149</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1,182</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931</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719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Accounting changes, net of taxes</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5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1,163</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1,149</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1,182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939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630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common share:</w:t>
            </w:r>
          </w:p>
        </w:tc>
        <w:tc>
          <w:tcPr>
            <w:tcW w:w="7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ind w:left="140"/>
              <w:spacing w:after="0"/>
              <w:rPr>
                <w:sz w:val="20"/>
                <w:szCs w:val="20"/>
                <w:color w:val="auto"/>
              </w:rPr>
            </w:pPr>
            <w:r>
              <w:rPr>
                <w:rFonts w:ascii="Arial" w:cs="Arial" w:eastAsia="Arial" w:hAnsi="Arial"/>
                <w:sz w:val="13"/>
                <w:szCs w:val="13"/>
                <w:color w:val="auto"/>
              </w:rPr>
              <w:t>Income before accounting changes</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2.25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2.13</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2.11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1.62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Accounting changes, net of taxes</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ind w:left="140"/>
              <w:spacing w:after="0"/>
              <w:rPr>
                <w:sz w:val="20"/>
                <w:szCs w:val="20"/>
                <w:color w:val="auto"/>
              </w:rPr>
            </w:pPr>
            <w:r>
              <w:rPr>
                <w:rFonts w:ascii="Arial" w:cs="Arial" w:eastAsia="Arial" w:hAnsi="Arial"/>
                <w:sz w:val="13"/>
                <w:szCs w:val="13"/>
                <w:color w:val="auto"/>
              </w:rPr>
              <w:t>Net income</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5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2.25</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2.13</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2.11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1.63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1.07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7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ind w:left="140"/>
              <w:spacing w:after="0"/>
              <w:rPr>
                <w:sz w:val="20"/>
                <w:szCs w:val="20"/>
                <w:color w:val="auto"/>
              </w:rPr>
            </w:pPr>
            <w:r>
              <w:rPr>
                <w:rFonts w:ascii="Arial" w:cs="Arial" w:eastAsia="Arial" w:hAnsi="Arial"/>
                <w:sz w:val="13"/>
                <w:szCs w:val="13"/>
                <w:color w:val="auto"/>
              </w:rPr>
              <w:t>Income before accounting changes</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2.23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2.10</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2.09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1.60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Accounting changes, net of taxes</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ind w:left="140"/>
              <w:spacing w:after="0"/>
              <w:rPr>
                <w:sz w:val="20"/>
                <w:szCs w:val="20"/>
                <w:color w:val="auto"/>
              </w:rPr>
            </w:pPr>
            <w:r>
              <w:rPr>
                <w:rFonts w:ascii="Arial" w:cs="Arial" w:eastAsia="Arial" w:hAnsi="Arial"/>
                <w:sz w:val="13"/>
                <w:szCs w:val="13"/>
                <w:color w:val="auto"/>
              </w:rPr>
              <w:t>Net income</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5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2.23</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2.10</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2.09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1.61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w w:val="98"/>
              </w:rPr>
              <w:t>Cash dividends declared per common share (2005 includes $0.22 paid in 2006)</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0.96</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0.66</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540" w:type="dxa"/>
            <w:vAlign w:val="bottom"/>
            <w:vMerge w:val="restart"/>
          </w:tcPr>
          <w:p>
            <w:pPr>
              <w:spacing w:after="0"/>
              <w:rPr>
                <w:sz w:val="20"/>
                <w:szCs w:val="20"/>
                <w:color w:val="auto"/>
              </w:rPr>
            </w:pPr>
            <w:r>
              <w:rPr>
                <w:rFonts w:ascii="Arial" w:cs="Arial" w:eastAsia="Arial" w:hAnsi="Arial"/>
                <w:sz w:val="13"/>
                <w:szCs w:val="13"/>
                <w:color w:val="auto"/>
              </w:rPr>
              <w:t>Cash dividends paid</w:t>
            </w: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0" w:type="dxa"/>
            <w:vAlign w:val="bottom"/>
          </w:tcPr>
          <w:p>
            <w:pPr>
              <w:spacing w:after="0"/>
              <w:rPr>
                <w:sz w:val="15"/>
                <w:szCs w:val="15"/>
                <w:color w:val="auto"/>
              </w:rPr>
            </w:pPr>
          </w:p>
        </w:tc>
        <w:tc>
          <w:tcPr>
            <w:tcW w:w="45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0.96</w:t>
            </w:r>
          </w:p>
        </w:tc>
        <w:tc>
          <w:tcPr>
            <w:tcW w:w="4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0.88</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0.80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0.75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0.01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Sheet Data (at end of period):</w:t>
            </w:r>
          </w:p>
        </w:tc>
        <w:tc>
          <w:tcPr>
            <w:tcW w:w="7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Working capital (deficit)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(118)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(86)</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194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(386)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(1,015)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Goodwill and other intangible assets, net</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5,530</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5,413</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5,514</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5,453</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Total assets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20,175</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20,600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21,135</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20,905</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20,382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Debt, including current portion</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8,337</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8,317</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8,687</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8,566</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Stockholders’ equity</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5,792</w:t>
            </w: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6,222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6,121</w:t>
            </w:r>
          </w:p>
        </w:tc>
        <w:tc>
          <w:tcPr>
            <w:tcW w:w="16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5,971</w:t>
            </w: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5,602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760" w:type="dxa"/>
            <w:vAlign w:val="bottom"/>
          </w:tcPr>
          <w:p>
            <w:pPr>
              <w:jc w:val="right"/>
              <w:ind w:right="174"/>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5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180" w:right="60" w:hanging="493"/>
        <w:spacing w:after="0" w:line="264" w:lineRule="auto"/>
        <w:tabs>
          <w:tab w:leader="none" w:pos="11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 xml:space="preserve">For more information regarding this financial data, see the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xml:space="preserve"> section included in this report. For disclosures associated with the impact of the adoption of new accounting pronouncements and changes in our accounting policies on the comparability of this information, see Note 2 of the Consolidated Financial Statements.</w:t>
      </w:r>
    </w:p>
    <w:p>
      <w:pPr>
        <w:spacing w:after="0" w:line="17" w:lineRule="exact"/>
        <w:rPr>
          <w:rFonts w:ascii="Arial" w:cs="Arial" w:eastAsia="Arial" w:hAnsi="Arial"/>
          <w:sz w:val="13"/>
          <w:szCs w:val="13"/>
          <w:color w:val="auto"/>
        </w:rPr>
      </w:pPr>
    </w:p>
    <w:p>
      <w:pPr>
        <w:ind w:left="1180" w:right="40" w:hanging="493"/>
        <w:spacing w:after="0" w:line="281" w:lineRule="auto"/>
        <w:tabs>
          <w:tab w:leader="none" w:pos="11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 xml:space="preserve">In the first quarter of 2003, we recorded $101 million, including tax benefit, or $0.17 per diluted share, as a charge to cumulative effect of changes in accounting principles for the adoption of Statement of Financial Accounting Standards (“SFAS”) No. 143, </w:t>
      </w:r>
      <w:r>
        <w:rPr>
          <w:rFonts w:ascii="Arial" w:cs="Arial" w:eastAsia="Arial" w:hAnsi="Arial"/>
          <w:sz w:val="12"/>
          <w:szCs w:val="12"/>
          <w:i w:val="1"/>
          <w:iCs w:val="1"/>
          <w:color w:val="auto"/>
        </w:rPr>
        <w:t>Accounting for Asset Retirement Obligations</w:t>
      </w:r>
      <w:r>
        <w:rPr>
          <w:rFonts w:ascii="Arial" w:cs="Arial" w:eastAsia="Arial" w:hAnsi="Arial"/>
          <w:sz w:val="12"/>
          <w:szCs w:val="12"/>
          <w:color w:val="auto"/>
        </w:rPr>
        <w:t xml:space="preserve">. Substantially all of this charge was related to changes in accounting for landfill final capping, closure and post-closure costs. Effective January 1, 2003, we also changed our accounting for repairs and maintenance and loss contracts, which resulted in a credit to cumulative effect of changes in accounting principles of $55 million, net of taxes, or $0.09 per diluted share. On December 31, 2003, we began consolidating two limited liability companies from which we lease three waste-to-energy facilities as a result of our implementation of Financial Accounting Standards Board (“FASB”) Interpretation No. 46(R), </w:t>
      </w:r>
      <w:r>
        <w:rPr>
          <w:rFonts w:ascii="Arial" w:cs="Arial" w:eastAsia="Arial" w:hAnsi="Arial"/>
          <w:sz w:val="12"/>
          <w:szCs w:val="12"/>
          <w:i w:val="1"/>
          <w:iCs w:val="1"/>
          <w:color w:val="auto"/>
        </w:rPr>
        <w:t>Consolidation of Variable Interest Entities (revised December 2003) — an Interpretation of ARB No. 51.</w:t>
      </w:r>
      <w:r>
        <w:rPr>
          <w:rFonts w:ascii="Arial" w:cs="Arial" w:eastAsia="Arial" w:hAnsi="Arial"/>
          <w:sz w:val="12"/>
          <w:szCs w:val="12"/>
          <w:color w:val="auto"/>
        </w:rPr>
        <w:t xml:space="preserve"> Upon consolidating these entities, we recorded a charge to cumulative effect of changes in accounting principles of $43 million, including tax benefit, or $0.07 per diluted share.</w:t>
      </w:r>
    </w:p>
    <w:p>
      <w:pPr>
        <w:spacing w:after="0" w:line="9" w:lineRule="exact"/>
        <w:rPr>
          <w:rFonts w:ascii="Arial" w:cs="Arial" w:eastAsia="Arial" w:hAnsi="Arial"/>
          <w:sz w:val="12"/>
          <w:szCs w:val="12"/>
          <w:color w:val="auto"/>
        </w:rPr>
      </w:pPr>
    </w:p>
    <w:p>
      <w:pPr>
        <w:ind w:left="1180" w:right="140" w:hanging="493"/>
        <w:spacing w:after="0" w:line="334" w:lineRule="auto"/>
        <w:tabs>
          <w:tab w:leader="none" w:pos="1180" w:val="left"/>
        </w:tabs>
        <w:numPr>
          <w:ilvl w:val="0"/>
          <w:numId w:val="19"/>
        </w:numPr>
        <w:rPr>
          <w:rFonts w:ascii="Arial" w:cs="Arial" w:eastAsia="Arial" w:hAnsi="Arial"/>
          <w:sz w:val="11"/>
          <w:szCs w:val="11"/>
          <w:color w:val="auto"/>
        </w:rPr>
      </w:pPr>
      <w:r>
        <w:rPr>
          <w:rFonts w:ascii="Arial" w:cs="Arial" w:eastAsia="Arial" w:hAnsi="Arial"/>
          <w:sz w:val="11"/>
          <w:szCs w:val="11"/>
          <w:color w:val="auto"/>
        </w:rPr>
        <w:t>Effective January 1, 2004, we began recording all mandatory fees and taxes that create direct obligations for us as operating expenses and recording revenue when the fees and taxes are billed to our customers. In prior years, certain of these costs had been treated as pass-through costs for financial reporting purposes. In 2004, we conformed the 2003 presentation of our revenues and expenses with this presentation by increasing both our revenue and our operating expense by $74 million for the year ended December 31, 2003.</w:t>
      </w:r>
    </w:p>
    <w:p>
      <w:pPr>
        <w:spacing w:after="0" w:line="10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 xml:space="preserve">This section includes a discussion of our operations for the three years ended December 31, 2007. This discussion may contain forward-looking statements that anticipate results based on management’s plans that are subject to uncertainty. We discuss in more detail various factors that could cause actual results to differ from expectations in Item 1A, </w:t>
      </w:r>
      <w:r>
        <w:rPr>
          <w:rFonts w:ascii="Arial" w:cs="Arial" w:eastAsia="Arial" w:hAnsi="Arial"/>
          <w:sz w:val="12"/>
          <w:szCs w:val="12"/>
          <w:i w:val="1"/>
          <w:iCs w:val="1"/>
          <w:color w:val="auto"/>
        </w:rPr>
        <w:t>Risk Factors</w:t>
      </w:r>
      <w:r>
        <w:rPr>
          <w:rFonts w:ascii="Arial" w:cs="Arial" w:eastAsia="Arial" w:hAnsi="Arial"/>
          <w:sz w:val="12"/>
          <w:szCs w:val="12"/>
          <w:color w:val="auto"/>
        </w:rPr>
        <w:t>. The following discussion should be read in light of that disclosure and together with the Consolidated Financial Statements and the notes to the Consolidated Financial Statements.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Our pricing program, cost control measures and fix-or-seek exit initiatives continued to provide earnings growth, margin expansion, and strong free cash flow in 2007. Despite volume losses resulting from pricing competition and an economic softening, particularly in the residential construction sector, our 2007 operating results were strong.</w:t>
      </w:r>
    </w:p>
    <w:p>
      <w:pPr>
        <w:spacing w:after="0" w:line="35" w:lineRule="exact"/>
        <w:rPr>
          <w:sz w:val="20"/>
          <w:szCs w:val="20"/>
          <w:color w:val="auto"/>
        </w:rPr>
      </w:pPr>
    </w:p>
    <w:p>
      <w:pPr>
        <w:jc w:val="both"/>
        <w:ind w:left="680" w:right="260" w:firstLine="399"/>
        <w:spacing w:after="0" w:line="296" w:lineRule="auto"/>
        <w:rPr>
          <w:sz w:val="20"/>
          <w:szCs w:val="20"/>
          <w:color w:val="auto"/>
        </w:rPr>
      </w:pPr>
      <w:r>
        <w:rPr>
          <w:rFonts w:ascii="Arial" w:cs="Arial" w:eastAsia="Arial" w:hAnsi="Arial"/>
          <w:sz w:val="12"/>
          <w:szCs w:val="12"/>
          <w:color w:val="auto"/>
        </w:rPr>
        <w:t>We improved our income from operations in 2007 by $225 million, or 11%, as compared with 2006. In addition, income from operations as a percentage of revenue increased by 1.7 percentage points in 2007 as compared with 2006. This earnings growth and margin expansion is a reflection of our continued focus on improving our cost structure and pricing each customer to provide profitable returns, as well as significant returns provided by our recycling operations in 2007, largely due to a very strong market for recycling commodities.</w:t>
      </w:r>
    </w:p>
    <w:p>
      <w:pPr>
        <w:spacing w:after="0" w:line="5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Our revenues in 2007 decreased by $53 million, or 0.4%, as compared with 2006, primarily as a result of volume declines and divestitures, offset largely by increased yield from base business and higher recycling commodity prices. The loss of revenue due to volume declines in 2007 has resulted primarily from pricing competition and a significant slowdown in residential construction across the United States.</w:t>
      </w:r>
    </w:p>
    <w:p>
      <w:pPr>
        <w:spacing w:after="0" w:line="67" w:lineRule="exact"/>
        <w:rPr>
          <w:sz w:val="20"/>
          <w:szCs w:val="20"/>
          <w:color w:val="auto"/>
        </w:rPr>
      </w:pPr>
    </w:p>
    <w:p>
      <w:pPr>
        <w:jc w:val="both"/>
        <w:ind w:left="680" w:right="200" w:firstLine="399"/>
        <w:spacing w:after="0" w:line="260" w:lineRule="auto"/>
        <w:rPr>
          <w:sz w:val="20"/>
          <w:szCs w:val="20"/>
          <w:color w:val="auto"/>
        </w:rPr>
      </w:pPr>
      <w:r>
        <w:rPr>
          <w:rFonts w:ascii="Arial" w:cs="Arial" w:eastAsia="Arial" w:hAnsi="Arial"/>
          <w:sz w:val="13"/>
          <w:szCs w:val="13"/>
          <w:color w:val="auto"/>
        </w:rPr>
        <w:t>In 2007, we decreased our operating expenses despite incurring $35 million in operating costs during the year for labor disputes in Oakland and Los Angeles, California. In 2007, operating expenses decreased by $185 million, or 2.2%, and as a percentage of revenue, declined by 1.2 percentage points as compared with 2006. Our selling, general and administrative expenses increased by $44 million, or 3.2%, as compared with 2006, primarily a result of higher costs associated with the implementation and execution of our strategic initiatives that we believe will improve operations and processes over the long-term.</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Our free cash flow increased in 2007 due to lower capital spending and increased proceeds from divestitures, the effects of which were partially offset by lower net cash provided by operating activities. Our capital expenditures were less in 2007 than 2006 largely due to relatively high levels of fleet capital spending in 2006 to prepare for significant mandated changes in heavy-duty truck engines that began in January 2007. The increase in proceeds from divestitures was a result of our continued fix-or-seek exit initiative. We calculate free cash flow as shown in the table below (in millions):</w:t>
      </w:r>
    </w:p>
    <w:p>
      <w:pPr>
        <w:spacing w:after="0" w:line="71" w:lineRule="exact"/>
        <w:rPr>
          <w:sz w:val="20"/>
          <w:szCs w:val="20"/>
          <w:color w:val="auto"/>
        </w:rPr>
      </w:pPr>
    </w:p>
    <w:p>
      <w:pPr>
        <w:ind w:left="9500"/>
        <w:spacing w:after="0"/>
        <w:rPr>
          <w:sz w:val="20"/>
          <w:szCs w:val="20"/>
          <w:color w:val="auto"/>
        </w:rPr>
      </w:pPr>
      <w:r>
        <w:rPr>
          <w:rFonts w:ascii="Arial" w:cs="Arial" w:eastAsia="Arial" w:hAnsi="Arial"/>
          <w:sz w:val="10"/>
          <w:szCs w:val="10"/>
          <w:b w:val="1"/>
          <w:bCs w:val="1"/>
          <w:color w:val="auto"/>
        </w:rPr>
        <w:t>Years Ended</w:t>
      </w:r>
    </w:p>
    <w:p>
      <w:pPr>
        <w:spacing w:after="0" w:line="3" w:lineRule="exact"/>
        <w:rPr>
          <w:sz w:val="20"/>
          <w:szCs w:val="20"/>
          <w:color w:val="auto"/>
        </w:rPr>
      </w:pPr>
    </w:p>
    <w:p>
      <w:pPr>
        <w:ind w:left="9480"/>
        <w:spacing w:after="0"/>
        <w:rPr>
          <w:sz w:val="20"/>
          <w:szCs w:val="20"/>
          <w:color w:val="auto"/>
        </w:rPr>
      </w:pPr>
      <w:r>
        <w:rPr>
          <w:rFonts w:ascii="Arial" w:cs="Arial" w:eastAsia="Arial" w:hAnsi="Arial"/>
          <w:sz w:val="10"/>
          <w:szCs w:val="10"/>
          <w:b w:val="1"/>
          <w:bCs w:val="1"/>
          <w:color w:val="auto"/>
        </w:rPr>
        <w:t>December 31,</w:t>
      </w:r>
    </w:p>
    <w:tbl>
      <w:tblPr>
        <w:tblLayout w:type="fixed"/>
        <w:tblInd w:w="680" w:type="dxa"/>
        <w:tblCellMar>
          <w:top w:w="0" w:type="dxa"/>
          <w:left w:w="0" w:type="dxa"/>
          <w:bottom w:w="0" w:type="dxa"/>
          <w:right w:w="0" w:type="dxa"/>
        </w:tblCellMar>
      </w:tblPr>
      <w:tr>
        <w:trPr>
          <w:trHeight w:val="98"/>
        </w:trPr>
        <w:tc>
          <w:tcPr>
            <w:tcW w:w="130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2,540</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Capital expenditures</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(1,211)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(1,329)</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3"/>
                <w:szCs w:val="13"/>
                <w:color w:val="auto"/>
              </w:rPr>
              <w:t>Free cash flow(a)</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300" w:type="dxa"/>
            <w:vAlign w:val="bottom"/>
            <w:gridSpan w:val="2"/>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1,506</w:t>
            </w:r>
          </w:p>
        </w:tc>
        <w:tc>
          <w:tcPr>
            <w:tcW w:w="4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1,451</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60" w:hanging="493"/>
        <w:spacing w:after="0" w:line="289" w:lineRule="auto"/>
        <w:tabs>
          <w:tab w:leader="none" w:pos="11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have included free cash flow, which is a non-GAAP measure of liquidity, in our disclosures because we use this measure in the evaluation and management of our business and believe it is indicative of our ability to pay our quarterly dividends, repurchase our common stock and fund acquisitions and other investments. Free cash flow is not intended to replace the GAAP measure of “Net cash provided by operating activities,” which is the most comparable GAAP measure. However, by subtracting cash used for capital expenditures and adding the cash proceeds from divestitures and other asset sales, we believe free cash flow gives investors greater insight into our liquidity.</w:t>
      </w:r>
    </w:p>
    <w:p>
      <w:pPr>
        <w:spacing w:after="0" w:line="53"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expect that in 2008 we may continue to face challenges related to volume losses as a result of general economic conditions and pricing competition. However, we are redirecting some of the focus in our sales department from the right-pricing of existing customers, which has largely been completed, to seeking out new customers that will provide profitable growth to our business. Throughout 2007, we continued to focus on building a trusted brand that stands for quality, reliable service, safety and environmental protection. We plan to cultivate this reputation; focus on quality customer service; actively manage our capital requirements and scheduled debt repayments; and grow our business with targeted acquisitions and other investments that will improve our current operations’ performance and enhance and expand our services. We believe all of these measures will ensure our ability to return value to our shareholders.</w:t>
      </w:r>
    </w:p>
    <w:p>
      <w:pPr>
        <w:spacing w:after="0" w:line="72"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Technology Update — For the last several years, we have been introducing systems and technologies to improve our business processes and profitability. We recently have successfully deployed our FastLane system, an enterprise-wide, automated point-of-sale system for management of scale house ticketing and our Compass system, a fleet maintenance system that automates many shop functions and tracks repairs. We also are proceeding with pilots of onboard computer systems for our fleet collection operations and modules for our pricing program. As part of our focus on technology, in October 2005, we entered into agreements with a major software vendor to license its waste and recycling revenue management application and have the vendor implement the licensed software throughout the Company on a fixed price basis. In January 2007, we began a pilot test of the licensed application in one of our smaller market areas, while the rest of our market areas continued to operate using our existing revenue management system. The results of the pilot demonstrated to us that the licensed application would not work. In the fourth quarter of 2007, we terminated the pilot and the pilot market area’s operations are being returned to our existing revenue management system. Although we have continued to press the vendor to provide a revenue management application that fulfills its obligations to the Company, our negotiations have not yet resulted in a satisfactory commitment from the vendor. In March 2008, in an effort to avoid litigation, we will mediate and attempt to resolve our disputes with the vendor. Therefore, we will not be able to deploy a new revenue management system in the foreseeable future and we will continue to run our current system, although it does not provide the benefits we were expecting to get from the licensed application. However, we may be able to make enhancements to our current system. Our plans to install a new revenue management system, to make enhancements to our current system and to address the issues with the software vendor may result in cost increases, each of which could negatively affect our future cash flow and earnings.</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 of Consolidated and Segment Financial Information</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i w:val="1"/>
          <w:iCs w:val="1"/>
          <w:color w:val="auto"/>
        </w:rPr>
        <w:t xml:space="preserve">Accounting Changes — FIN 48, Accounting for Uncertainty in Income Taxes (an interpretation of FASB Statement No. 109) and FSP No. 48-1, Definition of Settlement in FASB Interpretation No. 48 — </w:t>
      </w:r>
      <w:r>
        <w:rPr>
          <w:rFonts w:ascii="Arial" w:cs="Arial" w:eastAsia="Arial" w:hAnsi="Arial"/>
          <w:sz w:val="13"/>
          <w:szCs w:val="13"/>
          <w:color w:val="auto"/>
        </w:rPr>
        <w:t>Effective January 1, 2007, we adopted FIN 48 and FSP No. 48-1. FIN 48 prescribes a recognition threshold and measurement attribute for financial statement</w:t>
      </w:r>
      <w:r>
        <w:rPr>
          <w:rFonts w:ascii="Arial" w:cs="Arial" w:eastAsia="Arial" w:hAnsi="Arial"/>
          <w:sz w:val="13"/>
          <w:szCs w:val="13"/>
          <w:i w:val="1"/>
          <w:iCs w:val="1"/>
          <w:color w:val="auto"/>
        </w:rPr>
        <w:t xml:space="preserve"> </w:t>
      </w:r>
      <w:r>
        <w:rPr>
          <w:rFonts w:ascii="Arial" w:cs="Arial" w:eastAsia="Arial" w:hAnsi="Arial"/>
          <w:sz w:val="13"/>
          <w:szCs w:val="13"/>
          <w:color w:val="auto"/>
        </w:rPr>
        <w:t>recognition and measurement of tax positions taken or expected to be taken in tax returns. In addition, FIN 48 provides guidance on the de-recognition, classification and disclosure of tax positions, as well as the accounting for related interest and penalties. FSP No. 48-1 provides guidance associated with the criteria that must be evaluated in determining if a tax position has been effectively settled and should be recognized as a tax benefit.</w:t>
      </w:r>
    </w:p>
    <w:p>
      <w:pPr>
        <w:spacing w:after="0" w:line="71" w:lineRule="exact"/>
        <w:rPr>
          <w:sz w:val="20"/>
          <w:szCs w:val="20"/>
          <w:color w:val="auto"/>
        </w:rPr>
      </w:pPr>
    </w:p>
    <w:p>
      <w:pPr>
        <w:ind w:left="680" w:right="120" w:firstLine="399"/>
        <w:spacing w:after="0" w:line="322" w:lineRule="auto"/>
        <w:rPr>
          <w:sz w:val="20"/>
          <w:szCs w:val="20"/>
          <w:color w:val="auto"/>
        </w:rPr>
      </w:pPr>
      <w:r>
        <w:rPr>
          <w:rFonts w:ascii="Arial" w:cs="Arial" w:eastAsia="Arial" w:hAnsi="Arial"/>
          <w:sz w:val="11"/>
          <w:szCs w:val="11"/>
          <w:i w:val="1"/>
          <w:iCs w:val="1"/>
          <w:color w:val="auto"/>
        </w:rPr>
        <w:t xml:space="preserve">SFAS No. 123(R) — Share-Based Payment </w:t>
      </w:r>
      <w:r>
        <w:rPr>
          <w:rFonts w:ascii="Arial" w:cs="Arial" w:eastAsia="Arial" w:hAnsi="Arial"/>
          <w:sz w:val="11"/>
          <w:szCs w:val="11"/>
          <w:color w:val="auto"/>
        </w:rPr>
        <w:t>— On January 1, 2006, we adopted SFAS No. 123 (revised 2004),</w:t>
      </w:r>
      <w:r>
        <w:rPr>
          <w:rFonts w:ascii="Arial" w:cs="Arial" w:eastAsia="Arial" w:hAnsi="Arial"/>
          <w:sz w:val="11"/>
          <w:szCs w:val="11"/>
          <w:i w:val="1"/>
          <w:iCs w:val="1"/>
          <w:color w:val="auto"/>
        </w:rPr>
        <w:t xml:space="preserve"> Share-Based Payment</w:t>
      </w:r>
      <w:r>
        <w:rPr>
          <w:rFonts w:ascii="Arial" w:cs="Arial" w:eastAsia="Arial" w:hAnsi="Arial"/>
          <w:sz w:val="11"/>
          <w:szCs w:val="11"/>
          <w:color w:val="auto"/>
        </w:rPr>
        <w:t>, which requires compensation expense to be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recognized for all share-based payments made to employees based on the fair value of the award at the date of grant. We adopted SFAS No. 123(R) using the modified prospective method, which results in (i) the recognition of compensation expense using the provisions of SFAS No. 123(R) for all share-based awards granted or modified after December 31, 2005 and (ii) the recognition of compensation expense using the provisions of SFAS No. 123, </w:t>
      </w:r>
      <w:r>
        <w:rPr>
          <w:rFonts w:ascii="Arial" w:cs="Arial" w:eastAsia="Arial" w:hAnsi="Arial"/>
          <w:sz w:val="11"/>
          <w:szCs w:val="11"/>
          <w:i w:val="1"/>
          <w:iCs w:val="1"/>
          <w:color w:val="auto"/>
        </w:rPr>
        <w:t>Accounting for Stock-Based Compensation</w:t>
      </w:r>
      <w:r>
        <w:rPr>
          <w:rFonts w:ascii="Arial" w:cs="Arial" w:eastAsia="Arial" w:hAnsi="Arial"/>
          <w:sz w:val="11"/>
          <w:szCs w:val="11"/>
          <w:color w:val="auto"/>
        </w:rPr>
        <w:t xml:space="preserve"> for all unvested awards outstanding at the date of adoption.</w:t>
      </w:r>
    </w:p>
    <w:p>
      <w:pPr>
        <w:spacing w:after="0" w:line="39"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Refer to Note 2 of our Consolidated Financial Statements for additional information related to the impact of the implementation of these new accounting pronouncements on our results of operations and financial position.</w:t>
      </w:r>
    </w:p>
    <w:p>
      <w:pPr>
        <w:spacing w:after="0" w:line="5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i w:val="1"/>
          <w:iCs w:val="1"/>
          <w:color w:val="auto"/>
        </w:rPr>
        <w:t xml:space="preserve">Reclassification of Segment Information </w:t>
      </w:r>
      <w:r>
        <w:rPr>
          <w:rFonts w:ascii="Arial" w:cs="Arial" w:eastAsia="Arial" w:hAnsi="Arial"/>
          <w:sz w:val="12"/>
          <w:szCs w:val="12"/>
          <w:color w:val="auto"/>
        </w:rPr>
        <w:t>— In the first quarter of 2007, we realigned our Eastern, Midwest and Western Group organizations to facilitate improved business</w:t>
      </w:r>
      <w:r>
        <w:rPr>
          <w:rFonts w:ascii="Arial" w:cs="Arial" w:eastAsia="Arial" w:hAnsi="Arial"/>
          <w:sz w:val="12"/>
          <w:szCs w:val="12"/>
          <w:i w:val="1"/>
          <w:iCs w:val="1"/>
          <w:color w:val="auto"/>
        </w:rPr>
        <w:t xml:space="preserve"> </w:t>
      </w:r>
      <w:r>
        <w:rPr>
          <w:rFonts w:ascii="Arial" w:cs="Arial" w:eastAsia="Arial" w:hAnsi="Arial"/>
          <w:sz w:val="12"/>
          <w:szCs w:val="12"/>
          <w:color w:val="auto"/>
        </w:rPr>
        <w:t>execution. We moved certain market areas in the Eastern and Midwest Groups to the Midwest and Western Groups, respectively. In addition, in early 2007 we moved certain of our WMRA operations to our Western Group to more closely align their recycling operations with the related collection, transfer and disposal operations. We have reflected the impact of these realignments for all periods presented to provide financial information that consistently reflects our current approach to managing our operations.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Estimates and Assumptions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and disclosure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as described below. Actual results could differ materially from the estimates and assumptions that we use in the preparation of our financial statements.</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Landfills </w:t>
      </w:r>
      <w:r>
        <w:rPr>
          <w:rFonts w:ascii="Arial" w:cs="Arial" w:eastAsia="Arial" w:hAnsi="Arial"/>
          <w:sz w:val="13"/>
          <w:szCs w:val="13"/>
          <w:color w:val="auto"/>
        </w:rPr>
        <w:t>— The cost estimates for final capping, closure and post-closure activities at landfills for which we have responsibility are estimated based on our interpretations of current</w:t>
      </w:r>
      <w:r>
        <w:rPr>
          <w:rFonts w:ascii="Arial" w:cs="Arial" w:eastAsia="Arial" w:hAnsi="Arial"/>
          <w:sz w:val="13"/>
          <w:szCs w:val="13"/>
          <w:i w:val="1"/>
          <w:iCs w:val="1"/>
          <w:color w:val="auto"/>
        </w:rPr>
        <w:t xml:space="preserve"> </w:t>
      </w:r>
      <w:r>
        <w:rPr>
          <w:rFonts w:ascii="Arial" w:cs="Arial" w:eastAsia="Arial" w:hAnsi="Arial"/>
          <w:sz w:val="13"/>
          <w:szCs w:val="13"/>
          <w:color w:val="auto"/>
        </w:rPr>
        <w:t>requirements and proposed or anticipated regulatory changes. We also estimate additional costs, pursuant to the requirements of SFAS No. 143, based on the amount a third party would charge us to perform such activities even when we expect to perform these activities internally. We estimate the airspace to be consumed related to each final capping event and the timing of each final capping event and of closure and post-closure activities. Because landfill final capping, closure and post-closure obligations are measured at estimated fair value using present value techniques, changes in the estimated timing of future landfill final capping and closure and post-closure activities would have an effect on these liabilities, related assets and results of operations.</w:t>
      </w:r>
    </w:p>
    <w:p>
      <w:pPr>
        <w:spacing w:after="0" w:line="72"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i w:val="1"/>
          <w:iCs w:val="1"/>
          <w:color w:val="auto"/>
        </w:rPr>
        <w:t xml:space="preserve">Landfill Costs </w:t>
      </w:r>
      <w:r>
        <w:rPr>
          <w:rFonts w:ascii="Arial" w:cs="Arial" w:eastAsia="Arial" w:hAnsi="Arial"/>
          <w:sz w:val="12"/>
          <w:szCs w:val="12"/>
          <w:color w:val="auto"/>
        </w:rPr>
        <w:t>— We estimate the total cost to develop each of our landfill sites to its remaining permitted and expansion capacity. This estimate includes such costs as landfill liner</w:t>
      </w:r>
      <w:r>
        <w:rPr>
          <w:rFonts w:ascii="Arial" w:cs="Arial" w:eastAsia="Arial" w:hAnsi="Arial"/>
          <w:sz w:val="12"/>
          <w:szCs w:val="12"/>
          <w:i w:val="1"/>
          <w:iCs w:val="1"/>
          <w:color w:val="auto"/>
        </w:rPr>
        <w:t xml:space="preserve"> </w:t>
      </w:r>
      <w:r>
        <w:rPr>
          <w:rFonts w:ascii="Arial" w:cs="Arial" w:eastAsia="Arial" w:hAnsi="Arial"/>
          <w:sz w:val="12"/>
          <w:szCs w:val="12"/>
          <w:color w:val="auto"/>
        </w:rPr>
        <w:t>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landfill</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footprint and required landfill buffer property.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w:t>
      </w:r>
    </w:p>
    <w:p>
      <w:pPr>
        <w:spacing w:after="0" w:line="67"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i w:val="1"/>
          <w:iCs w:val="1"/>
          <w:color w:val="auto"/>
        </w:rPr>
        <w:t xml:space="preserve">Final Capping Costs </w:t>
      </w:r>
      <w:r>
        <w:rPr>
          <w:rFonts w:ascii="Arial" w:cs="Arial" w:eastAsia="Arial" w:hAnsi="Arial"/>
          <w:sz w:val="13"/>
          <w:szCs w:val="13"/>
          <w:color w:val="auto"/>
        </w:rPr>
        <w:t>— We estimate the cost for each final capping event based on the area to be finally capped and the capping materials and activities required. The estimates also</w:t>
      </w:r>
      <w:r>
        <w:rPr>
          <w:rFonts w:ascii="Arial" w:cs="Arial" w:eastAsia="Arial" w:hAnsi="Arial"/>
          <w:sz w:val="13"/>
          <w:szCs w:val="13"/>
          <w:i w:val="1"/>
          <w:iCs w:val="1"/>
          <w:color w:val="auto"/>
        </w:rPr>
        <w:t xml:space="preserve"> </w:t>
      </w:r>
      <w:r>
        <w:rPr>
          <w:rFonts w:ascii="Arial" w:cs="Arial" w:eastAsia="Arial" w:hAnsi="Arial"/>
          <w:sz w:val="13"/>
          <w:szCs w:val="13"/>
          <w:color w:val="auto"/>
        </w:rPr>
        <w:t>consider when these costs would actually be paid and factor in inflation and discount rates. Our engineering personnel allocate final landfill capping costs to specific capping events. The landfill capacity associated with each final capping event is then quantified and the final capping costs for each event are amortized over the related capacity associated with the event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asset, the adjustment to the asset must be amortized immediately through expense. When the change in estimate relates to a final capping event that has not been fully consumed, the adjustment to the asset is recognized in income prospectively as a component of landfill airspace amortization.</w:t>
      </w:r>
    </w:p>
    <w:p>
      <w:pPr>
        <w:spacing w:after="0" w:line="73"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Closure and Post-Closure Costs </w:t>
      </w:r>
      <w:r>
        <w:rPr>
          <w:rFonts w:ascii="Arial" w:cs="Arial" w:eastAsia="Arial" w:hAnsi="Arial"/>
          <w:sz w:val="13"/>
          <w:szCs w:val="13"/>
          <w:color w:val="auto"/>
        </w:rPr>
        <w:t>— We base our estimates for closure and post-closure costs on our interpretations of permit and regulatory requirements for closure and post-closure</w:t>
      </w:r>
      <w:r>
        <w:rPr>
          <w:rFonts w:ascii="Arial" w:cs="Arial" w:eastAsia="Arial" w:hAnsi="Arial"/>
          <w:sz w:val="13"/>
          <w:szCs w:val="13"/>
          <w:i w:val="1"/>
          <w:iCs w:val="1"/>
          <w:color w:val="auto"/>
        </w:rPr>
        <w:t xml:space="preserve"> </w:t>
      </w:r>
      <w:r>
        <w:rPr>
          <w:rFonts w:ascii="Arial" w:cs="Arial" w:eastAsia="Arial" w:hAnsi="Arial"/>
          <w:sz w:val="13"/>
          <w:szCs w:val="13"/>
          <w:color w:val="auto"/>
        </w:rPr>
        <w:t>maintenance and monitoring. The estimates for landfill closure and post-closure costs also consider when the costs would actually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asset, the adjustment to the asset must be amortized immediately through expense. When the change in estimate relates to a landfill asset that has not been fully consumed, the adjustment to the asset is recognized in income prospectively as a component of landfill airspace amortization.</w:t>
      </w:r>
    </w:p>
    <w:p>
      <w:pPr>
        <w:spacing w:after="0" w:line="72" w:lineRule="exact"/>
        <w:rPr>
          <w:sz w:val="20"/>
          <w:szCs w:val="20"/>
          <w:color w:val="auto"/>
        </w:rPr>
      </w:pPr>
    </w:p>
    <w:p>
      <w:pPr>
        <w:jc w:val="both"/>
        <w:ind w:left="680" w:firstLine="399"/>
        <w:spacing w:after="0" w:line="371" w:lineRule="auto"/>
        <w:rPr>
          <w:sz w:val="20"/>
          <w:szCs w:val="20"/>
          <w:color w:val="auto"/>
        </w:rPr>
      </w:pPr>
      <w:r>
        <w:rPr>
          <w:rFonts w:ascii="Arial" w:cs="Arial" w:eastAsia="Arial" w:hAnsi="Arial"/>
          <w:sz w:val="11"/>
          <w:szCs w:val="11"/>
          <w:i w:val="1"/>
          <w:iCs w:val="1"/>
          <w:color w:val="auto"/>
        </w:rPr>
        <w:t xml:space="preserve">Remaining Permitted Airspace </w:t>
      </w:r>
      <w:r>
        <w:rPr>
          <w:rFonts w:ascii="Arial" w:cs="Arial" w:eastAsia="Arial" w:hAnsi="Arial"/>
          <w:sz w:val="11"/>
          <w:szCs w:val="11"/>
          <w:color w:val="auto"/>
        </w:rPr>
        <w:t>— Our engineers, in consultation with third-party engineering consultants and surveyors, are responsible for determining remaining permitted airspace</w:t>
      </w:r>
      <w:r>
        <w:rPr>
          <w:rFonts w:ascii="Arial" w:cs="Arial" w:eastAsia="Arial" w:hAnsi="Arial"/>
          <w:sz w:val="11"/>
          <w:szCs w:val="11"/>
          <w:i w:val="1"/>
          <w:iCs w:val="1"/>
          <w:color w:val="auto"/>
        </w:rPr>
        <w:t xml:space="preserve"> </w:t>
      </w:r>
      <w:r>
        <w:rPr>
          <w:rFonts w:ascii="Arial" w:cs="Arial" w:eastAsia="Arial" w:hAnsi="Arial"/>
          <w:sz w:val="11"/>
          <w:szCs w:val="11"/>
          <w:color w:val="auto"/>
        </w:rPr>
        <w:t>at our landfills. The remaining permitted airspace is determined by an annual survey, which is then used to compare the existing landfill topography to the expected final landfill topography.</w:t>
      </w:r>
    </w:p>
    <w:p>
      <w:pPr>
        <w:spacing w:after="0" w:line="12"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Expansion Airspace </w:t>
      </w:r>
      <w:r>
        <w:rPr>
          <w:rFonts w:ascii="Arial" w:cs="Arial" w:eastAsia="Arial" w:hAnsi="Arial"/>
          <w:sz w:val="13"/>
          <w:szCs w:val="13"/>
          <w:color w:val="auto"/>
        </w:rPr>
        <w:t>— We include currently unpermitted airspace in our estimate of remaining permitted and expansion airspace in certain circumstances. First, to include airspace</w:t>
      </w:r>
      <w:r>
        <w:rPr>
          <w:rFonts w:ascii="Arial" w:cs="Arial" w:eastAsia="Arial" w:hAnsi="Arial"/>
          <w:sz w:val="13"/>
          <w:szCs w:val="13"/>
          <w:i w:val="1"/>
          <w:iCs w:val="1"/>
          <w:color w:val="auto"/>
        </w:rPr>
        <w:t xml:space="preserve"> </w:t>
      </w:r>
      <w:r>
        <w:rPr>
          <w:rFonts w:ascii="Arial" w:cs="Arial" w:eastAsia="Arial" w:hAnsi="Arial"/>
          <w:sz w:val="13"/>
          <w:szCs w:val="13"/>
          <w:color w:val="auto"/>
        </w:rPr>
        <w:t>associated with an expansion effort, we must generally expect the initial expansion permit application to be submitted within one year, and the final expansion permit to be received within five years. Second, we must believe the success of obtaining the expansion permit is likely, considering the following criteria:</w:t>
      </w:r>
    </w:p>
    <w:p>
      <w:pPr>
        <w:spacing w:after="0" w:line="67"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Personnel are actively working to obtain land use and local, state or provincial approvals for an expansion of an existing landfill;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It is likely that the approvals will be received within the normal application and processing time periods for approvals in the jurisdiction in which the landfill is located;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have a legal right to use or obtain land to be included in the expansion plan;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There are no significant known technical, legal, community, business, or political restrictions or similar issues that could impair the success of such expansion;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Financial analysis has been completed, and the results demonstrate that the expansion has a positive financial and operational impact;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Airspace and related costs, including additional closure and post-closure costs, have been estimated based on conceptual design.</w:t>
      </w:r>
    </w:p>
    <w:p>
      <w:pPr>
        <w:spacing w:after="0" w:line="96" w:lineRule="exact"/>
        <w:rPr>
          <w:sz w:val="20"/>
          <w:szCs w:val="20"/>
          <w:color w:val="auto"/>
        </w:rPr>
      </w:pPr>
    </w:p>
    <w:p>
      <w:pPr>
        <w:jc w:val="both"/>
        <w:ind w:left="680" w:right="100" w:firstLine="399"/>
        <w:spacing w:after="0" w:line="334" w:lineRule="auto"/>
        <w:rPr>
          <w:sz w:val="20"/>
          <w:szCs w:val="20"/>
          <w:color w:val="auto"/>
        </w:rPr>
      </w:pPr>
      <w:r>
        <w:rPr>
          <w:rFonts w:ascii="Arial" w:cs="Arial" w:eastAsia="Arial" w:hAnsi="Arial"/>
          <w:sz w:val="11"/>
          <w:szCs w:val="11"/>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these criteria are no longer met, based on the facts and circumstances of a</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58" w:lineRule="auto"/>
        <w:rPr>
          <w:sz w:val="20"/>
          <w:szCs w:val="20"/>
          <w:color w:val="auto"/>
        </w:rPr>
      </w:pPr>
      <w:r>
        <w:rPr>
          <w:rFonts w:ascii="Arial" w:cs="Arial" w:eastAsia="Arial" w:hAnsi="Arial"/>
          <w:sz w:val="13"/>
          <w:szCs w:val="13"/>
          <w:color w:val="auto"/>
        </w:rPr>
        <w:t>specific landfill. In these circumstances, continued inclusion must be approved through a landfill-specific review process that includes approval of the Chief Financial Officer and a review by the Audit Committee of the Board of Directors on a quarterly basis. Of the 54 landfill sites with expansions at December 31, 2007, 18 landfills required the Chief Financial Officer to approve the inclusion of the unpermitted airspace. Eight of these landfills required approval by the Chief Financial Officer because of a lack of community or political support that could impede the expansion process. The remaining ten landfills required approval primarily due to the permit application processes not meeting the one- or five-year requirements, generally as a result of state-specific permitting procedures.</w:t>
      </w:r>
    </w:p>
    <w:p>
      <w:pPr>
        <w:spacing w:after="0" w:line="71"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Once the remaining permitted and expansion airspace is determined, an airspace utilization factor, or AUF, is established to calculate the remaining permitted and expansion capacity in tons. The AUF is established using the measured density obtained from previous annual surveys and then adjusted to account for settlement. The amount of settlement that is forecasted will take into account several site-specific factors including current and projected mix of waste type, initial and projected waste density, estimated number of years of life remaining, depth of underlying waste, and anticipated access to moisture through precipitation or recirculation of landfill leachate.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When we include the expansion airspace in our calculations of available airspace, we also include the projected costs for development, as well as the projected asset retirement cost related to final capping, and closure and post-closure of the expansion in the amortization basis of the landfill.</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After determining the costs and remaining permitted and expansion capacity at each of our landfills, we determine the per ton rates that will be expensed through landfill amortization. We look at factors such as the waste stream, geography and rate of compaction, among others, to determine the number of tons necessary to fill the remaining permitted and expansion airspace relating to these costs and activities. We then divide costs by the corresponding number of tons, giving us the rate per ton to expense for each activity as waste is received and deposited at the landfill.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55" w:lineRule="exact"/>
        <w:rPr>
          <w:sz w:val="20"/>
          <w:szCs w:val="20"/>
          <w:color w:val="auto"/>
        </w:rPr>
      </w:pPr>
    </w:p>
    <w:p>
      <w:pPr>
        <w:ind w:left="680" w:right="160" w:firstLine="399"/>
        <w:spacing w:after="0" w:line="282" w:lineRule="auto"/>
        <w:rPr>
          <w:sz w:val="20"/>
          <w:szCs w:val="20"/>
          <w:color w:val="auto"/>
        </w:rPr>
      </w:pPr>
      <w:r>
        <w:rPr>
          <w:rFonts w:ascii="Arial" w:cs="Arial" w:eastAsia="Arial" w:hAnsi="Arial"/>
          <w:sz w:val="12"/>
          <w:szCs w:val="12"/>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or higher profitability may result if the opposite occurs. Most significantly, if our belief that we will receive an expansion permit changes adversely and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Environmental Remediation Liabilities </w:t>
      </w:r>
      <w:r>
        <w:rPr>
          <w:rFonts w:ascii="Arial" w:cs="Arial" w:eastAsia="Arial" w:hAnsi="Arial"/>
          <w:sz w:val="12"/>
          <w:szCs w:val="12"/>
          <w:color w:val="auto"/>
        </w:rPr>
        <w:t>— We are subject to an array of laws and regulations relating to the protection of the environment. Under current laws and regulations, we may</w:t>
      </w:r>
      <w:r>
        <w:rPr>
          <w:rFonts w:ascii="Arial" w:cs="Arial" w:eastAsia="Arial" w:hAnsi="Arial"/>
          <w:sz w:val="12"/>
          <w:szCs w:val="12"/>
          <w:i w:val="1"/>
          <w:iCs w:val="1"/>
          <w:color w:val="auto"/>
        </w:rPr>
        <w:t xml:space="preserve"> </w:t>
      </w:r>
      <w:r>
        <w:rPr>
          <w:rFonts w:ascii="Arial" w:cs="Arial" w:eastAsia="Arial" w:hAnsi="Arial"/>
          <w:sz w:val="12"/>
          <w:szCs w:val="12"/>
          <w:color w:val="auto"/>
        </w:rPr>
        <w:t>have liabilities for environmental damage caused by our operations, or for damage caused by conditions that existed before we acquired a site. These liabilities include potentially responsible party, or PRP,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several estimates and assumptions.</w:t>
      </w:r>
    </w:p>
    <w:p>
      <w:pPr>
        <w:spacing w:after="0" w:line="55"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We estimate costs required to remediate sites where it is probable that a liability has been incurred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respect to other named and unnamed PRPs. Estimates of the cost for the likely remedy are then either developed using our internal resources or by third-party environmental engineers or other service providers. Internally developed estimates are based on:</w:t>
      </w:r>
    </w:p>
    <w:p>
      <w:pPr>
        <w:spacing w:after="0" w:line="59"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Management’s judgment and experience in remediating our own and unrelated parties’ sites;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Information available from regulatory agencies as to costs of remediation;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number, financial resources and relative degree of responsibility of other PRPs who may be liable for remediation of a specific site;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typical allocation of costs among PRPs unless the actual allocation has been determined.</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Asset Impairments </w:t>
      </w:r>
      <w:r>
        <w:rPr>
          <w:rFonts w:ascii="Arial" w:cs="Arial" w:eastAsia="Arial" w:hAnsi="Arial"/>
          <w:sz w:val="13"/>
          <w:szCs w:val="13"/>
          <w:color w:val="auto"/>
        </w:rPr>
        <w:t>— Our long-lived assets, including landfills and landfill expansions, are carried on our financial statements based on their cost less accumulated depreciation or</w:t>
      </w:r>
      <w:r>
        <w:rPr>
          <w:rFonts w:ascii="Arial" w:cs="Arial" w:eastAsia="Arial" w:hAnsi="Arial"/>
          <w:sz w:val="13"/>
          <w:szCs w:val="13"/>
          <w:i w:val="1"/>
          <w:iCs w:val="1"/>
          <w:color w:val="auto"/>
        </w:rPr>
        <w:t xml:space="preserve"> </w:t>
      </w:r>
      <w:r>
        <w:rPr>
          <w:rFonts w:ascii="Arial" w:cs="Arial" w:eastAsia="Arial" w:hAnsi="Arial"/>
          <w:sz w:val="13"/>
          <w:szCs w:val="13"/>
          <w:color w:val="auto"/>
        </w:rPr>
        <w:t>amortization. We review the carrying value of our long-lived assets for impairment whenever events or changes in circumstances indicate that the carrying value of an asset may not be recoverable. In order to assess whether a potential impairment exists, the assets’ carrying values are compared with their undiscounted expected future cash flows. Estimating future cash flows requires significant judgment about factors such as general economic conditions and projected growth rates, and our estimates often vary from cash flows eventually realized. Impairments are measured by comparing the fair value of the asset to its carrying value. Fair value is determined by either an internally developed discounted projected cash flow analysis of the asset or an actual third-party valuation. If the fair value of an asset is determined to be less than the carrying amount of the asset, an impairment in the amount of the difference is recorded in the period that the impairment indicator occurs.</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other considerations for impairments of landfills and goodwill, as described below.</w:t>
      </w:r>
    </w:p>
    <w:p>
      <w:pPr>
        <w:spacing w:after="0" w:line="96" w:lineRule="exact"/>
        <w:rPr>
          <w:sz w:val="20"/>
          <w:szCs w:val="20"/>
          <w:color w:val="auto"/>
        </w:rPr>
      </w:pPr>
    </w:p>
    <w:p>
      <w:pPr>
        <w:jc w:val="both"/>
        <w:ind w:left="680" w:right="200" w:firstLine="399"/>
        <w:spacing w:after="0" w:line="260" w:lineRule="auto"/>
        <w:rPr>
          <w:sz w:val="20"/>
          <w:szCs w:val="20"/>
          <w:color w:val="auto"/>
        </w:rPr>
      </w:pPr>
      <w:r>
        <w:rPr>
          <w:rFonts w:ascii="Arial" w:cs="Arial" w:eastAsia="Arial" w:hAnsi="Arial"/>
          <w:sz w:val="13"/>
          <w:szCs w:val="13"/>
          <w:i w:val="1"/>
          <w:iCs w:val="1"/>
          <w:color w:val="auto"/>
        </w:rPr>
        <w:t xml:space="preserve">Landfills </w:t>
      </w:r>
      <w:r>
        <w:rPr>
          <w:rFonts w:ascii="Arial" w:cs="Arial" w:eastAsia="Arial" w:hAnsi="Arial"/>
          <w:sz w:val="13"/>
          <w:szCs w:val="13"/>
          <w:color w:val="auto"/>
        </w:rPr>
        <w:t>— Certain impairment indicators require significant judgment and understanding of the waste industry when applied to landfill development or expansion projects. For</w:t>
      </w:r>
      <w:r>
        <w:rPr>
          <w:rFonts w:ascii="Arial" w:cs="Arial" w:eastAsia="Arial" w:hAnsi="Arial"/>
          <w:sz w:val="13"/>
          <w:szCs w:val="13"/>
          <w:i w:val="1"/>
          <w:iCs w:val="1"/>
          <w:color w:val="auto"/>
        </w:rPr>
        <w:t xml:space="preserve"> </w:t>
      </w:r>
      <w:r>
        <w:rPr>
          <w:rFonts w:ascii="Arial" w:cs="Arial" w:eastAsia="Arial" w:hAnsi="Arial"/>
          <w:sz w:val="13"/>
          <w:szCs w:val="13"/>
          <w:color w:val="auto"/>
        </w:rPr>
        <w:t>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of our landfill assets due to the unique nature of the waste industry.</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Goodwill </w:t>
      </w:r>
      <w:r>
        <w:rPr>
          <w:rFonts w:ascii="Arial" w:cs="Arial" w:eastAsia="Arial" w:hAnsi="Arial"/>
          <w:sz w:val="13"/>
          <w:szCs w:val="13"/>
          <w:color w:val="auto"/>
        </w:rPr>
        <w:t>— At least annually, we assess whether goodwill is impaired. We assess whether an impairment exists by comparing the carrying value of each Group’s goodwill to its</w:t>
      </w:r>
      <w:r>
        <w:rPr>
          <w:rFonts w:ascii="Arial" w:cs="Arial" w:eastAsia="Arial" w:hAnsi="Arial"/>
          <w:sz w:val="13"/>
          <w:szCs w:val="13"/>
          <w:i w:val="1"/>
          <w:iCs w:val="1"/>
          <w:color w:val="auto"/>
        </w:rPr>
        <w:t xml:space="preserve"> </w:t>
      </w:r>
      <w:r>
        <w:rPr>
          <w:rFonts w:ascii="Arial" w:cs="Arial" w:eastAsia="Arial" w:hAnsi="Arial"/>
          <w:sz w:val="13"/>
          <w:szCs w:val="13"/>
          <w:color w:val="auto"/>
        </w:rPr>
        <w:t>implied fair value. The implied fair value of goodwill is determined by deducting the fair value of each Group’s identifiable assets and liabilities from the fair value of the Group as a whole. We rely on discounted cash flow analysis, which requires significant judgments and estimates about the future operations of each Group, to develop our estimates of fair value. Additional impairment assessments may be performed on an interim basis if we encounter events or changes in circumstances that would indicate that, more likely than not, the carrying value of goodwill has been impaired.</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Self-insurance reserves and recoveries </w:t>
      </w:r>
      <w:r>
        <w:rPr>
          <w:rFonts w:ascii="Arial" w:cs="Arial" w:eastAsia="Arial" w:hAnsi="Arial"/>
          <w:sz w:val="13"/>
          <w:szCs w:val="13"/>
          <w:color w:val="auto"/>
        </w:rPr>
        <w:t>— We have retained a significant portion of the risks related to our health and welfare, automobile, general liability and workers’</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insurance programs. Our liabilities associated with the exposure for unpaid claims and associated expenses, including incurred but not reported losses, generally is estimated with the assistance of external actuaries and by factoring in pending claims and historical trends and data. Our estimated accruals for these liabilities could be significantly different than our ultimate obligations if variables such as the frequency or severity of future incidents are significantly different than what we assume. Estimated insurance recoveries related to recorded liabilities are recorded as assets when we believe that the receipt of such amounts is probable.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Revenues</w:t>
      </w:r>
    </w:p>
    <w:p>
      <w:pPr>
        <w:spacing w:after="0" w:line="96"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Our operating revenues in 2007 were $13.3 billion, compared with $13.4 billion in 2006 and $13.1 billion in 2005. We manage and evaluate our operations primarily through our Eastern, Midwest, Southern, Western, Wheelabrator and WMRA Groups. These six operating Groups are our reportable segments. Shown below (in millions) is the contribution to revenues during each year provided by our six operating Groups and our Other waste services: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3,281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3,614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3,632</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Midwest</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2,983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3,003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2,922</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3,681</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3,759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3,590</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Western</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3,508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3,511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3,416</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868</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879</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WMRA</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953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740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805</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307</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Intercompany</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(2,271)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(2,449)</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(2,466)</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13,310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13,363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13,074</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800" w:firstLine="399"/>
        <w:spacing w:after="0" w:line="281" w:lineRule="auto"/>
        <w:rPr>
          <w:sz w:val="20"/>
          <w:szCs w:val="20"/>
          <w:color w:val="auto"/>
        </w:rPr>
      </w:pPr>
      <w:r>
        <w:rPr>
          <w:rFonts w:ascii="Arial" w:cs="Arial" w:eastAsia="Arial" w:hAnsi="Arial"/>
          <w:sz w:val="12"/>
          <w:szCs w:val="12"/>
          <w:color w:val="auto"/>
        </w:rPr>
        <w:t>Our operating revenues generally come from fees charged for our collection, disposal, transfer, Wheelabrator and recycling services. Revenues from our disposal operations consist of tipping fees, which are generally based on the weight, volume and type of waste being disposed of at our disposal facilities. Fees charged at transfer stations are generally based on the volume of waste deposited, taking into account our cost of loading, transporting and disposing of the solid waste at a disposal site. Our Wheelabrator revenues are based on the type and volume of waste received at our waste-to-energy facilities and IPPs and fees charged for the sale of energy and steam. Recycling revenue, which is generated by our WMRA Group as well as recycling operations embedded in the operations of our four geographic operating Groups, generally consists of the sale of recyclable commodities to third parties and tipping fees. Our “other” revenues include our in-plant services, methane gas operations, Port-O-Let</w:t>
      </w:r>
      <w:r>
        <w:rPr>
          <w:rFonts w:ascii="Arial" w:cs="Arial" w:eastAsia="Arial" w:hAnsi="Arial"/>
          <w:sz w:val="10"/>
          <w:szCs w:val="10"/>
          <w:color w:val="auto"/>
        </w:rPr>
        <w:t>®</w:t>
      </w:r>
      <w:r>
        <w:rPr>
          <w:rFonts w:ascii="Arial" w:cs="Arial" w:eastAsia="Arial" w:hAnsi="Arial"/>
          <w:sz w:val="12"/>
          <w:szCs w:val="12"/>
          <w:color w:val="auto"/>
        </w:rPr>
        <w:t xml:space="preserve"> services and street and parking lot sweeping services. Intercompany revenues between our operations have been eliminated in the consolidated financial statements. The mix of operating revenues from our different services is reflected in the table below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444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8,714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8,837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8,633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Landfill</w:t>
            </w:r>
          </w:p>
        </w:tc>
        <w:tc>
          <w:tcPr>
            <w:tcW w:w="4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3,047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3,197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3,089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4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1,654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1,802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Wheelabrator</w:t>
            </w:r>
          </w:p>
        </w:tc>
        <w:tc>
          <w:tcPr>
            <w:tcW w:w="4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868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902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879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Recycling and other</w:t>
            </w:r>
          </w:p>
        </w:tc>
        <w:tc>
          <w:tcPr>
            <w:tcW w:w="4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1,298</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Intercompany</w:t>
            </w:r>
          </w:p>
        </w:tc>
        <w:tc>
          <w:tcPr>
            <w:tcW w:w="4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(2,271)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(2,449)</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(2,466)</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43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13,310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13,363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13,074</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300" w:type="dxa"/>
            <w:vAlign w:val="bottom"/>
          </w:tcPr>
          <w:p>
            <w:pPr>
              <w:jc w:val="right"/>
              <w:ind w:right="2174"/>
              <w:spacing w:after="0"/>
              <w:rPr>
                <w:sz w:val="20"/>
                <w:szCs w:val="20"/>
                <w:color w:val="auto"/>
              </w:rPr>
            </w:pPr>
            <w:r>
              <w:rPr>
                <w:rFonts w:ascii="Arial" w:cs="Arial" w:eastAsia="Arial" w:hAnsi="Arial"/>
                <w:sz w:val="13"/>
                <w:szCs w:val="13"/>
                <w:color w:val="auto"/>
              </w:rPr>
              <w:t>29</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following table provides details associated with the period-to-period change in revenues (dollars in millions) along with an explanation of the significant components of the current period changes: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5"/>
          </w:tcPr>
          <w:p>
            <w:pPr>
              <w:jc w:val="center"/>
              <w:ind w:right="1500"/>
              <w:spacing w:after="0"/>
              <w:rPr>
                <w:sz w:val="20"/>
                <w:szCs w:val="20"/>
                <w:color w:val="auto"/>
              </w:rPr>
            </w:pPr>
            <w:r>
              <w:rPr>
                <w:rFonts w:ascii="Arial" w:cs="Arial" w:eastAsia="Arial" w:hAnsi="Arial"/>
                <w:sz w:val="10"/>
                <w:szCs w:val="10"/>
                <w:b w:val="1"/>
                <w:bCs w:val="1"/>
                <w:color w:val="auto"/>
                <w:w w:val="94"/>
              </w:rPr>
              <w:t>Period-to-Period</w:t>
            </w:r>
          </w:p>
        </w:tc>
        <w:tc>
          <w:tcPr>
            <w:tcW w:w="120" w:type="dxa"/>
            <w:vAlign w:val="bottom"/>
          </w:tcPr>
          <w:p>
            <w:pPr>
              <w:spacing w:after="0"/>
              <w:rPr>
                <w:sz w:val="10"/>
                <w:szCs w:val="10"/>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0"/>
                <w:szCs w:val="10"/>
                <w:b w:val="1"/>
                <w:bCs w:val="1"/>
                <w:color w:val="auto"/>
                <w:w w:val="96"/>
              </w:rPr>
              <w:t>Period-to-Period</w:t>
            </w:r>
          </w:p>
        </w:tc>
        <w:tc>
          <w:tcPr>
            <w:tcW w:w="0" w:type="dxa"/>
            <w:vAlign w:val="bottom"/>
          </w:tcPr>
          <w:p>
            <w:pPr>
              <w:spacing w:after="0"/>
              <w:rPr>
                <w:sz w:val="1"/>
                <w:szCs w:val="1"/>
                <w:color w:val="auto"/>
              </w:rPr>
            </w:pPr>
          </w:p>
        </w:tc>
      </w:tr>
      <w:tr>
        <w:trPr>
          <w:trHeight w:val="108"/>
        </w:trPr>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tcPr>
          <w:p>
            <w:pPr>
              <w:jc w:val="center"/>
              <w:ind w:left="77"/>
              <w:spacing w:after="0" w:line="108" w:lineRule="exact"/>
              <w:rPr>
                <w:sz w:val="20"/>
                <w:szCs w:val="20"/>
                <w:color w:val="auto"/>
              </w:rPr>
            </w:pPr>
            <w:r>
              <w:rPr>
                <w:rFonts w:ascii="Arial" w:cs="Arial" w:eastAsia="Arial" w:hAnsi="Arial"/>
                <w:sz w:val="10"/>
                <w:szCs w:val="10"/>
                <w:b w:val="1"/>
                <w:bCs w:val="1"/>
                <w:color w:val="auto"/>
                <w:w w:val="94"/>
              </w:rPr>
              <w:t>Change for</w:t>
            </w: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tcPr>
          <w:p>
            <w:pPr>
              <w:jc w:val="center"/>
              <w:ind w:left="37"/>
              <w:spacing w:after="0" w:line="108" w:lineRule="exact"/>
              <w:rPr>
                <w:sz w:val="20"/>
                <w:szCs w:val="20"/>
                <w:color w:val="auto"/>
              </w:rPr>
            </w:pPr>
            <w:r>
              <w:rPr>
                <w:rFonts w:ascii="Arial" w:cs="Arial" w:eastAsia="Arial" w:hAnsi="Arial"/>
                <w:sz w:val="10"/>
                <w:szCs w:val="10"/>
                <w:b w:val="1"/>
                <w:bCs w:val="1"/>
                <w:color w:val="auto"/>
                <w:w w:val="94"/>
              </w:rPr>
              <w:t>Change for</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3"/>
          </w:tcPr>
          <w:p>
            <w:pPr>
              <w:jc w:val="center"/>
              <w:ind w:left="77"/>
              <w:spacing w:after="0"/>
              <w:rPr>
                <w:sz w:val="20"/>
                <w:szCs w:val="20"/>
                <w:color w:val="auto"/>
              </w:rPr>
            </w:pPr>
            <w:r>
              <w:rPr>
                <w:rFonts w:ascii="Arial" w:cs="Arial" w:eastAsia="Arial" w:hAnsi="Arial"/>
                <w:sz w:val="10"/>
                <w:szCs w:val="10"/>
                <w:b w:val="1"/>
                <w:bCs w:val="1"/>
                <w:color w:val="auto"/>
                <w:w w:val="90"/>
              </w:rPr>
              <w:t>2007 vs. 2006</w:t>
            </w:r>
          </w:p>
        </w:tc>
        <w:tc>
          <w:tcPr>
            <w:tcW w:w="24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3"/>
          </w:tcPr>
          <w:p>
            <w:pPr>
              <w:jc w:val="center"/>
              <w:ind w:left="57"/>
              <w:spacing w:after="0"/>
              <w:rPr>
                <w:sz w:val="20"/>
                <w:szCs w:val="20"/>
                <w:color w:val="auto"/>
              </w:rPr>
            </w:pPr>
            <w:r>
              <w:rPr>
                <w:rFonts w:ascii="Arial" w:cs="Arial" w:eastAsia="Arial" w:hAnsi="Arial"/>
                <w:sz w:val="10"/>
                <w:szCs w:val="10"/>
                <w:b w:val="1"/>
                <w:bCs w:val="1"/>
                <w:color w:val="auto"/>
                <w:w w:val="93"/>
              </w:rPr>
              <w:t>2006 vs. 2005</w:t>
            </w:r>
          </w:p>
        </w:tc>
        <w:tc>
          <w:tcPr>
            <w:tcW w:w="2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260" w:type="dxa"/>
            <w:vAlign w:val="bottom"/>
            <w:shd w:val="clear" w:color="auto" w:fill="CCEEFF"/>
          </w:tcPr>
          <w:p>
            <w:pPr>
              <w:spacing w:after="0"/>
              <w:rPr>
                <w:sz w:val="20"/>
                <w:szCs w:val="20"/>
                <w:color w:val="auto"/>
              </w:rPr>
            </w:pPr>
            <w:r>
              <w:rPr>
                <w:rFonts w:ascii="Arial" w:cs="Arial" w:eastAsia="Arial" w:hAnsi="Arial"/>
                <w:sz w:val="13"/>
                <w:szCs w:val="13"/>
                <w:color w:val="auto"/>
              </w:rPr>
              <w:t>Average yield:</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260" w:type="dxa"/>
            <w:vAlign w:val="bottom"/>
          </w:tcPr>
          <w:p>
            <w:pPr>
              <w:ind w:left="140"/>
              <w:spacing w:after="0"/>
              <w:rPr>
                <w:sz w:val="20"/>
                <w:szCs w:val="20"/>
                <w:color w:val="auto"/>
              </w:rPr>
            </w:pPr>
            <w:r>
              <w:rPr>
                <w:rFonts w:ascii="Arial" w:cs="Arial" w:eastAsia="Arial" w:hAnsi="Arial"/>
                <w:sz w:val="13"/>
                <w:szCs w:val="13"/>
                <w:color w:val="auto"/>
              </w:rPr>
              <w:t>Base business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432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right"/>
              <w:ind w:right="1300"/>
              <w:spacing w:after="0"/>
              <w:rPr>
                <w:sz w:val="20"/>
                <w:szCs w:val="20"/>
                <w:color w:val="auto"/>
              </w:rPr>
            </w:pPr>
            <w:r>
              <w:rPr>
                <w:rFonts w:ascii="Arial" w:cs="Arial" w:eastAsia="Arial" w:hAnsi="Arial"/>
                <w:sz w:val="13"/>
                <w:szCs w:val="13"/>
                <w:color w:val="auto"/>
              </w:rPr>
              <w:t>3.3%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461</w:t>
            </w:r>
          </w:p>
        </w:tc>
        <w:tc>
          <w:tcPr>
            <w:tcW w:w="8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6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Commodity</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1400"/>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7"/>
              </w:rPr>
              <w:t>(0.4)</w:t>
            </w:r>
          </w:p>
        </w:tc>
        <w:tc>
          <w:tcPr>
            <w:tcW w:w="0" w:type="dxa"/>
            <w:vAlign w:val="bottom"/>
          </w:tcPr>
          <w:p>
            <w:pPr>
              <w:spacing w:after="0"/>
              <w:rPr>
                <w:sz w:val="1"/>
                <w:szCs w:val="1"/>
                <w:color w:val="auto"/>
              </w:rPr>
            </w:pPr>
          </w:p>
        </w:tc>
      </w:tr>
      <w:tr>
        <w:trPr>
          <w:trHeight w:val="157"/>
        </w:trPr>
        <w:tc>
          <w:tcPr>
            <w:tcW w:w="6260" w:type="dxa"/>
            <w:vAlign w:val="bottom"/>
          </w:tcPr>
          <w:p>
            <w:pPr>
              <w:ind w:left="140"/>
              <w:spacing w:after="0"/>
              <w:rPr>
                <w:sz w:val="20"/>
                <w:szCs w:val="20"/>
                <w:color w:val="auto"/>
              </w:rPr>
            </w:pPr>
            <w:r>
              <w:rPr>
                <w:rFonts w:ascii="Arial" w:cs="Arial" w:eastAsia="Arial" w:hAnsi="Arial"/>
                <w:sz w:val="13"/>
                <w:szCs w:val="13"/>
                <w:color w:val="auto"/>
              </w:rPr>
              <w:t>Electricity (IPPs)</w:t>
            </w:r>
          </w:p>
        </w:tc>
        <w:tc>
          <w:tcPr>
            <w:tcW w:w="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right"/>
              <w:ind w:right="1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Fuel surcharges and mandated fees</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1400"/>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775</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right"/>
              <w:ind w:right="1400"/>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3"/>
                <w:szCs w:val="13"/>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535</w:t>
            </w:r>
          </w:p>
        </w:tc>
        <w:tc>
          <w:tcPr>
            <w:tcW w:w="8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58"/>
        </w:trPr>
        <w:tc>
          <w:tcPr>
            <w:tcW w:w="6260" w:type="dxa"/>
            <w:vAlign w:val="bottom"/>
            <w:shd w:val="clear" w:color="auto" w:fill="CCEEFF"/>
          </w:tcPr>
          <w:p>
            <w:pPr>
              <w:spacing w:after="0"/>
              <w:rPr>
                <w:sz w:val="20"/>
                <w:szCs w:val="20"/>
                <w:color w:val="auto"/>
              </w:rPr>
            </w:pPr>
            <w:r>
              <w:rPr>
                <w:rFonts w:ascii="Arial" w:cs="Arial" w:eastAsia="Arial" w:hAnsi="Arial"/>
                <w:sz w:val="13"/>
                <w:szCs w:val="13"/>
                <w:color w:val="auto"/>
              </w:rPr>
              <w:t>Volume</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(588)</w:t>
            </w: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1360"/>
              <w:spacing w:after="0"/>
              <w:rPr>
                <w:sz w:val="20"/>
                <w:szCs w:val="20"/>
                <w:color w:val="auto"/>
              </w:rPr>
            </w:pPr>
            <w:r>
              <w:rPr>
                <w:rFonts w:ascii="Arial" w:cs="Arial" w:eastAsia="Arial" w:hAnsi="Arial"/>
                <w:sz w:val="13"/>
                <w:szCs w:val="13"/>
                <w:color w:val="auto"/>
                <w:w w:val="97"/>
              </w:rPr>
              <w:t>(4.5)</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8"/>
              </w:rPr>
              <w:t>(187)</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7"/>
              </w:rPr>
              <w:t>(1.4)</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3"/>
                <w:szCs w:val="13"/>
                <w:color w:val="auto"/>
              </w:rPr>
              <w:t>Internal revenue growth</w:t>
            </w: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187</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right"/>
              <w:ind w:right="1400"/>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3"/>
                <w:szCs w:val="13"/>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348</w:t>
            </w:r>
          </w:p>
        </w:tc>
        <w:tc>
          <w:tcPr>
            <w:tcW w:w="8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8"/>
        </w:trPr>
        <w:tc>
          <w:tcPr>
            <w:tcW w:w="6260" w:type="dxa"/>
            <w:vAlign w:val="bottom"/>
            <w:shd w:val="clear" w:color="auto" w:fill="CCEEFF"/>
          </w:tcPr>
          <w:p>
            <w:pPr>
              <w:spacing w:after="0"/>
              <w:rPr>
                <w:sz w:val="20"/>
                <w:szCs w:val="20"/>
                <w:color w:val="auto"/>
              </w:rPr>
            </w:pPr>
            <w:r>
              <w:rPr>
                <w:rFonts w:ascii="Arial" w:cs="Arial" w:eastAsia="Arial" w:hAnsi="Arial"/>
                <w:sz w:val="13"/>
                <w:szCs w:val="13"/>
                <w:color w:val="auto"/>
              </w:rPr>
              <w:t>Acquisitions</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1400"/>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57"/>
        </w:trPr>
        <w:tc>
          <w:tcPr>
            <w:tcW w:w="6260" w:type="dxa"/>
            <w:vAlign w:val="bottom"/>
          </w:tcPr>
          <w:p>
            <w:pPr>
              <w:spacing w:after="0"/>
              <w:rPr>
                <w:sz w:val="20"/>
                <w:szCs w:val="20"/>
                <w:color w:val="auto"/>
              </w:rPr>
            </w:pPr>
            <w:r>
              <w:rPr>
                <w:rFonts w:ascii="Arial" w:cs="Arial" w:eastAsia="Arial" w:hAnsi="Arial"/>
                <w:sz w:val="13"/>
                <w:szCs w:val="13"/>
                <w:color w:val="auto"/>
              </w:rPr>
              <w:t>Divestitures</w:t>
            </w:r>
          </w:p>
        </w:tc>
        <w:tc>
          <w:tcPr>
            <w:tcW w:w="100" w:type="dxa"/>
            <w:vAlign w:val="bottom"/>
          </w:tcPr>
          <w:p>
            <w:pPr>
              <w:spacing w:after="0"/>
              <w:rPr>
                <w:sz w:val="13"/>
                <w:szCs w:val="13"/>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3"/>
                <w:szCs w:val="13"/>
                <w:color w:val="auto"/>
              </w:rPr>
              <w:t>(320)</w:t>
            </w:r>
          </w:p>
        </w:tc>
        <w:tc>
          <w:tcPr>
            <w:tcW w:w="80" w:type="dxa"/>
            <w:vAlign w:val="bottom"/>
          </w:tcPr>
          <w:p>
            <w:pPr>
              <w:spacing w:after="0"/>
              <w:rPr>
                <w:sz w:val="13"/>
                <w:szCs w:val="13"/>
                <w:color w:val="auto"/>
              </w:rPr>
            </w:pPr>
          </w:p>
        </w:tc>
        <w:tc>
          <w:tcPr>
            <w:tcW w:w="1640" w:type="dxa"/>
            <w:vAlign w:val="bottom"/>
            <w:gridSpan w:val="2"/>
          </w:tcPr>
          <w:p>
            <w:pPr>
              <w:jc w:val="right"/>
              <w:ind w:right="1360"/>
              <w:spacing w:after="0"/>
              <w:rPr>
                <w:sz w:val="20"/>
                <w:szCs w:val="20"/>
                <w:color w:val="auto"/>
              </w:rPr>
            </w:pPr>
            <w:r>
              <w:rPr>
                <w:rFonts w:ascii="Arial" w:cs="Arial" w:eastAsia="Arial" w:hAnsi="Arial"/>
                <w:sz w:val="13"/>
                <w:szCs w:val="13"/>
                <w:color w:val="auto"/>
                <w:w w:val="97"/>
              </w:rPr>
              <w:t>(2.4)</w:t>
            </w: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w w:val="98"/>
              </w:rPr>
              <w:t>(154)</w:t>
            </w:r>
          </w:p>
        </w:tc>
        <w:tc>
          <w:tcPr>
            <w:tcW w:w="80" w:type="dxa"/>
            <w:vAlign w:val="bottom"/>
          </w:tcPr>
          <w:p>
            <w:pPr>
              <w:spacing w:after="0"/>
              <w:rPr>
                <w:sz w:val="13"/>
                <w:szCs w:val="13"/>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w w:val="97"/>
              </w:rPr>
              <w:t>(1.2)</w:t>
            </w:r>
          </w:p>
        </w:tc>
        <w:tc>
          <w:tcPr>
            <w:tcW w:w="0" w:type="dxa"/>
            <w:vAlign w:val="bottom"/>
          </w:tcPr>
          <w:p>
            <w:pPr>
              <w:spacing w:after="0"/>
              <w:rPr>
                <w:sz w:val="1"/>
                <w:szCs w:val="1"/>
                <w:color w:val="auto"/>
              </w:rPr>
            </w:pPr>
          </w:p>
        </w:tc>
      </w:tr>
      <w:tr>
        <w:trPr>
          <w:trHeight w:val="157"/>
        </w:trPr>
        <w:tc>
          <w:tcPr>
            <w:tcW w:w="626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1400"/>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340"/>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3"/>
                <w:szCs w:val="13"/>
                <w:color w:val="auto"/>
              </w:rPr>
            </w:pPr>
          </w:p>
        </w:tc>
        <w:tc>
          <w:tcPr>
            <w:tcW w:w="1640" w:type="dxa"/>
            <w:vAlign w:val="bottom"/>
            <w:gridSpan w:val="2"/>
          </w:tcPr>
          <w:p>
            <w:pPr>
              <w:jc w:val="right"/>
              <w:ind w:right="1240"/>
              <w:spacing w:after="0"/>
              <w:rPr>
                <w:sz w:val="20"/>
                <w:szCs w:val="20"/>
                <w:color w:val="auto"/>
              </w:rPr>
            </w:pPr>
            <w:r>
              <w:rPr>
                <w:rFonts w:ascii="Arial" w:cs="Arial" w:eastAsia="Arial" w:hAnsi="Arial"/>
                <w:sz w:val="13"/>
                <w:szCs w:val="13"/>
                <w:color w:val="auto"/>
                <w:w w:val="99"/>
              </w:rPr>
              <w:t>(0.4)%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289</w:t>
            </w:r>
          </w:p>
        </w:tc>
        <w:tc>
          <w:tcPr>
            <w:tcW w:w="8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30"/>
        </w:trPr>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60" w:firstLine="399"/>
        <w:spacing w:after="0" w:line="334" w:lineRule="auto"/>
        <w:rPr>
          <w:sz w:val="20"/>
          <w:szCs w:val="20"/>
          <w:color w:val="auto"/>
        </w:rPr>
      </w:pPr>
      <w:r>
        <w:rPr>
          <w:rFonts w:ascii="Arial" w:cs="Arial" w:eastAsia="Arial" w:hAnsi="Arial"/>
          <w:sz w:val="11"/>
          <w:szCs w:val="11"/>
          <w:i w:val="1"/>
          <w:iCs w:val="1"/>
          <w:color w:val="auto"/>
        </w:rPr>
        <w:t xml:space="preserve">Base Business </w:t>
      </w:r>
      <w:r>
        <w:rPr>
          <w:rFonts w:ascii="Arial" w:cs="Arial" w:eastAsia="Arial" w:hAnsi="Arial"/>
          <w:sz w:val="11"/>
          <w:szCs w:val="11"/>
          <w:color w:val="auto"/>
        </w:rPr>
        <w:t>— Yield on base business reflects the effect on our revenue from the pricing activities of our collection, transfer, disposal and waste-to-energy operations, exclusive of</w:t>
      </w:r>
      <w:r>
        <w:rPr>
          <w:rFonts w:ascii="Arial" w:cs="Arial" w:eastAsia="Arial" w:hAnsi="Arial"/>
          <w:sz w:val="11"/>
          <w:szCs w:val="11"/>
          <w:i w:val="1"/>
          <w:iCs w:val="1"/>
          <w:color w:val="auto"/>
        </w:rPr>
        <w:t xml:space="preserve"> </w:t>
      </w:r>
      <w:r>
        <w:rPr>
          <w:rFonts w:ascii="Arial" w:cs="Arial" w:eastAsia="Arial" w:hAnsi="Arial"/>
          <w:sz w:val="11"/>
          <w:szCs w:val="11"/>
          <w:color w:val="auto"/>
        </w:rPr>
        <w:t>volume changes. Revenue growth from base business yield includes not only price increases, but also (i) price decreases to retain customers; (ii) changes in average price from new and lost business; and (iii) changes related to the overall mix of services, which are due principally to the types of services provided and the geographic locations where our services are provided.</w:t>
      </w:r>
    </w:p>
    <w:p>
      <w:pPr>
        <w:spacing w:after="0" w:line="32"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both 2006 and 2007, our pricing excellence initiative was the primary contributor to our base business yield growth. The increases in base business yield were driven by our collection operations, which experienced substantial growth in every geographic operating Group primarily as a result of our continued focus on pricing our services based on market-specific factors, including our costs. In 2006, increased collection revenues due to pricing were partially offset by revenue declines from lower collection volumes and in 2007, the increased collection revenues were more than offset by revenue declines from lower collection volumes. However, we continue to find that, in spite of collection volume declines, increased yield on base business and a focus on controlling variable costs provide notable margin improvements and earnings expansion in our collection line of business.</w:t>
      </w:r>
    </w:p>
    <w:p>
      <w:pPr>
        <w:spacing w:after="0" w:line="55"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Throughout 2007, we experienced increases in revenue due to yield on base business from our pricing excellence initiatives at our transfer stations and the municipal solid waste, special waste and construction and demolition waste streams at our landfills. The increases in transfer station revenues in 2007 were the most significant in the Eastern and Western portions of the United States. At our landfills, municipal solid waste revenue growth from yield was the most significant in the South and East; special waste revenue growth from yield was the most significant in the West; and our construction and demolition revenue growth from yield was the most significant in the South.</w:t>
      </w:r>
    </w:p>
    <w:p>
      <w:pPr>
        <w:spacing w:after="0" w:line="7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Revenues from our environmental fee, which is included in base business yield, were $121 million, $76 million and $33 million for the years ended December 31, 2007, 2006 and 2005, respectively.</w:t>
      </w:r>
    </w:p>
    <w:p>
      <w:pPr>
        <w:spacing w:after="0" w:line="59"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i w:val="1"/>
          <w:iCs w:val="1"/>
          <w:color w:val="auto"/>
        </w:rPr>
        <w:t xml:space="preserve">Commodity </w:t>
      </w:r>
      <w:r>
        <w:rPr>
          <w:rFonts w:ascii="Arial" w:cs="Arial" w:eastAsia="Arial" w:hAnsi="Arial"/>
          <w:sz w:val="12"/>
          <w:szCs w:val="12"/>
          <w:color w:val="auto"/>
        </w:rPr>
        <w:t>— Recycling prices approached all time highs in 2007 and drove the substantial revenue growth from yield. Increases in the prices of the recycling commodities we</w:t>
      </w:r>
      <w:r>
        <w:rPr>
          <w:rFonts w:ascii="Arial" w:cs="Arial" w:eastAsia="Arial" w:hAnsi="Arial"/>
          <w:sz w:val="12"/>
          <w:szCs w:val="12"/>
          <w:i w:val="1"/>
          <w:iCs w:val="1"/>
          <w:color w:val="auto"/>
        </w:rPr>
        <w:t xml:space="preserve"> </w:t>
      </w:r>
      <w:r>
        <w:rPr>
          <w:rFonts w:ascii="Arial" w:cs="Arial" w:eastAsia="Arial" w:hAnsi="Arial"/>
          <w:sz w:val="12"/>
          <w:szCs w:val="12"/>
          <w:color w:val="auto"/>
        </w:rPr>
        <w:t>process contributed $306 million of revenue growth in 2007. Average prices for old corrugated cardboard increased by 62% and average prices for old newsprint increased by 39% in 2007. Approximately 50% of the increase in revenue from yield on our recycling operations is associated with our relatively lower margin brokerage activities.</w:t>
      </w:r>
    </w:p>
    <w:p>
      <w:pPr>
        <w:spacing w:after="0" w:line="5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Our revenues in 2006 declined $48 million as compared with the prior year due to price decreases in recycling commodities. In 2006, average prices for old corrugated cardboard dropped by 8% and average prices for old newsprint were down by about 7%.</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Fuel surcharges and mandated fees </w:t>
      </w:r>
      <w:r>
        <w:rPr>
          <w:rFonts w:ascii="Arial" w:cs="Arial" w:eastAsia="Arial" w:hAnsi="Arial"/>
          <w:sz w:val="13"/>
          <w:szCs w:val="13"/>
          <w:color w:val="auto"/>
        </w:rPr>
        <w:t>— Fuel surcharges increased revenues year-over-year by $29 million in 2007. This increase is due to our continued effort to pass on higher fuel</w:t>
      </w:r>
      <w:r>
        <w:rPr>
          <w:rFonts w:ascii="Arial" w:cs="Arial" w:eastAsia="Arial" w:hAnsi="Arial"/>
          <w:sz w:val="13"/>
          <w:szCs w:val="13"/>
          <w:i w:val="1"/>
          <w:iCs w:val="1"/>
          <w:color w:val="auto"/>
        </w:rPr>
        <w:t xml:space="preserve"> </w:t>
      </w:r>
      <w:r>
        <w:rPr>
          <w:rFonts w:ascii="Arial" w:cs="Arial" w:eastAsia="Arial" w:hAnsi="Arial"/>
          <w:sz w:val="13"/>
          <w:szCs w:val="13"/>
          <w:color w:val="auto"/>
        </w:rPr>
        <w:t>costs to our customers through fuel surcharges. We experienced relatively flat market prices for fuel for the first nine months of the year. During the fourth quarter of 2007, we experienced a significantly higher increase in market prices for fuel, which contributed all of the revenue increase due to fuel surcharges in 2007.</w:t>
      </w:r>
    </w:p>
    <w:p>
      <w:pPr>
        <w:spacing w:after="0" w:line="67" w:lineRule="exact"/>
        <w:rPr>
          <w:sz w:val="20"/>
          <w:szCs w:val="20"/>
          <w:color w:val="auto"/>
        </w:rPr>
      </w:pPr>
    </w:p>
    <w:p>
      <w:pPr>
        <w:jc w:val="both"/>
        <w:ind w:left="680" w:right="320" w:firstLine="399"/>
        <w:spacing w:after="0" w:line="296" w:lineRule="auto"/>
        <w:rPr>
          <w:sz w:val="20"/>
          <w:szCs w:val="20"/>
          <w:color w:val="auto"/>
        </w:rPr>
      </w:pPr>
      <w:r>
        <w:rPr>
          <w:rFonts w:ascii="Arial" w:cs="Arial" w:eastAsia="Arial" w:hAnsi="Arial"/>
          <w:sz w:val="12"/>
          <w:szCs w:val="12"/>
          <w:color w:val="auto"/>
        </w:rPr>
        <w:t>Fuel surcharges increased revenues year-over-year by $117 million for 2006. The substantial 2006 increases in revenue provided by our fuel surcharge program can generally be attributed to (i) increases in market prices for fuel; (ii) an increase in the number of customers who participate in our fuel surcharge program; and (iii) the revision of our fuel surcharge program at the beginning of the third quarter of 2005 to incorporate the indirect fuel cost increases passed on to us by subcontracted haulers and vendors.</w:t>
      </w:r>
    </w:p>
    <w:p>
      <w:pPr>
        <w:spacing w:after="0" w:line="50" w:lineRule="exact"/>
        <w:rPr>
          <w:sz w:val="20"/>
          <w:szCs w:val="20"/>
          <w:color w:val="auto"/>
        </w:rPr>
      </w:pPr>
    </w:p>
    <w:p>
      <w:pPr>
        <w:jc w:val="both"/>
        <w:ind w:left="680" w:right="320" w:firstLine="399"/>
        <w:spacing w:after="0" w:line="276" w:lineRule="auto"/>
        <w:rPr>
          <w:sz w:val="20"/>
          <w:szCs w:val="20"/>
          <w:color w:val="auto"/>
        </w:rPr>
      </w:pPr>
      <w:r>
        <w:rPr>
          <w:rFonts w:ascii="Arial" w:cs="Arial" w:eastAsia="Arial" w:hAnsi="Arial"/>
          <w:sz w:val="13"/>
          <w:szCs w:val="13"/>
          <w:color w:val="auto"/>
        </w:rPr>
        <w:t xml:space="preserve">Increases in our operating expenses due to higher diesel fuel prices include our direct fuel costs for our operations, which are included in </w:t>
      </w:r>
      <w:r>
        <w:rPr>
          <w:rFonts w:ascii="Arial" w:cs="Arial" w:eastAsia="Arial" w:hAnsi="Arial"/>
          <w:sz w:val="13"/>
          <w:szCs w:val="13"/>
          <w:i w:val="1"/>
          <w:iCs w:val="1"/>
          <w:color w:val="auto"/>
        </w:rPr>
        <w:t>Operating Expenses — Fuel</w:t>
      </w:r>
      <w:r>
        <w:rPr>
          <w:rFonts w:ascii="Arial" w:cs="Arial" w:eastAsia="Arial" w:hAnsi="Arial"/>
          <w:sz w:val="13"/>
          <w:szCs w:val="13"/>
          <w:color w:val="auto"/>
        </w:rPr>
        <w:t xml:space="preserve">, as well as estimated indirect fuel costs, which are included primarily in </w:t>
      </w:r>
      <w:r>
        <w:rPr>
          <w:rFonts w:ascii="Arial" w:cs="Arial" w:eastAsia="Arial" w:hAnsi="Arial"/>
          <w:sz w:val="13"/>
          <w:szCs w:val="13"/>
          <w:i w:val="1"/>
          <w:iCs w:val="1"/>
          <w:color w:val="auto"/>
        </w:rPr>
        <w:t>Operating Expenses — Subcontractor Costs</w:t>
      </w:r>
      <w:r>
        <w:rPr>
          <w:rFonts w:ascii="Arial" w:cs="Arial" w:eastAsia="Arial" w:hAnsi="Arial"/>
          <w:sz w:val="13"/>
          <w:szCs w:val="13"/>
          <w:color w:val="auto"/>
        </w:rPr>
        <w:t>.</w:t>
      </w:r>
    </w:p>
    <w:p>
      <w:pPr>
        <w:spacing w:after="0" w:line="59"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The mandated fees included in this line item are primarily related to the pass-through of fees and taxes assessed by various state, county and municipal governmental agencies at our landfills and transfer stations. These mandated fees have not had a significant impact on the comparability of revenues for the periods included in the table above.</w:t>
      </w:r>
    </w:p>
    <w:p>
      <w:pPr>
        <w:spacing w:after="0" w:line="35"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i w:val="1"/>
          <w:iCs w:val="1"/>
          <w:color w:val="auto"/>
        </w:rPr>
        <w:t xml:space="preserve">Volume </w:t>
      </w:r>
      <w:r>
        <w:rPr>
          <w:rFonts w:ascii="Arial" w:cs="Arial" w:eastAsia="Arial" w:hAnsi="Arial"/>
          <w:sz w:val="13"/>
          <w:szCs w:val="13"/>
          <w:color w:val="auto"/>
        </w:rPr>
        <w:t>— The declines in our revenues due to lower volumes when comparing 2007 and 2006 with the corresponding prior year periods have been driven by declines in our</w:t>
      </w:r>
      <w:r>
        <w:rPr>
          <w:rFonts w:ascii="Arial" w:cs="Arial" w:eastAsia="Arial" w:hAnsi="Arial"/>
          <w:sz w:val="13"/>
          <w:szCs w:val="13"/>
          <w:i w:val="1"/>
          <w:iCs w:val="1"/>
          <w:color w:val="auto"/>
        </w:rPr>
        <w:t xml:space="preserve"> </w:t>
      </w:r>
      <w:r>
        <w:rPr>
          <w:rFonts w:ascii="Arial" w:cs="Arial" w:eastAsia="Arial" w:hAnsi="Arial"/>
          <w:sz w:val="13"/>
          <w:szCs w:val="13"/>
          <w:color w:val="auto"/>
        </w:rPr>
        <w:t>collection volumes and, to a lesser extent, lower transfer station and third-party disposal volumes.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Volume reductions in 2007 have significantly affected the revenues of each of our collection lines of business in each geographic operating Group. Our industrial collection operations have experienced the most significant revenue declines due to lower volumes. Reduced volumes continue to be significantly affected by our focus on improving margins through increased pricing. Volume declines in our industrial collection business have also been affected by the significant slowdown in residential construction across the United States. Our commercial and residential collection operations have experienced revenue declines due to lower volumes in each geographic group as well.</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Declines in revenue due to lower third-party volumes in our transfer station operations have been the most notable in our Eastern Group and can generally be attributed to the effects of pricing. In 2007, we also experienced declines in third-party revenue at our landfills due to reduced disposal volumes. The most significant declines were in our construction and demolition waste, particularly in our Southern Group. The reduction in construction and demolition volumes was largely due to the significant slowdown in residential construction across the United States. The volume declines for our municipal solid waste disposal operations have been the most significant in our Midwest Group due primarily to our focus on pricing increases. Waste-to-energy revenue from disposal volumes also declined in 2007, largely due to the termination of an operating and maintenance agreement in May 2007. The revenue decline due to lower third-party volumes in our recycling business was primarily attributable to decreases in certain brokerage activities and the closure of a plastics processing facility.</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revenue declines in our collection businesses in 2006 were partially offset by increased disposal volumes in all of our geographic operating Groups through the first nine months of the year. Our special waste, municipal solid waste and construction and demolition waste streams were the primary drivers of this growth in revenues due to higher volumes. We believe that the strength of the economy throughout most of the year and favorable weather in many parts of the country were the primary drivers of the higher disposal volumes. In the fourth quarter of 2006, we experienced a decline in disposal volumes as compared with the fourth quarter of 2005, which we believe was due to the lack of hurricane volumes in 2006, competition, impacts of our pricing initiatives and an economic softening that caused a significant decline in residential construction.</w:t>
      </w:r>
    </w:p>
    <w:p>
      <w:pPr>
        <w:spacing w:after="0" w:line="55"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Divestitures </w:t>
      </w:r>
      <w:r>
        <w:rPr>
          <w:rFonts w:ascii="Arial" w:cs="Arial" w:eastAsia="Arial" w:hAnsi="Arial"/>
          <w:sz w:val="13"/>
          <w:szCs w:val="13"/>
          <w:color w:val="auto"/>
        </w:rPr>
        <w:t>— Divestitures of under-performing and non-strategic operations accounted for decreased revenues of $320 million in 2007 and $154 million in 2006. These divestitures</w:t>
      </w:r>
      <w:r>
        <w:rPr>
          <w:rFonts w:ascii="Arial" w:cs="Arial" w:eastAsia="Arial" w:hAnsi="Arial"/>
          <w:sz w:val="13"/>
          <w:szCs w:val="13"/>
          <w:i w:val="1"/>
          <w:iCs w:val="1"/>
          <w:color w:val="auto"/>
        </w:rPr>
        <w:t xml:space="preserve"> </w:t>
      </w:r>
      <w:r>
        <w:rPr>
          <w:rFonts w:ascii="Arial" w:cs="Arial" w:eastAsia="Arial" w:hAnsi="Arial"/>
          <w:sz w:val="13"/>
          <w:szCs w:val="13"/>
          <w:color w:val="auto"/>
        </w:rPr>
        <w:t>were primarily comprised of collection operations and, to a lesser extent, transfer station and recycling operations.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color w:val="auto"/>
        </w:rPr>
        <w:t>Our operating expenses include (i) labor and related benefits (excluding labor costs associated with maintenance and repairs included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relating to equipment, vehicles and facilities and related labor costs; (iv) subcontractor costs, which include the costs of independent haulers who transport waste collected by us to disposal facilities and are driven by transportation costs such as fuel prices; (v) costs of goods sold, which are primarily the rebates paid to suppliers associated with recycling commodities; (vi) fuel costs, which represent the costs of fuel and oil to operate our truck fleet and landfill operating equipment;</w:t>
      </w:r>
    </w:p>
    <w:p>
      <w:pPr>
        <w:ind w:left="680" w:right="220" w:firstLine="7"/>
        <w:spacing w:after="0" w:line="290" w:lineRule="auto"/>
        <w:tabs>
          <w:tab w:leader="none" w:pos="938" w:val="left"/>
        </w:tabs>
        <w:numPr>
          <w:ilvl w:val="0"/>
          <w:numId w:val="23"/>
        </w:numPr>
        <w:rPr>
          <w:rFonts w:ascii="Arial" w:cs="Arial" w:eastAsia="Arial" w:hAnsi="Arial"/>
          <w:sz w:val="12"/>
          <w:szCs w:val="12"/>
          <w:color w:val="auto"/>
        </w:rPr>
      </w:pPr>
      <w:r>
        <w:rPr>
          <w:rFonts w:ascii="Arial" w:cs="Arial" w:eastAsia="Arial" w:hAnsi="Arial"/>
          <w:sz w:val="12"/>
          <w:szCs w:val="12"/>
          <w:color w:val="auto"/>
        </w:rPr>
        <w:t>disposal and franchise fees and taxes, which include landfill taxes, municipal franchise fees, host community fees and royalties; (viii) landfill operating costs, which include landfill remediation costs, leachate and methane collection and treatment, other landfill site costs and interest accretion on asset retirement obligations; (ix) risk management costs, which include workers’ compensation and insurance and claim costs and (x) other operating costs, which include, among other costs, equipment and facility rent and property taxes.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table summarizes the major components of our operating expenses, including the impact of foreign currency translation, for the years ended December 31 (in millions):</w:t>
      </w:r>
    </w:p>
    <w:p>
      <w:pPr>
        <w:spacing w:after="0" w:line="11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600" w:type="dxa"/>
            <w:vAlign w:val="bottom"/>
          </w:tcPr>
          <w:p>
            <w:pPr>
              <w:spacing w:after="0"/>
              <w:rPr>
                <w:sz w:val="10"/>
                <w:szCs w:val="10"/>
                <w:color w:val="auto"/>
              </w:rPr>
            </w:pPr>
          </w:p>
        </w:tc>
        <w:tc>
          <w:tcPr>
            <w:tcW w:w="400" w:type="dxa"/>
            <w:vAlign w:val="bottom"/>
            <w:vMerge w:val="restart"/>
          </w:tcPr>
          <w:p>
            <w:pPr>
              <w:jc w:val="right"/>
              <w:ind w:right="36"/>
              <w:spacing w:after="0"/>
              <w:rPr>
                <w:sz w:val="20"/>
                <w:szCs w:val="20"/>
                <w:color w:val="auto"/>
              </w:rPr>
            </w:pPr>
            <w:r>
              <w:rPr>
                <w:rFonts w:ascii="Arial" w:cs="Arial" w:eastAsia="Arial" w:hAnsi="Arial"/>
                <w:sz w:val="10"/>
                <w:szCs w:val="10"/>
                <w:b w:val="1"/>
                <w:bCs w:val="1"/>
                <w:color w:val="auto"/>
              </w:rPr>
              <w:t>2007</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right"/>
              <w:ind w:right="68"/>
              <w:spacing w:after="0"/>
              <w:rPr>
                <w:sz w:val="20"/>
                <w:szCs w:val="20"/>
                <w:color w:val="auto"/>
              </w:rPr>
            </w:pPr>
            <w:r>
              <w:rPr>
                <w:rFonts w:ascii="Arial" w:cs="Arial" w:eastAsia="Arial" w:hAnsi="Arial"/>
                <w:sz w:val="10"/>
                <w:szCs w:val="10"/>
                <w:b w:val="1"/>
                <w:bCs w:val="1"/>
                <w:color w:val="auto"/>
                <w:w w:val="93"/>
              </w:rPr>
              <w:t>Period-to-</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2006</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ind w:right="48"/>
              <w:spacing w:after="0"/>
              <w:rPr>
                <w:sz w:val="20"/>
                <w:szCs w:val="20"/>
                <w:color w:val="auto"/>
              </w:rPr>
            </w:pPr>
            <w:r>
              <w:rPr>
                <w:rFonts w:ascii="Arial" w:cs="Arial" w:eastAsia="Arial" w:hAnsi="Arial"/>
                <w:sz w:val="10"/>
                <w:szCs w:val="10"/>
                <w:b w:val="1"/>
                <w:bCs w:val="1"/>
                <w:color w:val="auto"/>
              </w:rPr>
              <w:t>Period-to-</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600" w:type="dxa"/>
            <w:vAlign w:val="bottom"/>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Period Change</w:t>
            </w:r>
          </w:p>
        </w:tc>
        <w:tc>
          <w:tcPr>
            <w:tcW w:w="28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Period Change</w:t>
            </w:r>
          </w:p>
        </w:tc>
        <w:tc>
          <w:tcPr>
            <w:tcW w:w="22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116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w w:val="87"/>
              </w:rPr>
              <w:t>$ 2,412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68"/>
              <w:spacing w:after="0"/>
              <w:rPr>
                <w:sz w:val="20"/>
                <w:szCs w:val="20"/>
                <w:color w:val="auto"/>
              </w:rPr>
            </w:pPr>
            <w:r>
              <w:rPr>
                <w:rFonts w:ascii="Arial" w:cs="Arial" w:eastAsia="Arial" w:hAnsi="Arial"/>
                <w:sz w:val="13"/>
                <w:szCs w:val="13"/>
                <w:color w:val="auto"/>
              </w:rPr>
              <w:t>(67)</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(2.7)%</w:t>
            </w:r>
          </w:p>
        </w:tc>
        <w:tc>
          <w:tcPr>
            <w:tcW w:w="116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w w:val="82"/>
              </w:rPr>
              <w:t>$ 2,479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548"/>
              <w:spacing w:after="0"/>
              <w:rPr>
                <w:sz w:val="20"/>
                <w:szCs w:val="20"/>
                <w:color w:val="auto"/>
              </w:rPr>
            </w:pPr>
            <w:r>
              <w:rPr>
                <w:rFonts w:ascii="Arial" w:cs="Arial" w:eastAsia="Arial" w:hAnsi="Arial"/>
                <w:sz w:val="13"/>
                <w:szCs w:val="13"/>
                <w:color w:val="auto"/>
              </w:rPr>
              <w:t>8</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0.3%</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$ 2,471</w:t>
            </w:r>
          </w:p>
        </w:tc>
        <w:tc>
          <w:tcPr>
            <w:tcW w:w="0" w:type="dxa"/>
            <w:vAlign w:val="bottom"/>
          </w:tcPr>
          <w:p>
            <w:pPr>
              <w:spacing w:after="0"/>
              <w:rPr>
                <w:sz w:val="1"/>
                <w:szCs w:val="1"/>
                <w:color w:val="auto"/>
              </w:rPr>
            </w:pP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Transfer and disposal costs</w:t>
            </w:r>
          </w:p>
        </w:tc>
        <w:tc>
          <w:tcPr>
            <w:tcW w:w="1160" w:type="dxa"/>
            <w:vAlign w:val="bottom"/>
            <w:gridSpan w:val="2"/>
          </w:tcPr>
          <w:p>
            <w:pPr>
              <w:jc w:val="right"/>
              <w:ind w:right="760"/>
              <w:spacing w:after="0"/>
              <w:rPr>
                <w:sz w:val="20"/>
                <w:szCs w:val="20"/>
                <w:color w:val="auto"/>
              </w:rPr>
            </w:pPr>
            <w:r>
              <w:rPr>
                <w:rFonts w:ascii="Arial" w:cs="Arial" w:eastAsia="Arial" w:hAnsi="Arial"/>
                <w:sz w:val="13"/>
                <w:szCs w:val="13"/>
                <w:color w:val="auto"/>
              </w:rPr>
              <w:t>1,148</w:t>
            </w:r>
          </w:p>
        </w:tc>
        <w:tc>
          <w:tcPr>
            <w:tcW w:w="100" w:type="dxa"/>
            <w:vAlign w:val="bottom"/>
          </w:tcPr>
          <w:p>
            <w:pPr>
              <w:spacing w:after="0"/>
              <w:rPr>
                <w:sz w:val="13"/>
                <w:szCs w:val="13"/>
                <w:color w:val="auto"/>
              </w:rPr>
            </w:pPr>
          </w:p>
        </w:tc>
        <w:tc>
          <w:tcPr>
            <w:tcW w:w="860" w:type="dxa"/>
            <w:vAlign w:val="bottom"/>
            <w:gridSpan w:val="2"/>
          </w:tcPr>
          <w:p>
            <w:pPr>
              <w:jc w:val="right"/>
              <w:ind w:right="468"/>
              <w:spacing w:after="0"/>
              <w:rPr>
                <w:sz w:val="20"/>
                <w:szCs w:val="20"/>
                <w:color w:val="auto"/>
              </w:rPr>
            </w:pPr>
            <w:r>
              <w:rPr>
                <w:rFonts w:ascii="Arial" w:cs="Arial" w:eastAsia="Arial" w:hAnsi="Arial"/>
                <w:sz w:val="13"/>
                <w:szCs w:val="13"/>
                <w:color w:val="auto"/>
              </w:rPr>
              <w:t>(100)</w:t>
            </w:r>
          </w:p>
        </w:tc>
        <w:tc>
          <w:tcPr>
            <w:tcW w:w="1000" w:type="dxa"/>
            <w:vAlign w:val="bottom"/>
            <w:gridSpan w:val="2"/>
          </w:tcPr>
          <w:p>
            <w:pPr>
              <w:jc w:val="right"/>
              <w:ind w:right="680"/>
              <w:spacing w:after="0"/>
              <w:rPr>
                <w:sz w:val="20"/>
                <w:szCs w:val="20"/>
                <w:color w:val="auto"/>
              </w:rPr>
            </w:pPr>
            <w:r>
              <w:rPr>
                <w:rFonts w:ascii="Arial" w:cs="Arial" w:eastAsia="Arial" w:hAnsi="Arial"/>
                <w:sz w:val="13"/>
                <w:szCs w:val="13"/>
                <w:color w:val="auto"/>
              </w:rPr>
              <w:t>(8.0)</w:t>
            </w:r>
          </w:p>
        </w:tc>
        <w:tc>
          <w:tcPr>
            <w:tcW w:w="1160" w:type="dxa"/>
            <w:vAlign w:val="bottom"/>
            <w:gridSpan w:val="2"/>
          </w:tcPr>
          <w:p>
            <w:pPr>
              <w:jc w:val="right"/>
              <w:ind w:right="780"/>
              <w:spacing w:after="0"/>
              <w:rPr>
                <w:sz w:val="20"/>
                <w:szCs w:val="20"/>
                <w:color w:val="auto"/>
              </w:rPr>
            </w:pPr>
            <w:r>
              <w:rPr>
                <w:rFonts w:ascii="Arial" w:cs="Arial" w:eastAsia="Arial" w:hAnsi="Arial"/>
                <w:sz w:val="13"/>
                <w:szCs w:val="13"/>
                <w:color w:val="auto"/>
              </w:rPr>
              <w:t>1,248</w:t>
            </w:r>
          </w:p>
        </w:tc>
        <w:tc>
          <w:tcPr>
            <w:tcW w:w="80" w:type="dxa"/>
            <w:vAlign w:val="bottom"/>
          </w:tcPr>
          <w:p>
            <w:pPr>
              <w:spacing w:after="0"/>
              <w:rPr>
                <w:sz w:val="13"/>
                <w:szCs w:val="13"/>
                <w:color w:val="auto"/>
              </w:rPr>
            </w:pPr>
          </w:p>
        </w:tc>
        <w:tc>
          <w:tcPr>
            <w:tcW w:w="780" w:type="dxa"/>
            <w:vAlign w:val="bottom"/>
            <w:gridSpan w:val="2"/>
          </w:tcPr>
          <w:p>
            <w:pPr>
              <w:jc w:val="right"/>
              <w:ind w:right="488"/>
              <w:spacing w:after="0"/>
              <w:rPr>
                <w:sz w:val="20"/>
                <w:szCs w:val="20"/>
                <w:color w:val="auto"/>
              </w:rPr>
            </w:pPr>
            <w:r>
              <w:rPr>
                <w:rFonts w:ascii="Arial" w:cs="Arial" w:eastAsia="Arial" w:hAnsi="Arial"/>
                <w:sz w:val="13"/>
                <w:szCs w:val="13"/>
                <w:color w:val="auto"/>
                <w:w w:val="94"/>
              </w:rPr>
              <w:t>(22)</w:t>
            </w:r>
          </w:p>
        </w:tc>
        <w:tc>
          <w:tcPr>
            <w:tcW w:w="760" w:type="dxa"/>
            <w:vAlign w:val="bottom"/>
            <w:gridSpan w:val="2"/>
          </w:tcPr>
          <w:p>
            <w:pPr>
              <w:jc w:val="right"/>
              <w:ind w:right="500"/>
              <w:spacing w:after="0"/>
              <w:rPr>
                <w:sz w:val="20"/>
                <w:szCs w:val="20"/>
                <w:color w:val="auto"/>
              </w:rPr>
            </w:pPr>
            <w:r>
              <w:rPr>
                <w:rFonts w:ascii="Arial" w:cs="Arial" w:eastAsia="Arial" w:hAnsi="Arial"/>
                <w:sz w:val="13"/>
                <w:szCs w:val="13"/>
                <w:color w:val="auto"/>
                <w:w w:val="89"/>
              </w:rPr>
              <w:t>(1.7)</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1,270</w:t>
            </w:r>
          </w:p>
        </w:tc>
        <w:tc>
          <w:tcPr>
            <w:tcW w:w="0" w:type="dxa"/>
            <w:vAlign w:val="bottom"/>
          </w:tcPr>
          <w:p>
            <w:pPr>
              <w:spacing w:after="0"/>
              <w:rPr>
                <w:sz w:val="1"/>
                <w:szCs w:val="1"/>
                <w:color w:val="auto"/>
              </w:rPr>
            </w:pPr>
          </w:p>
        </w:tc>
      </w:tr>
      <w:tr>
        <w:trPr>
          <w:trHeight w:val="157"/>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Maintenance and repairs</w:t>
            </w:r>
          </w:p>
        </w:tc>
        <w:tc>
          <w:tcPr>
            <w:tcW w:w="116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rPr>
              <w:t>1,079</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68"/>
              <w:spacing w:after="0"/>
              <w:rPr>
                <w:sz w:val="20"/>
                <w:szCs w:val="20"/>
                <w:color w:val="auto"/>
              </w:rPr>
            </w:pPr>
            <w:r>
              <w:rPr>
                <w:rFonts w:ascii="Arial" w:cs="Arial" w:eastAsia="Arial" w:hAnsi="Arial"/>
                <w:sz w:val="13"/>
                <w:szCs w:val="13"/>
                <w:color w:val="auto"/>
              </w:rPr>
              <w:t>(58)</w:t>
            </w: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(5.1)</w:t>
            </w:r>
          </w:p>
        </w:tc>
        <w:tc>
          <w:tcPr>
            <w:tcW w:w="116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1,137</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548"/>
              <w:spacing w:after="0"/>
              <w:rPr>
                <w:sz w:val="20"/>
                <w:szCs w:val="20"/>
                <w:color w:val="auto"/>
              </w:rPr>
            </w:pPr>
            <w:r>
              <w:rPr>
                <w:rFonts w:ascii="Arial" w:cs="Arial" w:eastAsia="Arial" w:hAnsi="Arial"/>
                <w:sz w:val="13"/>
                <w:szCs w:val="13"/>
                <w:color w:val="auto"/>
              </w:rPr>
              <w:t>2</w:t>
            </w:r>
          </w:p>
        </w:tc>
        <w:tc>
          <w:tcPr>
            <w:tcW w:w="76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0.2</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1,135</w:t>
            </w:r>
          </w:p>
        </w:tc>
        <w:tc>
          <w:tcPr>
            <w:tcW w:w="0" w:type="dxa"/>
            <w:vAlign w:val="bottom"/>
          </w:tcPr>
          <w:p>
            <w:pPr>
              <w:spacing w:after="0"/>
              <w:rPr>
                <w:sz w:val="1"/>
                <w:szCs w:val="1"/>
                <w:color w:val="auto"/>
              </w:rPr>
            </w:pP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Subcontractor costs</w:t>
            </w:r>
          </w:p>
        </w:tc>
        <w:tc>
          <w:tcPr>
            <w:tcW w:w="1160" w:type="dxa"/>
            <w:vAlign w:val="bottom"/>
            <w:gridSpan w:val="2"/>
          </w:tcPr>
          <w:p>
            <w:pPr>
              <w:jc w:val="right"/>
              <w:ind w:right="760"/>
              <w:spacing w:after="0"/>
              <w:rPr>
                <w:sz w:val="20"/>
                <w:szCs w:val="20"/>
                <w:color w:val="auto"/>
              </w:rPr>
            </w:pPr>
            <w:r>
              <w:rPr>
                <w:rFonts w:ascii="Arial" w:cs="Arial" w:eastAsia="Arial" w:hAnsi="Arial"/>
                <w:sz w:val="13"/>
                <w:szCs w:val="13"/>
                <w:color w:val="auto"/>
              </w:rPr>
              <w:t>902</w:t>
            </w:r>
          </w:p>
        </w:tc>
        <w:tc>
          <w:tcPr>
            <w:tcW w:w="100" w:type="dxa"/>
            <w:vAlign w:val="bottom"/>
          </w:tcPr>
          <w:p>
            <w:pPr>
              <w:spacing w:after="0"/>
              <w:rPr>
                <w:sz w:val="13"/>
                <w:szCs w:val="13"/>
                <w:color w:val="auto"/>
              </w:rPr>
            </w:pPr>
          </w:p>
        </w:tc>
        <w:tc>
          <w:tcPr>
            <w:tcW w:w="860" w:type="dxa"/>
            <w:vAlign w:val="bottom"/>
            <w:gridSpan w:val="2"/>
          </w:tcPr>
          <w:p>
            <w:pPr>
              <w:jc w:val="right"/>
              <w:ind w:right="468"/>
              <w:spacing w:after="0"/>
              <w:rPr>
                <w:sz w:val="20"/>
                <w:szCs w:val="20"/>
                <w:color w:val="auto"/>
              </w:rPr>
            </w:pPr>
            <w:r>
              <w:rPr>
                <w:rFonts w:ascii="Arial" w:cs="Arial" w:eastAsia="Arial" w:hAnsi="Arial"/>
                <w:sz w:val="13"/>
                <w:szCs w:val="13"/>
                <w:color w:val="auto"/>
              </w:rPr>
              <w:t>(69)</w:t>
            </w:r>
          </w:p>
        </w:tc>
        <w:tc>
          <w:tcPr>
            <w:tcW w:w="1000" w:type="dxa"/>
            <w:vAlign w:val="bottom"/>
            <w:gridSpan w:val="2"/>
          </w:tcPr>
          <w:p>
            <w:pPr>
              <w:jc w:val="right"/>
              <w:ind w:right="680"/>
              <w:spacing w:after="0"/>
              <w:rPr>
                <w:sz w:val="20"/>
                <w:szCs w:val="20"/>
                <w:color w:val="auto"/>
              </w:rPr>
            </w:pPr>
            <w:r>
              <w:rPr>
                <w:rFonts w:ascii="Arial" w:cs="Arial" w:eastAsia="Arial" w:hAnsi="Arial"/>
                <w:sz w:val="13"/>
                <w:szCs w:val="13"/>
                <w:color w:val="auto"/>
              </w:rPr>
              <w:t>(7.1)</w:t>
            </w:r>
          </w:p>
        </w:tc>
        <w:tc>
          <w:tcPr>
            <w:tcW w:w="1160" w:type="dxa"/>
            <w:vAlign w:val="bottom"/>
            <w:gridSpan w:val="2"/>
          </w:tcPr>
          <w:p>
            <w:pPr>
              <w:jc w:val="right"/>
              <w:ind w:right="780"/>
              <w:spacing w:after="0"/>
              <w:rPr>
                <w:sz w:val="20"/>
                <w:szCs w:val="20"/>
                <w:color w:val="auto"/>
              </w:rPr>
            </w:pPr>
            <w:r>
              <w:rPr>
                <w:rFonts w:ascii="Arial" w:cs="Arial" w:eastAsia="Arial" w:hAnsi="Arial"/>
                <w:sz w:val="13"/>
                <w:szCs w:val="13"/>
                <w:color w:val="auto"/>
              </w:rPr>
              <w:t>971</w:t>
            </w:r>
          </w:p>
        </w:tc>
        <w:tc>
          <w:tcPr>
            <w:tcW w:w="80" w:type="dxa"/>
            <w:vAlign w:val="bottom"/>
          </w:tcPr>
          <w:p>
            <w:pPr>
              <w:spacing w:after="0"/>
              <w:rPr>
                <w:sz w:val="13"/>
                <w:szCs w:val="13"/>
                <w:color w:val="auto"/>
              </w:rPr>
            </w:pPr>
          </w:p>
        </w:tc>
        <w:tc>
          <w:tcPr>
            <w:tcW w:w="780" w:type="dxa"/>
            <w:vAlign w:val="bottom"/>
            <w:gridSpan w:val="2"/>
          </w:tcPr>
          <w:p>
            <w:pPr>
              <w:jc w:val="right"/>
              <w:ind w:right="548"/>
              <w:spacing w:after="0"/>
              <w:rPr>
                <w:sz w:val="20"/>
                <w:szCs w:val="20"/>
                <w:color w:val="auto"/>
              </w:rPr>
            </w:pPr>
            <w:r>
              <w:rPr>
                <w:rFonts w:ascii="Arial" w:cs="Arial" w:eastAsia="Arial" w:hAnsi="Arial"/>
                <w:sz w:val="13"/>
                <w:szCs w:val="13"/>
                <w:color w:val="auto"/>
              </w:rPr>
              <w:t>34</w:t>
            </w:r>
          </w:p>
        </w:tc>
        <w:tc>
          <w:tcPr>
            <w:tcW w:w="760" w:type="dxa"/>
            <w:vAlign w:val="bottom"/>
            <w:gridSpan w:val="2"/>
          </w:tcPr>
          <w:p>
            <w:pPr>
              <w:jc w:val="right"/>
              <w:ind w:right="540"/>
              <w:spacing w:after="0"/>
              <w:rPr>
                <w:sz w:val="20"/>
                <w:szCs w:val="20"/>
                <w:color w:val="auto"/>
              </w:rPr>
            </w:pPr>
            <w:r>
              <w:rPr>
                <w:rFonts w:ascii="Arial" w:cs="Arial" w:eastAsia="Arial" w:hAnsi="Arial"/>
                <w:sz w:val="13"/>
                <w:szCs w:val="13"/>
                <w:color w:val="auto"/>
              </w:rPr>
              <w:t>3.6</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937</w:t>
            </w:r>
          </w:p>
        </w:tc>
        <w:tc>
          <w:tcPr>
            <w:tcW w:w="0" w:type="dxa"/>
            <w:vAlign w:val="bottom"/>
          </w:tcPr>
          <w:p>
            <w:pPr>
              <w:spacing w:after="0"/>
              <w:rPr>
                <w:sz w:val="1"/>
                <w:szCs w:val="1"/>
                <w:color w:val="auto"/>
              </w:rPr>
            </w:pPr>
          </w:p>
        </w:tc>
      </w:tr>
      <w:tr>
        <w:trPr>
          <w:trHeight w:val="157"/>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116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rPr>
              <w:t>769</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528"/>
              <w:spacing w:after="0"/>
              <w:rPr>
                <w:sz w:val="20"/>
                <w:szCs w:val="20"/>
                <w:color w:val="auto"/>
              </w:rPr>
            </w:pPr>
            <w:r>
              <w:rPr>
                <w:rFonts w:ascii="Arial" w:cs="Arial" w:eastAsia="Arial" w:hAnsi="Arial"/>
                <w:sz w:val="13"/>
                <w:szCs w:val="13"/>
                <w:color w:val="auto"/>
              </w:rPr>
              <w:t>180</w:t>
            </w:r>
          </w:p>
        </w:tc>
        <w:tc>
          <w:tcPr>
            <w:tcW w:w="1000" w:type="dxa"/>
            <w:vAlign w:val="bottom"/>
            <w:gridSpan w:val="2"/>
            <w:shd w:val="clear" w:color="auto" w:fill="CCEEFF"/>
          </w:tcPr>
          <w:p>
            <w:pPr>
              <w:jc w:val="right"/>
              <w:ind w:right="720"/>
              <w:spacing w:after="0"/>
              <w:rPr>
                <w:sz w:val="20"/>
                <w:szCs w:val="20"/>
                <w:color w:val="auto"/>
              </w:rPr>
            </w:pPr>
            <w:r>
              <w:rPr>
                <w:rFonts w:ascii="Arial" w:cs="Arial" w:eastAsia="Arial" w:hAnsi="Arial"/>
                <w:sz w:val="13"/>
                <w:szCs w:val="13"/>
                <w:color w:val="auto"/>
              </w:rPr>
              <w:t>30.6</w:t>
            </w:r>
          </w:p>
        </w:tc>
        <w:tc>
          <w:tcPr>
            <w:tcW w:w="116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589</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88"/>
              <w:spacing w:after="0"/>
              <w:rPr>
                <w:sz w:val="20"/>
                <w:szCs w:val="20"/>
                <w:color w:val="auto"/>
              </w:rPr>
            </w:pPr>
            <w:r>
              <w:rPr>
                <w:rFonts w:ascii="Arial" w:cs="Arial" w:eastAsia="Arial" w:hAnsi="Arial"/>
                <w:sz w:val="13"/>
                <w:szCs w:val="13"/>
                <w:color w:val="auto"/>
                <w:w w:val="94"/>
              </w:rPr>
              <w:t>(56)</w:t>
            </w: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w w:val="89"/>
              </w:rPr>
              <w:t>(8.7)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645</w:t>
            </w:r>
          </w:p>
        </w:tc>
        <w:tc>
          <w:tcPr>
            <w:tcW w:w="0" w:type="dxa"/>
            <w:vAlign w:val="bottom"/>
          </w:tcPr>
          <w:p>
            <w:pPr>
              <w:spacing w:after="0"/>
              <w:rPr>
                <w:sz w:val="1"/>
                <w:szCs w:val="1"/>
                <w:color w:val="auto"/>
              </w:rPr>
            </w:pP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Fuel</w:t>
            </w:r>
          </w:p>
        </w:tc>
        <w:tc>
          <w:tcPr>
            <w:tcW w:w="1160" w:type="dxa"/>
            <w:vAlign w:val="bottom"/>
            <w:gridSpan w:val="2"/>
          </w:tcPr>
          <w:p>
            <w:pPr>
              <w:jc w:val="right"/>
              <w:ind w:right="760"/>
              <w:spacing w:after="0"/>
              <w:rPr>
                <w:sz w:val="20"/>
                <w:szCs w:val="20"/>
                <w:color w:val="auto"/>
              </w:rPr>
            </w:pPr>
            <w:r>
              <w:rPr>
                <w:rFonts w:ascii="Arial" w:cs="Arial" w:eastAsia="Arial" w:hAnsi="Arial"/>
                <w:sz w:val="13"/>
                <w:szCs w:val="13"/>
                <w:color w:val="auto"/>
              </w:rPr>
              <w:t>581</w:t>
            </w:r>
          </w:p>
        </w:tc>
        <w:tc>
          <w:tcPr>
            <w:tcW w:w="100" w:type="dxa"/>
            <w:vAlign w:val="bottom"/>
          </w:tcPr>
          <w:p>
            <w:pPr>
              <w:spacing w:after="0"/>
              <w:rPr>
                <w:sz w:val="13"/>
                <w:szCs w:val="13"/>
                <w:color w:val="auto"/>
              </w:rPr>
            </w:pPr>
          </w:p>
        </w:tc>
        <w:tc>
          <w:tcPr>
            <w:tcW w:w="860" w:type="dxa"/>
            <w:vAlign w:val="bottom"/>
            <w:gridSpan w:val="2"/>
          </w:tcPr>
          <w:p>
            <w:pPr>
              <w:jc w:val="right"/>
              <w:ind w:right="528"/>
              <w:spacing w:after="0"/>
              <w:rPr>
                <w:sz w:val="20"/>
                <w:szCs w:val="20"/>
                <w:color w:val="auto"/>
              </w:rPr>
            </w:pPr>
            <w:r>
              <w:rPr>
                <w:rFonts w:ascii="Arial" w:cs="Arial" w:eastAsia="Arial" w:hAnsi="Arial"/>
                <w:sz w:val="13"/>
                <w:szCs w:val="13"/>
                <w:color w:val="auto"/>
              </w:rPr>
              <w:t>2</w:t>
            </w:r>
          </w:p>
        </w:tc>
        <w:tc>
          <w:tcPr>
            <w:tcW w:w="1000" w:type="dxa"/>
            <w:vAlign w:val="bottom"/>
            <w:gridSpan w:val="2"/>
          </w:tcPr>
          <w:p>
            <w:pPr>
              <w:jc w:val="right"/>
              <w:ind w:right="720"/>
              <w:spacing w:after="0"/>
              <w:rPr>
                <w:sz w:val="20"/>
                <w:szCs w:val="20"/>
                <w:color w:val="auto"/>
              </w:rPr>
            </w:pPr>
            <w:r>
              <w:rPr>
                <w:rFonts w:ascii="Arial" w:cs="Arial" w:eastAsia="Arial" w:hAnsi="Arial"/>
                <w:sz w:val="13"/>
                <w:szCs w:val="13"/>
                <w:color w:val="auto"/>
              </w:rPr>
              <w:t>0.3</w:t>
            </w:r>
          </w:p>
        </w:tc>
        <w:tc>
          <w:tcPr>
            <w:tcW w:w="1160" w:type="dxa"/>
            <w:vAlign w:val="bottom"/>
            <w:gridSpan w:val="2"/>
          </w:tcPr>
          <w:p>
            <w:pPr>
              <w:jc w:val="right"/>
              <w:ind w:right="780"/>
              <w:spacing w:after="0"/>
              <w:rPr>
                <w:sz w:val="20"/>
                <w:szCs w:val="20"/>
                <w:color w:val="auto"/>
              </w:rPr>
            </w:pPr>
            <w:r>
              <w:rPr>
                <w:rFonts w:ascii="Arial" w:cs="Arial" w:eastAsia="Arial" w:hAnsi="Arial"/>
                <w:sz w:val="13"/>
                <w:szCs w:val="13"/>
                <w:color w:val="auto"/>
              </w:rPr>
              <w:t>579</w:t>
            </w:r>
          </w:p>
        </w:tc>
        <w:tc>
          <w:tcPr>
            <w:tcW w:w="80" w:type="dxa"/>
            <w:vAlign w:val="bottom"/>
          </w:tcPr>
          <w:p>
            <w:pPr>
              <w:spacing w:after="0"/>
              <w:rPr>
                <w:sz w:val="13"/>
                <w:szCs w:val="13"/>
                <w:color w:val="auto"/>
              </w:rPr>
            </w:pPr>
          </w:p>
        </w:tc>
        <w:tc>
          <w:tcPr>
            <w:tcW w:w="780" w:type="dxa"/>
            <w:vAlign w:val="bottom"/>
            <w:gridSpan w:val="2"/>
          </w:tcPr>
          <w:p>
            <w:pPr>
              <w:jc w:val="right"/>
              <w:ind w:right="548"/>
              <w:spacing w:after="0"/>
              <w:rPr>
                <w:sz w:val="20"/>
                <w:szCs w:val="20"/>
                <w:color w:val="auto"/>
              </w:rPr>
            </w:pPr>
            <w:r>
              <w:rPr>
                <w:rFonts w:ascii="Arial" w:cs="Arial" w:eastAsia="Arial" w:hAnsi="Arial"/>
                <w:sz w:val="13"/>
                <w:szCs w:val="13"/>
                <w:color w:val="auto"/>
              </w:rPr>
              <w:t>47</w:t>
            </w:r>
          </w:p>
        </w:tc>
        <w:tc>
          <w:tcPr>
            <w:tcW w:w="760" w:type="dxa"/>
            <w:vAlign w:val="bottom"/>
            <w:gridSpan w:val="2"/>
          </w:tcPr>
          <w:p>
            <w:pPr>
              <w:jc w:val="right"/>
              <w:ind w:right="540"/>
              <w:spacing w:after="0"/>
              <w:rPr>
                <w:sz w:val="20"/>
                <w:szCs w:val="20"/>
                <w:color w:val="auto"/>
              </w:rPr>
            </w:pPr>
            <w:r>
              <w:rPr>
                <w:rFonts w:ascii="Arial" w:cs="Arial" w:eastAsia="Arial" w:hAnsi="Arial"/>
                <w:sz w:val="13"/>
                <w:szCs w:val="13"/>
                <w:color w:val="auto"/>
              </w:rPr>
              <w:t>8.8</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532</w:t>
            </w:r>
          </w:p>
        </w:tc>
        <w:tc>
          <w:tcPr>
            <w:tcW w:w="0" w:type="dxa"/>
            <w:vAlign w:val="bottom"/>
          </w:tcPr>
          <w:p>
            <w:pPr>
              <w:spacing w:after="0"/>
              <w:rPr>
                <w:sz w:val="1"/>
                <w:szCs w:val="1"/>
                <w:color w:val="auto"/>
              </w:rPr>
            </w:pPr>
          </w:p>
        </w:tc>
      </w:tr>
      <w:tr>
        <w:trPr>
          <w:trHeight w:val="157"/>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Disposal and franchise fees and taxes</w:t>
            </w:r>
          </w:p>
        </w:tc>
        <w:tc>
          <w:tcPr>
            <w:tcW w:w="116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rPr>
              <w:t>602</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68"/>
              <w:spacing w:after="0"/>
              <w:rPr>
                <w:sz w:val="20"/>
                <w:szCs w:val="20"/>
                <w:color w:val="auto"/>
              </w:rPr>
            </w:pPr>
            <w:r>
              <w:rPr>
                <w:rFonts w:ascii="Arial" w:cs="Arial" w:eastAsia="Arial" w:hAnsi="Arial"/>
                <w:sz w:val="13"/>
                <w:szCs w:val="13"/>
                <w:color w:val="auto"/>
              </w:rPr>
              <w:t>(39)</w:t>
            </w: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(6.1)</w:t>
            </w:r>
          </w:p>
        </w:tc>
        <w:tc>
          <w:tcPr>
            <w:tcW w:w="116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641</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88"/>
              <w:spacing w:after="0"/>
              <w:rPr>
                <w:sz w:val="20"/>
                <w:szCs w:val="20"/>
                <w:color w:val="auto"/>
              </w:rPr>
            </w:pPr>
            <w:r>
              <w:rPr>
                <w:rFonts w:ascii="Arial" w:cs="Arial" w:eastAsia="Arial" w:hAnsi="Arial"/>
                <w:sz w:val="13"/>
                <w:szCs w:val="13"/>
                <w:color w:val="auto"/>
              </w:rPr>
              <w:t>(1)</w:t>
            </w: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w w:val="89"/>
              </w:rPr>
              <w:t>(0.2)</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642</w:t>
            </w:r>
          </w:p>
        </w:tc>
        <w:tc>
          <w:tcPr>
            <w:tcW w:w="0" w:type="dxa"/>
            <w:vAlign w:val="bottom"/>
          </w:tcPr>
          <w:p>
            <w:pPr>
              <w:spacing w:after="0"/>
              <w:rPr>
                <w:sz w:val="1"/>
                <w:szCs w:val="1"/>
                <w:color w:val="auto"/>
              </w:rPr>
            </w:pP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Landfill operating costs</w:t>
            </w:r>
          </w:p>
        </w:tc>
        <w:tc>
          <w:tcPr>
            <w:tcW w:w="1160" w:type="dxa"/>
            <w:vAlign w:val="bottom"/>
            <w:gridSpan w:val="2"/>
          </w:tcPr>
          <w:p>
            <w:pPr>
              <w:jc w:val="right"/>
              <w:ind w:right="760"/>
              <w:spacing w:after="0"/>
              <w:rPr>
                <w:sz w:val="20"/>
                <w:szCs w:val="20"/>
                <w:color w:val="auto"/>
              </w:rPr>
            </w:pPr>
            <w:r>
              <w:rPr>
                <w:rFonts w:ascii="Arial" w:cs="Arial" w:eastAsia="Arial" w:hAnsi="Arial"/>
                <w:sz w:val="13"/>
                <w:szCs w:val="13"/>
                <w:color w:val="auto"/>
              </w:rPr>
              <w:t>261</w:t>
            </w:r>
          </w:p>
        </w:tc>
        <w:tc>
          <w:tcPr>
            <w:tcW w:w="100" w:type="dxa"/>
            <w:vAlign w:val="bottom"/>
          </w:tcPr>
          <w:p>
            <w:pPr>
              <w:spacing w:after="0"/>
              <w:rPr>
                <w:sz w:val="13"/>
                <w:szCs w:val="13"/>
                <w:color w:val="auto"/>
              </w:rPr>
            </w:pPr>
          </w:p>
        </w:tc>
        <w:tc>
          <w:tcPr>
            <w:tcW w:w="860" w:type="dxa"/>
            <w:vAlign w:val="bottom"/>
            <w:gridSpan w:val="2"/>
          </w:tcPr>
          <w:p>
            <w:pPr>
              <w:jc w:val="right"/>
              <w:ind w:right="528"/>
              <w:spacing w:after="0"/>
              <w:rPr>
                <w:sz w:val="20"/>
                <w:szCs w:val="20"/>
                <w:color w:val="auto"/>
              </w:rPr>
            </w:pPr>
            <w:r>
              <w:rPr>
                <w:rFonts w:ascii="Arial" w:cs="Arial" w:eastAsia="Arial" w:hAnsi="Arial"/>
                <w:sz w:val="13"/>
                <w:szCs w:val="13"/>
                <w:color w:val="auto"/>
              </w:rPr>
              <w:t>23</w:t>
            </w:r>
          </w:p>
        </w:tc>
        <w:tc>
          <w:tcPr>
            <w:tcW w:w="1000" w:type="dxa"/>
            <w:vAlign w:val="bottom"/>
            <w:gridSpan w:val="2"/>
          </w:tcPr>
          <w:p>
            <w:pPr>
              <w:jc w:val="right"/>
              <w:ind w:right="720"/>
              <w:spacing w:after="0"/>
              <w:rPr>
                <w:sz w:val="20"/>
                <w:szCs w:val="20"/>
                <w:color w:val="auto"/>
              </w:rPr>
            </w:pPr>
            <w:r>
              <w:rPr>
                <w:rFonts w:ascii="Arial" w:cs="Arial" w:eastAsia="Arial" w:hAnsi="Arial"/>
                <w:sz w:val="13"/>
                <w:szCs w:val="13"/>
                <w:color w:val="auto"/>
              </w:rPr>
              <w:t>9.7</w:t>
            </w:r>
          </w:p>
        </w:tc>
        <w:tc>
          <w:tcPr>
            <w:tcW w:w="1160" w:type="dxa"/>
            <w:vAlign w:val="bottom"/>
            <w:gridSpan w:val="2"/>
          </w:tcPr>
          <w:p>
            <w:pPr>
              <w:jc w:val="right"/>
              <w:ind w:right="780"/>
              <w:spacing w:after="0"/>
              <w:rPr>
                <w:sz w:val="20"/>
                <w:szCs w:val="20"/>
                <w:color w:val="auto"/>
              </w:rPr>
            </w:pPr>
            <w:r>
              <w:rPr>
                <w:rFonts w:ascii="Arial" w:cs="Arial" w:eastAsia="Arial" w:hAnsi="Arial"/>
                <w:sz w:val="13"/>
                <w:szCs w:val="13"/>
                <w:color w:val="auto"/>
              </w:rPr>
              <w:t>238</w:t>
            </w:r>
          </w:p>
        </w:tc>
        <w:tc>
          <w:tcPr>
            <w:tcW w:w="80" w:type="dxa"/>
            <w:vAlign w:val="bottom"/>
          </w:tcPr>
          <w:p>
            <w:pPr>
              <w:spacing w:after="0"/>
              <w:rPr>
                <w:sz w:val="13"/>
                <w:szCs w:val="13"/>
                <w:color w:val="auto"/>
              </w:rPr>
            </w:pPr>
          </w:p>
        </w:tc>
        <w:tc>
          <w:tcPr>
            <w:tcW w:w="780" w:type="dxa"/>
            <w:vAlign w:val="bottom"/>
            <w:gridSpan w:val="2"/>
          </w:tcPr>
          <w:p>
            <w:pPr>
              <w:jc w:val="right"/>
              <w:ind w:right="548"/>
              <w:spacing w:after="0"/>
              <w:rPr>
                <w:sz w:val="20"/>
                <w:szCs w:val="20"/>
                <w:color w:val="auto"/>
              </w:rPr>
            </w:pPr>
            <w:r>
              <w:rPr>
                <w:rFonts w:ascii="Arial" w:cs="Arial" w:eastAsia="Arial" w:hAnsi="Arial"/>
                <w:sz w:val="13"/>
                <w:szCs w:val="13"/>
                <w:color w:val="auto"/>
              </w:rPr>
              <w:t>5</w:t>
            </w:r>
          </w:p>
        </w:tc>
        <w:tc>
          <w:tcPr>
            <w:tcW w:w="760" w:type="dxa"/>
            <w:vAlign w:val="bottom"/>
            <w:gridSpan w:val="2"/>
          </w:tcPr>
          <w:p>
            <w:pPr>
              <w:jc w:val="right"/>
              <w:ind w:right="540"/>
              <w:spacing w:after="0"/>
              <w:rPr>
                <w:sz w:val="20"/>
                <w:szCs w:val="20"/>
                <w:color w:val="auto"/>
              </w:rPr>
            </w:pPr>
            <w:r>
              <w:rPr>
                <w:rFonts w:ascii="Arial" w:cs="Arial" w:eastAsia="Arial" w:hAnsi="Arial"/>
                <w:sz w:val="13"/>
                <w:szCs w:val="13"/>
                <w:color w:val="auto"/>
              </w:rPr>
              <w:t>2.1</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157"/>
        </w:trPr>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Risk management</w:t>
            </w:r>
          </w:p>
        </w:tc>
        <w:tc>
          <w:tcPr>
            <w:tcW w:w="116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rPr>
              <w:t>217</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68"/>
              <w:spacing w:after="0"/>
              <w:rPr>
                <w:sz w:val="20"/>
                <w:szCs w:val="20"/>
                <w:color w:val="auto"/>
              </w:rPr>
            </w:pPr>
            <w:r>
              <w:rPr>
                <w:rFonts w:ascii="Arial" w:cs="Arial" w:eastAsia="Arial" w:hAnsi="Arial"/>
                <w:sz w:val="13"/>
                <w:szCs w:val="13"/>
                <w:color w:val="auto"/>
              </w:rPr>
              <w:t>(74)</w:t>
            </w: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88"/>
              </w:rPr>
              <w:t>(25.4)</w:t>
            </w:r>
          </w:p>
        </w:tc>
        <w:tc>
          <w:tcPr>
            <w:tcW w:w="116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291</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88"/>
              <w:spacing w:after="0"/>
              <w:rPr>
                <w:sz w:val="20"/>
                <w:szCs w:val="20"/>
                <w:color w:val="auto"/>
              </w:rPr>
            </w:pPr>
            <w:r>
              <w:rPr>
                <w:rFonts w:ascii="Arial" w:cs="Arial" w:eastAsia="Arial" w:hAnsi="Arial"/>
                <w:sz w:val="13"/>
                <w:szCs w:val="13"/>
                <w:color w:val="auto"/>
                <w:w w:val="94"/>
              </w:rPr>
              <w:t>(21)</w:t>
            </w: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w w:val="89"/>
              </w:rPr>
              <w:t>(6.7)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57"/>
        </w:trPr>
        <w:tc>
          <w:tcPr>
            <w:tcW w:w="3600" w:type="dxa"/>
            <w:vAlign w:val="bottom"/>
          </w:tcPr>
          <w:p>
            <w:pPr>
              <w:spacing w:after="0"/>
              <w:rPr>
                <w:sz w:val="20"/>
                <w:szCs w:val="20"/>
                <w:color w:val="auto"/>
              </w:rPr>
            </w:pPr>
            <w:r>
              <w:rPr>
                <w:rFonts w:ascii="Arial" w:cs="Arial" w:eastAsia="Arial" w:hAnsi="Arial"/>
                <w:sz w:val="13"/>
                <w:szCs w:val="13"/>
                <w:color w:val="auto"/>
              </w:rPr>
              <w:t>Other</w:t>
            </w:r>
          </w:p>
        </w:tc>
        <w:tc>
          <w:tcPr>
            <w:tcW w:w="400" w:type="dxa"/>
            <w:vAlign w:val="bottom"/>
          </w:tcPr>
          <w:p>
            <w:pPr>
              <w:jc w:val="right"/>
              <w:spacing w:after="0"/>
              <w:rPr>
                <w:sz w:val="20"/>
                <w:szCs w:val="20"/>
                <w:color w:val="auto"/>
              </w:rPr>
            </w:pPr>
            <w:r>
              <w:rPr>
                <w:rFonts w:ascii="Arial" w:cs="Arial" w:eastAsia="Arial" w:hAnsi="Arial"/>
                <w:sz w:val="13"/>
                <w:szCs w:val="13"/>
                <w:color w:val="auto"/>
              </w:rPr>
              <w:t>431</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528"/>
              <w:spacing w:after="0"/>
              <w:rPr>
                <w:sz w:val="20"/>
                <w:szCs w:val="20"/>
                <w:color w:val="auto"/>
              </w:rPr>
            </w:pPr>
            <w:r>
              <w:rPr>
                <w:rFonts w:ascii="Arial" w:cs="Arial" w:eastAsia="Arial" w:hAnsi="Arial"/>
                <w:sz w:val="13"/>
                <w:szCs w:val="13"/>
                <w:color w:val="auto"/>
              </w:rPr>
              <w:t>17</w:t>
            </w:r>
          </w:p>
        </w:tc>
        <w:tc>
          <w:tcPr>
            <w:tcW w:w="1000" w:type="dxa"/>
            <w:vAlign w:val="bottom"/>
            <w:gridSpan w:val="2"/>
          </w:tcPr>
          <w:p>
            <w:pPr>
              <w:jc w:val="right"/>
              <w:ind w:right="720"/>
              <w:spacing w:after="0"/>
              <w:rPr>
                <w:sz w:val="20"/>
                <w:szCs w:val="20"/>
                <w:color w:val="auto"/>
              </w:rPr>
            </w:pPr>
            <w:r>
              <w:rPr>
                <w:rFonts w:ascii="Arial" w:cs="Arial" w:eastAsia="Arial" w:hAnsi="Arial"/>
                <w:sz w:val="13"/>
                <w:szCs w:val="13"/>
                <w:color w:val="auto"/>
              </w:rPr>
              <w:t>4.1</w:t>
            </w:r>
          </w:p>
        </w:tc>
        <w:tc>
          <w:tcPr>
            <w:tcW w:w="1160" w:type="dxa"/>
            <w:vAlign w:val="bottom"/>
            <w:gridSpan w:val="2"/>
          </w:tcPr>
          <w:p>
            <w:pPr>
              <w:jc w:val="right"/>
              <w:ind w:right="780"/>
              <w:spacing w:after="0"/>
              <w:rPr>
                <w:sz w:val="20"/>
                <w:szCs w:val="20"/>
                <w:color w:val="auto"/>
              </w:rPr>
            </w:pPr>
            <w:r>
              <w:rPr>
                <w:rFonts w:ascii="Arial" w:cs="Arial" w:eastAsia="Arial" w:hAnsi="Arial"/>
                <w:sz w:val="13"/>
                <w:szCs w:val="13"/>
                <w:color w:val="auto"/>
              </w:rPr>
              <w:t>414</w:t>
            </w:r>
          </w:p>
        </w:tc>
        <w:tc>
          <w:tcPr>
            <w:tcW w:w="80" w:type="dxa"/>
            <w:vAlign w:val="bottom"/>
          </w:tcPr>
          <w:p>
            <w:pPr>
              <w:spacing w:after="0"/>
              <w:rPr>
                <w:sz w:val="13"/>
                <w:szCs w:val="13"/>
                <w:color w:val="auto"/>
              </w:rPr>
            </w:pPr>
          </w:p>
        </w:tc>
        <w:tc>
          <w:tcPr>
            <w:tcW w:w="780" w:type="dxa"/>
            <w:vAlign w:val="bottom"/>
            <w:gridSpan w:val="2"/>
          </w:tcPr>
          <w:p>
            <w:pPr>
              <w:jc w:val="right"/>
              <w:ind w:right="488"/>
              <w:spacing w:after="0"/>
              <w:rPr>
                <w:sz w:val="20"/>
                <w:szCs w:val="20"/>
                <w:color w:val="auto"/>
              </w:rPr>
            </w:pPr>
            <w:r>
              <w:rPr>
                <w:rFonts w:ascii="Arial" w:cs="Arial" w:eastAsia="Arial" w:hAnsi="Arial"/>
                <w:sz w:val="13"/>
                <w:szCs w:val="13"/>
                <w:color w:val="auto"/>
                <w:w w:val="94"/>
              </w:rPr>
              <w:t>(40)</w:t>
            </w:r>
          </w:p>
        </w:tc>
        <w:tc>
          <w:tcPr>
            <w:tcW w:w="760" w:type="dxa"/>
            <w:vAlign w:val="bottom"/>
            <w:gridSpan w:val="2"/>
          </w:tcPr>
          <w:p>
            <w:pPr>
              <w:jc w:val="right"/>
              <w:ind w:right="500"/>
              <w:spacing w:after="0"/>
              <w:rPr>
                <w:sz w:val="20"/>
                <w:szCs w:val="20"/>
                <w:color w:val="auto"/>
              </w:rPr>
            </w:pPr>
            <w:r>
              <w:rPr>
                <w:rFonts w:ascii="Arial" w:cs="Arial" w:eastAsia="Arial" w:hAnsi="Arial"/>
                <w:sz w:val="13"/>
                <w:szCs w:val="13"/>
                <w:color w:val="auto"/>
                <w:w w:val="89"/>
              </w:rPr>
              <w:t>(8.8)</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$ 8,402</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68"/>
              <w:spacing w:after="0"/>
              <w:rPr>
                <w:sz w:val="20"/>
                <w:szCs w:val="20"/>
                <w:color w:val="auto"/>
              </w:rPr>
            </w:pPr>
            <w:r>
              <w:rPr>
                <w:rFonts w:ascii="Arial" w:cs="Arial" w:eastAsia="Arial" w:hAnsi="Arial"/>
                <w:sz w:val="13"/>
                <w:szCs w:val="13"/>
                <w:color w:val="auto"/>
              </w:rPr>
              <w:t>(185)</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(2.2)%</w:t>
            </w:r>
          </w:p>
        </w:tc>
        <w:tc>
          <w:tcPr>
            <w:tcW w:w="116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w w:val="82"/>
              </w:rPr>
              <w:t>$ 8,587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88"/>
              <w:spacing w:after="0"/>
              <w:rPr>
                <w:sz w:val="20"/>
                <w:szCs w:val="20"/>
                <w:color w:val="auto"/>
              </w:rPr>
            </w:pPr>
            <w:r>
              <w:rPr>
                <w:rFonts w:ascii="Arial" w:cs="Arial" w:eastAsia="Arial" w:hAnsi="Arial"/>
                <w:sz w:val="13"/>
                <w:szCs w:val="13"/>
                <w:color w:val="auto"/>
                <w:w w:val="94"/>
              </w:rPr>
              <w:t>(44)</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8"/>
              </w:rPr>
              <w:t>(0.5)%</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$ 8,631</w:t>
            </w:r>
          </w:p>
        </w:tc>
        <w:tc>
          <w:tcPr>
            <w:tcW w:w="0" w:type="dxa"/>
            <w:vAlign w:val="bottom"/>
          </w:tcPr>
          <w:p>
            <w:pPr>
              <w:spacing w:after="0"/>
              <w:rPr>
                <w:sz w:val="1"/>
                <w:szCs w:val="1"/>
                <w:color w:val="auto"/>
              </w:rPr>
            </w:pPr>
          </w:p>
        </w:tc>
      </w:tr>
      <w:tr>
        <w:trPr>
          <w:trHeight w:val="29"/>
        </w:trPr>
        <w:tc>
          <w:tcPr>
            <w:tcW w:w="36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decreases in operating expenses for both 2007 and 2006 as compared with the prior year periods can be attributed primarily to (i) our efforts to maximize margin expansion by focusing on managing our fixed costs and reducing our variable costs; (ii) the divestiture of under-performing and low margin businesses; and (iii) volume declines due to our pricing program and the slowdown in residential construction. In 2007, our cost containment efforts had the most significant impact on our risk management and maintenance and repair costs, while the impact of divestitures and volume declines provided significant reductions in transfer, disposal and subcontractor costs. The operating expense declines during 2007 were partially offset by increased “Cost of goods sold” due to significantly higher commodity prices and “Other” operating expenses incurred for labor disputes in Oakland and Los Angeles, California. These expenses are discussed below.</w:t>
      </w:r>
    </w:p>
    <w:p>
      <w:pPr>
        <w:spacing w:after="0" w:line="72"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In addition to lowering overall costs the last two years, our operating expenses as a percentage of revenues decreased by 1.2 percentage points for 2007, from 64.3% in 2006 to 63.1% in 2007, building on the improvement of 1.7 percentage points during 2006. The improvement in operating expenses as a percentage of revenues reflects our continued focus on identifying operational efficiencies that translate into cost savings, revenue growth on base business yield, shedding low margin volumes and divesting operations that are not improving.</w:t>
      </w:r>
    </w:p>
    <w:p>
      <w:pPr>
        <w:spacing w:after="0" w:line="50" w:lineRule="exact"/>
        <w:rPr>
          <w:sz w:val="20"/>
          <w:szCs w:val="20"/>
          <w:color w:val="auto"/>
        </w:rPr>
      </w:pPr>
    </w:p>
    <w:p>
      <w:pPr>
        <w:ind w:left="680" w:right="380" w:firstLine="399"/>
        <w:spacing w:after="0" w:line="320" w:lineRule="auto"/>
        <w:rPr>
          <w:sz w:val="20"/>
          <w:szCs w:val="20"/>
          <w:color w:val="auto"/>
        </w:rPr>
      </w:pPr>
      <w:r>
        <w:rPr>
          <w:rFonts w:ascii="Arial" w:cs="Arial" w:eastAsia="Arial" w:hAnsi="Arial"/>
          <w:sz w:val="12"/>
          <w:szCs w:val="12"/>
          <w:color w:val="auto"/>
        </w:rPr>
        <w:t>As discussed above, the changes in our “Operating” expenses when comparing 2007, 2006 and 2005 can largely be attributed to our focus on cost control, volume declines and divestitures. Overall, these favorable items have been slightly offset by the unfavorable effect of changes in Canadian currency exchange rates. However, there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are several additional items that affect the comparability of our operating expenses by category for the periods presented. These additional items are summarized, by category, below:</w:t>
      </w:r>
    </w:p>
    <w:p>
      <w:pPr>
        <w:spacing w:after="0" w:line="108"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In each year, wage increases due to annual merit adjustments have partially offset cost reductions due to headcount reductions related to operating</w:t>
      </w:r>
      <w:r>
        <w:rPr>
          <w:rFonts w:ascii="Arial" w:cs="Arial" w:eastAsia="Arial" w:hAnsi="Arial"/>
          <w:sz w:val="13"/>
          <w:szCs w:val="13"/>
          <w:i w:val="1"/>
          <w:iCs w:val="1"/>
          <w:color w:val="auto"/>
        </w:rPr>
        <w:t xml:space="preserve"> </w:t>
      </w:r>
      <w:r>
        <w:rPr>
          <w:rFonts w:ascii="Arial" w:cs="Arial" w:eastAsia="Arial" w:hAnsi="Arial"/>
          <w:sz w:val="13"/>
          <w:szCs w:val="13"/>
          <w:color w:val="auto"/>
        </w:rPr>
        <w:t>efficiencies, divestitures and volume declines. During 2006, bonus expense was higher than either 2007 or 2005 due to the out-performance of 2006 incentive plan measures. The Company’s performance in both 2007 and 2005 was more in line with established incentive plan targets.</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Transfer and disposal costs </w:t>
      </w:r>
      <w:r>
        <w:rPr>
          <w:rFonts w:ascii="Arial" w:cs="Arial" w:eastAsia="Arial" w:hAnsi="Arial"/>
          <w:sz w:val="13"/>
          <w:szCs w:val="13"/>
          <w:color w:val="auto"/>
        </w:rPr>
        <w:t>— In addition to the impacts of divestitures and volume declines, the costs incurred by our collection operations to dispose of waste at third-party transfer</w:t>
      </w:r>
      <w:r>
        <w:rPr>
          <w:rFonts w:ascii="Arial" w:cs="Arial" w:eastAsia="Arial" w:hAnsi="Arial"/>
          <w:sz w:val="13"/>
          <w:szCs w:val="13"/>
          <w:i w:val="1"/>
          <w:iCs w:val="1"/>
          <w:color w:val="auto"/>
        </w:rPr>
        <w:t xml:space="preserve"> </w:t>
      </w:r>
      <w:r>
        <w:rPr>
          <w:rFonts w:ascii="Arial" w:cs="Arial" w:eastAsia="Arial" w:hAnsi="Arial"/>
          <w:sz w:val="13"/>
          <w:szCs w:val="13"/>
          <w:color w:val="auto"/>
        </w:rPr>
        <w:t>stations or landfills have declined due to our focus on improving internalization.</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Maintenance and repairs </w:t>
      </w:r>
      <w:r>
        <w:rPr>
          <w:rFonts w:ascii="Arial" w:cs="Arial" w:eastAsia="Arial" w:hAnsi="Arial"/>
          <w:sz w:val="13"/>
          <w:szCs w:val="13"/>
          <w:color w:val="auto"/>
        </w:rPr>
        <w:t>— Throughout 2006 and 2007, cost savings were generated from (i) various fleet initiatives targeted at improving our maintenance practices while reducing</w:t>
      </w:r>
      <w:r>
        <w:rPr>
          <w:rFonts w:ascii="Arial" w:cs="Arial" w:eastAsia="Arial" w:hAnsi="Arial"/>
          <w:sz w:val="13"/>
          <w:szCs w:val="13"/>
          <w:i w:val="1"/>
          <w:iCs w:val="1"/>
          <w:color w:val="auto"/>
        </w:rPr>
        <w:t xml:space="preserve"> </w:t>
      </w:r>
      <w:r>
        <w:rPr>
          <w:rFonts w:ascii="Arial" w:cs="Arial" w:eastAsia="Arial" w:hAnsi="Arial"/>
          <w:sz w:val="13"/>
          <w:szCs w:val="13"/>
          <w:color w:val="auto"/>
        </w:rPr>
        <w:t>maintenance, parts and supplies costs; and (ii) changes in the scope of maintenance projects at our waste-to-energy facilities. In 2006, year-over-year reductions due to divestitures, volume declines and the items previously noted were outweighed by increased labor costs.</w:t>
      </w:r>
    </w:p>
    <w:p>
      <w:pPr>
        <w:spacing w:after="0" w:line="67"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i w:val="1"/>
          <w:iCs w:val="1"/>
          <w:color w:val="auto"/>
        </w:rPr>
        <w:t xml:space="preserve">Subcontractor costs </w:t>
      </w:r>
      <w:r>
        <w:rPr>
          <w:rFonts w:ascii="Arial" w:cs="Arial" w:eastAsia="Arial" w:hAnsi="Arial"/>
          <w:sz w:val="12"/>
          <w:szCs w:val="12"/>
          <w:color w:val="auto"/>
        </w:rPr>
        <w:t>— During the fourth quarter of 2007 and throughout 2006, we experienced increases in subcontractor costs due to higher diesel fuel prices, which drive the fuel</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surcharges we pay to third-party subcontractors. These cost increases were offset in part by the revenue generated from our fuel surcharge program, which is reflected as fuel yield increases within </w:t>
      </w:r>
      <w:r>
        <w:rPr>
          <w:rFonts w:ascii="Arial" w:cs="Arial" w:eastAsia="Arial" w:hAnsi="Arial"/>
          <w:sz w:val="12"/>
          <w:szCs w:val="12"/>
          <w:i w:val="1"/>
          <w:iCs w:val="1"/>
          <w:color w:val="auto"/>
        </w:rPr>
        <w:t>Operating Revenues</w:t>
      </w:r>
      <w:r>
        <w:rPr>
          <w:rFonts w:ascii="Arial" w:cs="Arial" w:eastAsia="Arial" w:hAnsi="Arial"/>
          <w:sz w:val="12"/>
          <w:szCs w:val="12"/>
          <w:color w:val="auto"/>
        </w:rPr>
        <w:t>. Additionally, in 2006, we incurred significant subcontractor costs during the first quarter of 2006 to assist in providing hurricane related services.</w:t>
      </w:r>
    </w:p>
    <w:p>
      <w:pPr>
        <w:spacing w:after="0" w:line="5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Cost of goods sold </w:t>
      </w:r>
      <w:r>
        <w:rPr>
          <w:rFonts w:ascii="Arial" w:cs="Arial" w:eastAsia="Arial" w:hAnsi="Arial"/>
          <w:sz w:val="13"/>
          <w:szCs w:val="13"/>
          <w:color w:val="auto"/>
        </w:rPr>
        <w:t>— Fluctuations in these costs are generally based on changes in our recycling revenues because they are primarily related to rebates we pay to our recycling</w:t>
      </w:r>
      <w:r>
        <w:rPr>
          <w:rFonts w:ascii="Arial" w:cs="Arial" w:eastAsia="Arial" w:hAnsi="Arial"/>
          <w:sz w:val="13"/>
          <w:szCs w:val="13"/>
          <w:i w:val="1"/>
          <w:iCs w:val="1"/>
          <w:color w:val="auto"/>
        </w:rPr>
        <w:t xml:space="preserve"> </w:t>
      </w:r>
      <w:r>
        <w:rPr>
          <w:rFonts w:ascii="Arial" w:cs="Arial" w:eastAsia="Arial" w:hAnsi="Arial"/>
          <w:sz w:val="13"/>
          <w:szCs w:val="13"/>
          <w:color w:val="auto"/>
        </w:rPr>
        <w:t>suppliers. When comparing 2007 with 2006, substantially higher market prices for recyclable commodities resulted in significant revenue growth and higher cost of goods sold. When comparing 2006 with 2005, these costs were lower due to a decrease in market prices for recyclable commodities and reduced recycling volumes. Additionally, in 2006, the decrease in costs of goods sold was partially due to the completion of the construction of an integrated waste facility in Canada in early 2006.</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Fuel </w:t>
      </w:r>
      <w:r>
        <w:rPr>
          <w:rFonts w:ascii="Arial" w:cs="Arial" w:eastAsia="Arial" w:hAnsi="Arial"/>
          <w:sz w:val="13"/>
          <w:szCs w:val="13"/>
          <w:color w:val="auto"/>
        </w:rPr>
        <w:t>— We experienced an estimated average increase of $0.18 per gallon for 2007 as compared with 2006 and of $0.31 per gallon for 2006 as compared with 2005. Fuel costs were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relatively constant through the first nine months of 2007, but increased sharply during the fourth quarter. While our fuel surcharge is designed to respond to changes in the market price for fuel, the sharp increase late in 2007 negatively affected our ability to recover increased costs resulting from higher fuel prices within the year due to a lag in the timing of increased revenues following fuel cost increases. In each year, increased fuel costs have negatively affected our operating margin percentages. Revenues generated by our fuel surcharge program are reflected as fuel yield increases within </w:t>
      </w:r>
      <w:r>
        <w:rPr>
          <w:rFonts w:ascii="Arial" w:cs="Arial" w:eastAsia="Arial" w:hAnsi="Arial"/>
          <w:sz w:val="13"/>
          <w:szCs w:val="13"/>
          <w:i w:val="1"/>
          <w:iCs w:val="1"/>
          <w:color w:val="auto"/>
        </w:rPr>
        <w:t>Operating Revenues.</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Disposal and franchise fees and taxes </w:t>
      </w:r>
      <w:r>
        <w:rPr>
          <w:rFonts w:ascii="Arial" w:cs="Arial" w:eastAsia="Arial" w:hAnsi="Arial"/>
          <w:sz w:val="13"/>
          <w:szCs w:val="13"/>
          <w:color w:val="auto"/>
        </w:rPr>
        <w:t>— In 2007, these cost declines were partially due to the resolution of a disposal tax matter in our Eastern Group, which resulted in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recognition of $18 million in favorable adjustments to operating costs during 2007. In 2006, we experienced increases in rates for mandated fees and taxes in certain markets. Certain of these cost increases are passed through to our customers, and have been reflected as fee yield increases within </w:t>
      </w:r>
      <w:r>
        <w:rPr>
          <w:rFonts w:ascii="Arial" w:cs="Arial" w:eastAsia="Arial" w:hAnsi="Arial"/>
          <w:sz w:val="13"/>
          <w:szCs w:val="13"/>
          <w:i w:val="1"/>
          <w:iCs w:val="1"/>
          <w:color w:val="auto"/>
        </w:rPr>
        <w:t>Operating Revenues.</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i w:val="1"/>
          <w:iCs w:val="1"/>
          <w:color w:val="auto"/>
        </w:rPr>
        <w:t xml:space="preserve">Landfill operating costs </w:t>
      </w:r>
      <w:r>
        <w:rPr>
          <w:rFonts w:ascii="Arial" w:cs="Arial" w:eastAsia="Arial" w:hAnsi="Arial"/>
          <w:sz w:val="13"/>
          <w:szCs w:val="13"/>
          <w:color w:val="auto"/>
        </w:rPr>
        <w:t>— These costs increased during 2007 due to charges for revisions in our estimates associated with remediation obligations and changes in the risk-free</w:t>
      </w:r>
      <w:r>
        <w:rPr>
          <w:rFonts w:ascii="Arial" w:cs="Arial" w:eastAsia="Arial" w:hAnsi="Arial"/>
          <w:sz w:val="13"/>
          <w:szCs w:val="13"/>
          <w:i w:val="1"/>
          <w:iCs w:val="1"/>
          <w:color w:val="auto"/>
        </w:rPr>
        <w:t xml:space="preserve"> </w:t>
      </w:r>
      <w:r>
        <w:rPr>
          <w:rFonts w:ascii="Arial" w:cs="Arial" w:eastAsia="Arial" w:hAnsi="Arial"/>
          <w:sz w:val="13"/>
          <w:szCs w:val="13"/>
          <w:color w:val="auto"/>
        </w:rPr>
        <w:t>discount rate that we use to estimate the present value of these obligations. During 2007 we recorded an $8 million charge to reduce the discount rate from 4.75% to 4.00% and during 2006 we recorded a $6 million decrease in expense to reflect an increase in the rate from 4.25% to 4.75%. For 2006, the cost increases as compared with 2005 generally related to higher site maintenance, leachate collection, monitoring and testing, and closure and post-closure expenses.</w:t>
      </w:r>
    </w:p>
    <w:p>
      <w:pPr>
        <w:spacing w:after="0" w:line="70" w:lineRule="exact"/>
        <w:rPr>
          <w:sz w:val="20"/>
          <w:szCs w:val="20"/>
          <w:color w:val="auto"/>
        </w:rPr>
      </w:pPr>
    </w:p>
    <w:p>
      <w:pPr>
        <w:jc w:val="both"/>
        <w:ind w:left="680" w:right="320" w:firstLine="399"/>
        <w:spacing w:after="0" w:line="296" w:lineRule="auto"/>
        <w:rPr>
          <w:sz w:val="20"/>
          <w:szCs w:val="20"/>
          <w:color w:val="auto"/>
        </w:rPr>
      </w:pPr>
      <w:r>
        <w:rPr>
          <w:rFonts w:ascii="Arial" w:cs="Arial" w:eastAsia="Arial" w:hAnsi="Arial"/>
          <w:sz w:val="12"/>
          <w:szCs w:val="12"/>
          <w:i w:val="1"/>
          <w:iCs w:val="1"/>
          <w:color w:val="auto"/>
        </w:rPr>
        <w:t xml:space="preserve">Risk management </w:t>
      </w:r>
      <w:r>
        <w:rPr>
          <w:rFonts w:ascii="Arial" w:cs="Arial" w:eastAsia="Arial" w:hAnsi="Arial"/>
          <w:sz w:val="12"/>
          <w:szCs w:val="12"/>
          <w:color w:val="auto"/>
        </w:rPr>
        <w:t>— Over the last two years, we have been increasingly successful in reducing these costs, which can be attributed to our continued focus on safety and reduced</w:t>
      </w:r>
      <w:r>
        <w:rPr>
          <w:rFonts w:ascii="Arial" w:cs="Arial" w:eastAsia="Arial" w:hAnsi="Arial"/>
          <w:sz w:val="12"/>
          <w:szCs w:val="12"/>
          <w:i w:val="1"/>
          <w:iCs w:val="1"/>
          <w:color w:val="auto"/>
        </w:rPr>
        <w:t xml:space="preserve"> </w:t>
      </w:r>
      <w:r>
        <w:rPr>
          <w:rFonts w:ascii="Arial" w:cs="Arial" w:eastAsia="Arial" w:hAnsi="Arial"/>
          <w:sz w:val="12"/>
          <w:szCs w:val="12"/>
          <w:color w:val="auto"/>
        </w:rPr>
        <w:t>accident and injury rates. For 2007, the decrease in expense was largely associated with reduced actuarial projections of auto and general liability claims and, to a lesser extent, reduced workers’ compensation costs. During 2006, the decline in expenses as compared with 2005 was primarily due to reduced workers’ compensation costs.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Other operating expenses </w:t>
      </w:r>
      <w:r>
        <w:rPr>
          <w:rFonts w:ascii="Arial" w:cs="Arial" w:eastAsia="Arial" w:hAnsi="Arial"/>
          <w:sz w:val="13"/>
          <w:szCs w:val="13"/>
          <w:color w:val="auto"/>
        </w:rPr>
        <w:t>— In the third and fourth quarters of 2007, we incurred a significant increase in “Other” expenses due in large part to costs incurred for labor disputes with</w:t>
      </w:r>
      <w:r>
        <w:rPr>
          <w:rFonts w:ascii="Arial" w:cs="Arial" w:eastAsia="Arial" w:hAnsi="Arial"/>
          <w:sz w:val="13"/>
          <w:szCs w:val="13"/>
          <w:i w:val="1"/>
          <w:iCs w:val="1"/>
          <w:color w:val="auto"/>
        </w:rPr>
        <w:t xml:space="preserve"> </w:t>
      </w:r>
      <w:r>
        <w:rPr>
          <w:rFonts w:ascii="Arial" w:cs="Arial" w:eastAsia="Arial" w:hAnsi="Arial"/>
          <w:sz w:val="13"/>
          <w:szCs w:val="13"/>
          <w:color w:val="auto"/>
        </w:rPr>
        <w:t>the Teamsters Local 70 in Oakland, California that was resolved in July 2007 and with Teamsters Local 396 in Los Angeles that was resolved in October 2007. These labor disputes negatively affected the “Income from operations” of our Western Group by $37 million, including $33 million of additional “Other” operating expenses, for the year ended December 31, 2007. The increased operating costs were primarily related to security and the deployment and lodging costs incurred for the Company’s replacement workers who were brought to California from across the organization. For the year ended December 31, 2006, our Eastern Group incurred $14 million for similar costs, which were primarily for a labor strike in the New York City area.</w:t>
      </w:r>
    </w:p>
    <w:p>
      <w:pPr>
        <w:spacing w:after="0" w:line="72"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Also affecting the comparability of our “Other” operating expenses for 2007 as compared with 2006 were (i) $21 million of lease termination costs incurred during the first quarter of 2007 associated with the purchase of one of our independent power production plants that had previously been operated through a lease agreement; (ii) lower lease and rental expenses in 2007; and (iii) an increase in gains recognized on the sales of assets for 2007.</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lower costs in 2006 as compared with 2005 can be attributed to (i) Hurricane Katrina related support costs in 2005, particularly in Louisiana, where we built Camp Waste Management to house and feed employees who worked in the New Orleans area to help with the cleanup efforts; (ii) comparatively higher rental expense in 2005; and (iii) a decrease related to the deconsolidation of a variable interest entity in early 2006.</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selling, general and administrative expenses consist of (i) labor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general and administrative expenses, which include, among other costs, facility-related expenses, voice and data telecommunication, advertising, travel and entertainment, rentals, postage and printing. In addition, the financial impacts of litigation settlements generally are included in our “other” selling, general and administrative expenses.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major components of our selling, general and administrative costs for the years ended December 31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89"/>
              </w:rPr>
              <w:t>2007</w:t>
            </w: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2"/>
          </w:tcPr>
          <w:p>
            <w:pPr>
              <w:jc w:val="right"/>
              <w:ind w:right="980"/>
              <w:spacing w:after="0"/>
              <w:rPr>
                <w:sz w:val="20"/>
                <w:szCs w:val="20"/>
                <w:color w:val="auto"/>
              </w:rPr>
            </w:pPr>
            <w:r>
              <w:rPr>
                <w:rFonts w:ascii="Arial" w:cs="Arial" w:eastAsia="Arial" w:hAnsi="Arial"/>
                <w:sz w:val="10"/>
                <w:szCs w:val="10"/>
                <w:b w:val="1"/>
                <w:bCs w:val="1"/>
                <w:color w:val="auto"/>
                <w:w w:val="93"/>
              </w:rPr>
              <w:t>Period-to-</w:t>
            </w:r>
          </w:p>
        </w:tc>
        <w:tc>
          <w:tcPr>
            <w:tcW w:w="80" w:type="dxa"/>
            <w:vAlign w:val="bottom"/>
          </w:tcPr>
          <w:p>
            <w:pPr>
              <w:spacing w:after="0"/>
              <w:rPr>
                <w:sz w:val="10"/>
                <w:szCs w:val="10"/>
                <w:color w:val="auto"/>
              </w:rPr>
            </w:pPr>
          </w:p>
        </w:tc>
        <w:tc>
          <w:tcPr>
            <w:tcW w:w="320" w:type="dxa"/>
            <w:vAlign w:val="bottom"/>
            <w:vMerge w:val="restart"/>
          </w:tcPr>
          <w:p>
            <w:pPr>
              <w:jc w:val="right"/>
              <w:ind w:right="37"/>
              <w:spacing w:after="0"/>
              <w:rPr>
                <w:sz w:val="20"/>
                <w:szCs w:val="20"/>
                <w:color w:val="auto"/>
              </w:rPr>
            </w:pPr>
            <w:r>
              <w:rPr>
                <w:rFonts w:ascii="Arial" w:cs="Arial" w:eastAsia="Arial" w:hAnsi="Arial"/>
                <w:sz w:val="10"/>
                <w:szCs w:val="10"/>
                <w:b w:val="1"/>
                <w:bCs w:val="1"/>
                <w:color w:val="auto"/>
                <w:w w:val="89"/>
              </w:rPr>
              <w:t>2006</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Period-to-</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gridSpan w:val="4"/>
          </w:tcPr>
          <w:p>
            <w:pPr>
              <w:jc w:val="right"/>
              <w:ind w:right="880"/>
              <w:spacing w:after="0"/>
              <w:rPr>
                <w:sz w:val="20"/>
                <w:szCs w:val="20"/>
                <w:color w:val="auto"/>
              </w:rPr>
            </w:pPr>
            <w:r>
              <w:rPr>
                <w:rFonts w:ascii="Arial" w:cs="Arial" w:eastAsia="Arial" w:hAnsi="Arial"/>
                <w:sz w:val="10"/>
                <w:szCs w:val="10"/>
                <w:b w:val="1"/>
                <w:bCs w:val="1"/>
                <w:color w:val="auto"/>
              </w:rPr>
              <w:t>Period Change</w:t>
            </w:r>
          </w:p>
        </w:tc>
        <w:tc>
          <w:tcPr>
            <w:tcW w:w="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4"/>
          </w:tcPr>
          <w:p>
            <w:pPr>
              <w:jc w:val="right"/>
              <w:ind w:right="880"/>
              <w:spacing w:after="0"/>
              <w:rPr>
                <w:sz w:val="20"/>
                <w:szCs w:val="20"/>
                <w:color w:val="auto"/>
              </w:rPr>
            </w:pPr>
            <w:r>
              <w:rPr>
                <w:rFonts w:ascii="Arial" w:cs="Arial" w:eastAsia="Arial" w:hAnsi="Arial"/>
                <w:sz w:val="10"/>
                <w:szCs w:val="10"/>
                <w:b w:val="1"/>
                <w:bCs w:val="1"/>
                <w:color w:val="auto"/>
              </w:rPr>
              <w:t>Period Change</w:t>
            </w: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5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860"/>
              <w:spacing w:after="0"/>
              <w:rPr>
                <w:sz w:val="20"/>
                <w:szCs w:val="20"/>
                <w:color w:val="auto"/>
              </w:rPr>
            </w:pPr>
            <w:r>
              <w:rPr>
                <w:rFonts w:ascii="Arial" w:cs="Arial" w:eastAsia="Arial" w:hAnsi="Arial"/>
                <w:sz w:val="13"/>
                <w:szCs w:val="13"/>
                <w:color w:val="auto"/>
              </w:rPr>
              <w:t>835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6"/>
              </w:rPr>
              <w:t>$ 41</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860"/>
              <w:spacing w:after="0"/>
              <w:rPr>
                <w:sz w:val="20"/>
                <w:szCs w:val="20"/>
                <w:color w:val="auto"/>
              </w:rPr>
            </w:pPr>
            <w:r>
              <w:rPr>
                <w:rFonts w:ascii="Arial" w:cs="Arial" w:eastAsia="Arial" w:hAnsi="Arial"/>
                <w:sz w:val="13"/>
                <w:szCs w:val="13"/>
                <w:color w:val="auto"/>
              </w:rPr>
              <w:t>794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37</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157"/>
        </w:trPr>
        <w:tc>
          <w:tcPr>
            <w:tcW w:w="3540" w:type="dxa"/>
            <w:vAlign w:val="bottom"/>
          </w:tcPr>
          <w:p>
            <w:pPr>
              <w:spacing w:after="0"/>
              <w:rPr>
                <w:sz w:val="20"/>
                <w:szCs w:val="20"/>
                <w:color w:val="auto"/>
              </w:rPr>
            </w:pPr>
            <w:r>
              <w:rPr>
                <w:rFonts w:ascii="Arial" w:cs="Arial" w:eastAsia="Arial" w:hAnsi="Arial"/>
                <w:sz w:val="13"/>
                <w:szCs w:val="13"/>
                <w:color w:val="auto"/>
              </w:rPr>
              <w:t>Professional fees</w:t>
            </w:r>
          </w:p>
        </w:tc>
        <w:tc>
          <w:tcPr>
            <w:tcW w:w="80" w:type="dxa"/>
            <w:vAlign w:val="bottom"/>
          </w:tcPr>
          <w:p>
            <w:pPr>
              <w:spacing w:after="0"/>
              <w:rPr>
                <w:sz w:val="13"/>
                <w:szCs w:val="13"/>
                <w:color w:val="auto"/>
              </w:rPr>
            </w:pPr>
          </w:p>
        </w:tc>
        <w:tc>
          <w:tcPr>
            <w:tcW w:w="1180" w:type="dxa"/>
            <w:vAlign w:val="bottom"/>
            <w:gridSpan w:val="2"/>
          </w:tcPr>
          <w:p>
            <w:pPr>
              <w:jc w:val="right"/>
              <w:ind w:right="860"/>
              <w:spacing w:after="0"/>
              <w:rPr>
                <w:sz w:val="20"/>
                <w:szCs w:val="20"/>
                <w:color w:val="auto"/>
              </w:rPr>
            </w:pPr>
            <w:r>
              <w:rPr>
                <w:rFonts w:ascii="Arial" w:cs="Arial" w:eastAsia="Arial" w:hAnsi="Arial"/>
                <w:sz w:val="13"/>
                <w:szCs w:val="13"/>
                <w:color w:val="auto"/>
              </w:rPr>
              <w:t>160</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1440" w:type="dxa"/>
            <w:vAlign w:val="bottom"/>
            <w:gridSpan w:val="2"/>
          </w:tcPr>
          <w:p>
            <w:pPr>
              <w:jc w:val="right"/>
              <w:ind w:right="640"/>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3"/>
                <w:szCs w:val="13"/>
                <w:color w:val="auto"/>
              </w:rPr>
            </w:pPr>
          </w:p>
        </w:tc>
        <w:tc>
          <w:tcPr>
            <w:tcW w:w="1180" w:type="dxa"/>
            <w:vAlign w:val="bottom"/>
            <w:gridSpan w:val="2"/>
          </w:tcPr>
          <w:p>
            <w:pPr>
              <w:jc w:val="right"/>
              <w:ind w:right="860"/>
              <w:spacing w:after="0"/>
              <w:rPr>
                <w:sz w:val="20"/>
                <w:szCs w:val="20"/>
                <w:color w:val="auto"/>
              </w:rPr>
            </w:pPr>
            <w:r>
              <w:rPr>
                <w:rFonts w:ascii="Arial" w:cs="Arial" w:eastAsia="Arial" w:hAnsi="Arial"/>
                <w:sz w:val="13"/>
                <w:szCs w:val="13"/>
                <w:color w:val="auto"/>
              </w:rPr>
              <w:t>161</w:t>
            </w:r>
          </w:p>
        </w:tc>
        <w:tc>
          <w:tcPr>
            <w:tcW w:w="80" w:type="dxa"/>
            <w:vAlign w:val="bottom"/>
          </w:tcPr>
          <w:p>
            <w:pPr>
              <w:spacing w:after="0"/>
              <w:rPr>
                <w:sz w:val="13"/>
                <w:szCs w:val="13"/>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rPr>
              <w:t>9</w:t>
            </w:r>
          </w:p>
        </w:tc>
        <w:tc>
          <w:tcPr>
            <w:tcW w:w="960" w:type="dxa"/>
            <w:vAlign w:val="bottom"/>
            <w:gridSpan w:val="2"/>
          </w:tcPr>
          <w:p>
            <w:pPr>
              <w:jc w:val="right"/>
              <w:ind w:right="700"/>
              <w:spacing w:after="0"/>
              <w:rPr>
                <w:sz w:val="20"/>
                <w:szCs w:val="20"/>
                <w:color w:val="auto"/>
              </w:rPr>
            </w:pPr>
            <w:r>
              <w:rPr>
                <w:rFonts w:ascii="Arial" w:cs="Arial" w:eastAsia="Arial" w:hAnsi="Arial"/>
                <w:sz w:val="13"/>
                <w:szCs w:val="13"/>
                <w:color w:val="auto"/>
              </w:rPr>
              <w:t>5.9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57"/>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bad debts</w:t>
            </w: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860"/>
              <w:spacing w:after="0"/>
              <w:rPr>
                <w:sz w:val="20"/>
                <w:szCs w:val="20"/>
                <w:color w:val="auto"/>
              </w:rPr>
            </w:pPr>
            <w:r>
              <w:rPr>
                <w:rFonts w:ascii="Arial" w:cs="Arial" w:eastAsia="Arial" w:hAnsi="Arial"/>
                <w:sz w:val="13"/>
                <w:szCs w:val="13"/>
                <w:color w:val="auto"/>
              </w:rPr>
              <w:t>49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860"/>
              <w:spacing w:after="0"/>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w:t>
            </w:r>
          </w:p>
        </w:tc>
        <w:tc>
          <w:tcPr>
            <w:tcW w:w="96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(5.8)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3540" w:type="dxa"/>
            <w:vAlign w:val="bottom"/>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1180" w:type="dxa"/>
            <w:vAlign w:val="bottom"/>
            <w:gridSpan w:val="2"/>
          </w:tcPr>
          <w:p>
            <w:pPr>
              <w:jc w:val="right"/>
              <w:ind w:right="860"/>
              <w:spacing w:after="0"/>
              <w:rPr>
                <w:sz w:val="20"/>
                <w:szCs w:val="20"/>
                <w:color w:val="auto"/>
              </w:rPr>
            </w:pPr>
            <w:r>
              <w:rPr>
                <w:rFonts w:ascii="Arial" w:cs="Arial" w:eastAsia="Arial" w:hAnsi="Arial"/>
                <w:sz w:val="13"/>
                <w:szCs w:val="13"/>
                <w:color w:val="auto"/>
              </w:rPr>
              <w:t>388</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1440" w:type="dxa"/>
            <w:vAlign w:val="bottom"/>
            <w:gridSpan w:val="2"/>
          </w:tcPr>
          <w:p>
            <w:pPr>
              <w:jc w:val="right"/>
              <w:ind w:right="68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1180" w:type="dxa"/>
            <w:vAlign w:val="bottom"/>
            <w:gridSpan w:val="2"/>
          </w:tcPr>
          <w:p>
            <w:pPr>
              <w:jc w:val="right"/>
              <w:ind w:right="860"/>
              <w:spacing w:after="0"/>
              <w:rPr>
                <w:sz w:val="20"/>
                <w:szCs w:val="20"/>
                <w:color w:val="auto"/>
              </w:rPr>
            </w:pPr>
            <w:r>
              <w:rPr>
                <w:rFonts w:ascii="Arial" w:cs="Arial" w:eastAsia="Arial" w:hAnsi="Arial"/>
                <w:sz w:val="13"/>
                <w:szCs w:val="13"/>
                <w:color w:val="auto"/>
              </w:rPr>
              <w:t>384</w:t>
            </w:r>
          </w:p>
        </w:tc>
        <w:tc>
          <w:tcPr>
            <w:tcW w:w="80" w:type="dxa"/>
            <w:vAlign w:val="bottom"/>
          </w:tcPr>
          <w:p>
            <w:pPr>
              <w:spacing w:after="0"/>
              <w:rPr>
                <w:sz w:val="13"/>
                <w:szCs w:val="13"/>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rPr>
              <w:t>69</w:t>
            </w:r>
          </w:p>
        </w:tc>
        <w:tc>
          <w:tcPr>
            <w:tcW w:w="960" w:type="dxa"/>
            <w:vAlign w:val="bottom"/>
            <w:gridSpan w:val="2"/>
          </w:tcPr>
          <w:p>
            <w:pPr>
              <w:jc w:val="right"/>
              <w:ind w:right="700"/>
              <w:spacing w:after="0"/>
              <w:rPr>
                <w:sz w:val="20"/>
                <w:szCs w:val="20"/>
                <w:color w:val="auto"/>
              </w:rPr>
            </w:pPr>
            <w:r>
              <w:rPr>
                <w:rFonts w:ascii="Arial" w:cs="Arial" w:eastAsia="Arial" w:hAnsi="Arial"/>
                <w:sz w:val="13"/>
                <w:szCs w:val="13"/>
                <w:color w:val="auto"/>
                <w:w w:val="94"/>
              </w:rPr>
              <w:t>21.9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860"/>
              <w:spacing w:after="0"/>
              <w:rPr>
                <w:sz w:val="20"/>
                <w:szCs w:val="20"/>
                <w:color w:val="auto"/>
              </w:rPr>
            </w:pPr>
            <w:r>
              <w:rPr>
                <w:rFonts w:ascii="Arial" w:cs="Arial" w:eastAsia="Arial" w:hAnsi="Arial"/>
                <w:sz w:val="13"/>
                <w:szCs w:val="13"/>
                <w:color w:val="auto"/>
                <w:w w:val="92"/>
              </w:rPr>
              <w:t>1,432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6"/>
              </w:rPr>
              <w:t>$ 44</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860"/>
              <w:spacing w:after="0"/>
              <w:rPr>
                <w:sz w:val="20"/>
                <w:szCs w:val="20"/>
                <w:color w:val="auto"/>
              </w:rPr>
            </w:pPr>
            <w:r>
              <w:rPr>
                <w:rFonts w:ascii="Arial" w:cs="Arial" w:eastAsia="Arial" w:hAnsi="Arial"/>
                <w:sz w:val="13"/>
                <w:szCs w:val="13"/>
                <w:color w:val="auto"/>
                <w:w w:val="92"/>
              </w:rPr>
              <w:t>1,388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w w:val="92"/>
              </w:rPr>
              <w:t>112</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8.8%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1,276</w:t>
            </w:r>
          </w:p>
        </w:tc>
        <w:tc>
          <w:tcPr>
            <w:tcW w:w="0" w:type="dxa"/>
            <w:vAlign w:val="bottom"/>
          </w:tcPr>
          <w:p>
            <w:pPr>
              <w:spacing w:after="0"/>
              <w:rPr>
                <w:sz w:val="1"/>
                <w:szCs w:val="1"/>
                <w:color w:val="auto"/>
              </w:rPr>
            </w:pPr>
          </w:p>
        </w:tc>
      </w:tr>
      <w:tr>
        <w:trPr>
          <w:trHeight w:val="29"/>
        </w:trPr>
        <w:tc>
          <w:tcPr>
            <w:tcW w:w="3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Our labor and related benefits, professional fees and other general and administrative costs for the year ended December 31, 2007 increased by $24 million as a result of non-capitalizable costs associated with investments in our information technology and our people strategies. Other significant changes in our selling, general and administrative expenses are summarized below.</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In both 2007 and 2006, these costs increased year-over-year due to higher compensation costs driven by an increase in the size of our sales force;</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increased investments in our information technology and people strategies, as noted above; higher non-cash compensation expense associated with the equity-based compensation provided for by our long-term incentive plan; and annual merit raises. The higher labor costs for our pricing, people and other initiatives are necessary as we implement new ways to grow our business and strengthen our ongoing operations. Our bonus expenses were relatively higher in 2006 than either 2005 or 2007 due to the strength of our performance against incentive plan measures in that year. Fluctuations in our use of contract labor for corporate support functions also caused an increase in 2006 as compared with 2005. These cost increases in 2006 were partially offset by savings associated with our 2005 restructuring.</w:t>
      </w:r>
    </w:p>
    <w:p>
      <w:pPr>
        <w:spacing w:after="0" w:line="72"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i w:val="1"/>
          <w:iCs w:val="1"/>
          <w:color w:val="auto"/>
        </w:rPr>
        <w:t xml:space="preserve">Professional Fees </w:t>
      </w:r>
      <w:r>
        <w:rPr>
          <w:rFonts w:ascii="Arial" w:cs="Arial" w:eastAsia="Arial" w:hAnsi="Arial"/>
          <w:sz w:val="13"/>
          <w:szCs w:val="13"/>
          <w:color w:val="auto"/>
        </w:rPr>
        <w:t>— In both 2007 and 2006, our consulting fees increased as a result of our strategic initiatives. In 2007, this increase was offset by (i) lower consulting costs</w:t>
      </w:r>
      <w:r>
        <w:rPr>
          <w:rFonts w:ascii="Arial" w:cs="Arial" w:eastAsia="Arial" w:hAnsi="Arial"/>
          <w:sz w:val="13"/>
          <w:szCs w:val="13"/>
          <w:i w:val="1"/>
          <w:iCs w:val="1"/>
          <w:color w:val="auto"/>
        </w:rPr>
        <w:t xml:space="preserve"> </w:t>
      </w:r>
      <w:r>
        <w:rPr>
          <w:rFonts w:ascii="Arial" w:cs="Arial" w:eastAsia="Arial" w:hAnsi="Arial"/>
          <w:sz w:val="13"/>
          <w:szCs w:val="13"/>
          <w:color w:val="auto"/>
        </w:rPr>
        <w:t>associated with our pricing initiatives; and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(ii) reductions in legal fees and expenses, largely as a result of higher costs in 2006 related to indemnification obligations for former officers in legacy litigation brought by the SEC.</w:t>
      </w:r>
    </w:p>
    <w:p>
      <w:pPr>
        <w:spacing w:after="0" w:line="108"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 Our “Selling, general and administrative” expenses for the years ended 2007 and 2006 included net charges of approximately $2 million and $20 million, respectively, to</w:t>
      </w:r>
      <w:r>
        <w:rPr>
          <w:rFonts w:ascii="Arial" w:cs="Arial" w:eastAsia="Arial" w:hAnsi="Arial"/>
          <w:sz w:val="12"/>
          <w:szCs w:val="12"/>
          <w:i w:val="1"/>
          <w:iCs w:val="1"/>
          <w:color w:val="auto"/>
        </w:rPr>
        <w:t xml:space="preserve"> </w:t>
      </w:r>
      <w:r>
        <w:rPr>
          <w:rFonts w:ascii="Arial" w:cs="Arial" w:eastAsia="Arial" w:hAnsi="Arial"/>
          <w:sz w:val="12"/>
          <w:szCs w:val="12"/>
          <w:color w:val="auto"/>
        </w:rPr>
        <w:t>record our estimated obligations for unclaimed property. Refer to Note 10 of our Consolidated Financial Statements for additional information related to the nature of these charges.</w:t>
      </w:r>
    </w:p>
    <w:p>
      <w:pPr>
        <w:spacing w:after="0" w:line="3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Additionally, in both 2007 and 2006, our other costs increased due to higher sales and marketing costs and higher travel and entertainment costs due partially to the development of our revenue management system and our efforts to implement various initiatives.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Depreciation and amortization includes (i) depreciation of property and equipment, including assets recorded due to capital leases, on a straight-line basis from three to 50 years;</w:t>
      </w:r>
    </w:p>
    <w:p>
      <w:pPr>
        <w:spacing w:after="0" w:line="27" w:lineRule="exact"/>
        <w:rPr>
          <w:sz w:val="20"/>
          <w:szCs w:val="20"/>
          <w:color w:val="auto"/>
        </w:rPr>
      </w:pPr>
    </w:p>
    <w:p>
      <w:pPr>
        <w:ind w:left="680" w:firstLine="7"/>
        <w:spacing w:after="0" w:line="255" w:lineRule="auto"/>
        <w:tabs>
          <w:tab w:leader="none" w:pos="873"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amortization of landfill costs, including those incurred and all estimated future costs for landfill development, construction, asset retirement costs arising from closure and post-closure, on a units-of-consumption method as landfill airspace is consumed over the estimated remaining permitted and expansion capacity of a site; (iii) amortization of landfill asset retirement costs arising from final capping obligations on a units-of-consumption method as airspace is consumed over the estimated capacity associated with each final capping event; and (iv) amortization of intangible assets with a definite life, either using a 150% declining balance approach or a straight-line basis over the definitive terms of the related agreements, which are from two to ten years depending on the type of asset.</w:t>
      </w:r>
    </w:p>
    <w:p>
      <w:pPr>
        <w:spacing w:after="0" w:line="73"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Depreciation and amortization expense was $1,259 million, or 9.5% of revenues, for the year ended December 31, 2007; $1,334 million, or 10.0% of revenues, for the year ended December 31, 2006; and $1,361 million, or 10.4% of revenues, for the year ended December 31, 2005. The $75 million decrease when comparing 2007 with 2006 can be attributed, in part, to landfill volume declines. The $27 million decrease when comparing 2006 with 2005 was primarily due to the suspension of depreciation on assets held-for-sale and divestitures. Additonally, in both 2007 and 2006 there were decreases in depreciation due to components of enterprise-wide software becoming fully depreciated.</w:t>
      </w:r>
    </w:p>
    <w:p>
      <w:pPr>
        <w:spacing w:after="0" w:line="53"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color w:val="auto"/>
        </w:rPr>
        <w:t>The comparability of our depreciation and amortization expense for the years ended December 31, 2007, 2006, and 2005 has also been significantly affected by (i) a $21 million charge to landfill amortization recognized in 2005 to adjust the amortization periods of nine of our leased landfills and (ii) adjustments to landfill airspace and landfill asset retirement cost amortization recorded in each year for changes in estimates related to our final capping, closure and post-closure obligations. During the years ended December 31, 2007, 2006 and 2005, landfill amortization expense was reduced by $17 million, $1 million and $13 million, respectively, for the effects of these changes in estimates. In each year, the majority of the reduced expense resulting from the revised estimates was associated with final capping changes.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Management continuously reviews our organization to determine if we are operating under the most advantageous structure. Our 2007 and 2005 restructurings were the result of reviews that highlighted opportunities for efficiencies and cost savings. The most significant cost savings we have obtained through our restructurings have been attributable to the labor and related benefits component of our “Selling, general and administrative” expenses.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the first quarter of 2007, we restructured certain operations and functions, resulting in the recognition of a charge of approximately $9 million. We incurred an additional $1 million of costs for this restructuring during the second quarter of 2007, increasing the costs incurred to date to $10 million. Approximately $7 million of our restructuring costs was incurred by our Corporate organization, $2 million was incurred by our Midwest Group and $1 million was incurred by our Western Group. These charges included approximately $8 million for employee severance and benefit costs and approximately $2 million related to operating lease agreements.</w:t>
      </w:r>
    </w:p>
    <w:p>
      <w:pPr>
        <w:spacing w:after="0" w:line="7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During the third quarter of 2005, we reorganized and simplified our organizational structure by eliminating certain support functions performed at the Group or Corporate office. We also eliminated the Canadian Group office, which reduced the number of our operating Groups from seven to six. This reorganization reduced costs at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the Group and Corporate offices and increased the accountability of our Market Areas. We recorded $28 million of pre-tax charges in 2005 for costs associated with the implementation of the new structure, principally for employee severance and benefit costs.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Expense from Divestitures, Asset Impairments and Unusual Items</w:t>
      </w:r>
    </w:p>
    <w:p>
      <w:pPr>
        <w:spacing w:after="0" w:line="96"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The following table summarizes the major components of “(Income) expense from divestitures, asset impairments and unusual items” for the year ended December 31 for the respective periods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Years Ended December 31,</w:t>
            </w:r>
          </w:p>
        </w:tc>
        <w:tc>
          <w:tcPr>
            <w:tcW w:w="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20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28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8"/>
                <w:szCs w:val="8"/>
                <w:color w:val="auto"/>
              </w:rPr>
            </w:pPr>
          </w:p>
        </w:tc>
      </w:tr>
      <w:tr>
        <w:trPr>
          <w:trHeight w:val="29"/>
        </w:trPr>
        <w:tc>
          <w:tcPr>
            <w:tcW w:w="8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(Income) expense from divestitures (including held-for-sale impairments)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4"/>
              </w:rPr>
              <w:t>(26)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(79)</w:t>
            </w: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Impairments of assets held-for-use</w:t>
            </w:r>
          </w:p>
        </w:tc>
        <w:tc>
          <w:tcPr>
            <w:tcW w:w="100" w:type="dxa"/>
            <w:vAlign w:val="bottom"/>
          </w:tcPr>
          <w:p>
            <w:pPr>
              <w:spacing w:after="0"/>
              <w:rPr>
                <w:sz w:val="13"/>
                <w:szCs w:val="13"/>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116</w:t>
            </w: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w:t>
            </w:r>
          </w:p>
        </w:tc>
      </w:tr>
      <w:tr>
        <w:trPr>
          <w:trHeight w:val="20"/>
        </w:trPr>
        <w:tc>
          <w:tcPr>
            <w:tcW w:w="8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340"/>
              <w:spacing w:after="0"/>
              <w:rPr>
                <w:sz w:val="20"/>
                <w:szCs w:val="20"/>
                <w:color w:val="auto"/>
              </w:rPr>
            </w:pPr>
            <w:r>
              <w:rPr>
                <w:rFonts w:ascii="Arial" w:cs="Arial" w:eastAsia="Arial" w:hAnsi="Arial"/>
                <w:sz w:val="13"/>
                <w:szCs w:val="13"/>
                <w:color w:val="auto"/>
              </w:rPr>
              <w:t>(47)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68</w:t>
            </w:r>
          </w:p>
        </w:tc>
      </w:tr>
      <w:tr>
        <w:trPr>
          <w:trHeight w:val="30"/>
        </w:trPr>
        <w:tc>
          <w:tcPr>
            <w:tcW w:w="8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(Income) expense from divestitures (including held-for-sale impairments) </w:t>
      </w:r>
      <w:r>
        <w:rPr>
          <w:rFonts w:ascii="Arial" w:cs="Arial" w:eastAsia="Arial" w:hAnsi="Arial"/>
          <w:sz w:val="13"/>
          <w:szCs w:val="13"/>
          <w:color w:val="auto"/>
        </w:rPr>
        <w:t>— The net gains from divestitures in all three years were a result of our fix-or-seek exit initiative, and 2005</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also included a $39 million gain from the divestiture of a landfill in Canada as a result of a Divestiture Order by the Competition Bureau. Gains recognized from divestitures in 2006 were partially offset by the recognition of aggregate impairment charges of $18 million for operations held for sale as required by SFAS No. 144, </w:t>
      </w:r>
      <w:r>
        <w:rPr>
          <w:rFonts w:ascii="Arial" w:cs="Arial" w:eastAsia="Arial" w:hAnsi="Arial"/>
          <w:sz w:val="13"/>
          <w:szCs w:val="13"/>
          <w:i w:val="1"/>
          <w:iCs w:val="1"/>
          <w:color w:val="auto"/>
        </w:rPr>
        <w:t>Accounting for the Impairment or Disposal of</w:t>
      </w:r>
      <w:r>
        <w:rPr>
          <w:rFonts w:ascii="Arial" w:cs="Arial" w:eastAsia="Arial" w:hAnsi="Arial"/>
          <w:sz w:val="13"/>
          <w:szCs w:val="13"/>
          <w:color w:val="auto"/>
        </w:rPr>
        <w:t xml:space="preserve"> </w:t>
      </w:r>
      <w:r>
        <w:rPr>
          <w:rFonts w:ascii="Arial" w:cs="Arial" w:eastAsia="Arial" w:hAnsi="Arial"/>
          <w:sz w:val="13"/>
          <w:szCs w:val="13"/>
          <w:i w:val="1"/>
          <w:iCs w:val="1"/>
          <w:color w:val="auto"/>
        </w:rPr>
        <w:t>Long-Lived Assets</w:t>
      </w:r>
      <w:r>
        <w:rPr>
          <w:rFonts w:ascii="Arial" w:cs="Arial" w:eastAsia="Arial" w:hAnsi="Arial"/>
          <w:sz w:val="13"/>
          <w:szCs w:val="13"/>
          <w:color w:val="auto"/>
        </w:rPr>
        <w:t>.</w:t>
      </w:r>
    </w:p>
    <w:p>
      <w:pPr>
        <w:spacing w:after="0" w:line="7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i w:val="1"/>
          <w:iCs w:val="1"/>
          <w:color w:val="auto"/>
        </w:rPr>
        <w:t xml:space="preserve">Impairments of assets held-for-use </w:t>
      </w:r>
      <w:r>
        <w:rPr>
          <w:rFonts w:ascii="Arial" w:cs="Arial" w:eastAsia="Arial" w:hAnsi="Arial"/>
          <w:sz w:val="13"/>
          <w:szCs w:val="13"/>
          <w:color w:val="auto"/>
        </w:rPr>
        <w:t>— During 2007, we recognized $12 million in impairment charges due to impairments recognized for two landfills in our Southern Group. The</w:t>
      </w:r>
      <w:r>
        <w:rPr>
          <w:rFonts w:ascii="Arial" w:cs="Arial" w:eastAsia="Arial" w:hAnsi="Arial"/>
          <w:sz w:val="13"/>
          <w:szCs w:val="13"/>
          <w:i w:val="1"/>
          <w:iCs w:val="1"/>
          <w:color w:val="auto"/>
        </w:rPr>
        <w:t xml:space="preserve"> </w:t>
      </w:r>
      <w:r>
        <w:rPr>
          <w:rFonts w:ascii="Arial" w:cs="Arial" w:eastAsia="Arial" w:hAnsi="Arial"/>
          <w:sz w:val="13"/>
          <w:szCs w:val="13"/>
          <w:color w:val="auto"/>
        </w:rPr>
        <w:t>impairments were necessary as a result of the re-evaluation of our business alternatives for one landfill and the expiration of a contract that we had expected would be renewed that had significantly contributed to the volumes for the second landfill.</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$24 million of impairment charges recognized during 2006 was primarily related to the impairment of a landfill in our Eastern Group as a result of a change in our expectations for future expansions and the impairment of under-performing operations in our WMRA Group.</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During the second quarter of 2005, our Eastern Group recorded a $35 million charge for the impairment of the Pottstown Landfill in Pennsylvania. We determined that the impairment was necessary after the denial of a permit application for a vertical expansion at the landfill was upheld and we decided not to pursue an appeal of that decision. In addition, during 2005 we recorded $68 million in impairment charges associated with capitalized software, driven by a $59 million charge for revenue management system software that had previously been under development. The remaining impairment charges recognized in 2005 were largely related to the impairment of a landfill in our Eastern Group as a result of a change in our expectations for future expansions.</w:t>
      </w:r>
    </w:p>
    <w:p>
      <w:pPr>
        <w:spacing w:after="0" w:line="71"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In both 2006 and 2005 we recognized charges associated with the termination of legal matters related to issues that arose in 2000 and earlier. In 2006, we recognized a</w:t>
      </w:r>
      <w:r>
        <w:rPr>
          <w:rFonts w:ascii="Arial" w:cs="Arial" w:eastAsia="Arial" w:hAnsi="Arial"/>
          <w:sz w:val="13"/>
          <w:szCs w:val="13"/>
          <w:i w:val="1"/>
          <w:iCs w:val="1"/>
          <w:color w:val="auto"/>
        </w:rPr>
        <w:t xml:space="preserve"> </w:t>
      </w:r>
      <w:r>
        <w:rPr>
          <w:rFonts w:ascii="Arial" w:cs="Arial" w:eastAsia="Arial" w:hAnsi="Arial"/>
          <w:sz w:val="13"/>
          <w:szCs w:val="13"/>
          <w:color w:val="auto"/>
        </w:rPr>
        <w:t>$26 million charge for the impact of an arbitration ruling against us related to the termination of a joint venture relationship in 2000. In 2005, we recognized a $16 million charge for the impact of a settlement reached with a group of stockholders that had opted not to participate in the settlement of the securities class action lawsuit against us related to 1998 and 1999 activity and a $27 million charge to settle our ongoing defense costs associated with possible indemnity obligations to former officers of WM Holdings related to the litigation brought against them by the SEC. The 2005 charges were partially offset by the recognition of a net benefit of $12 million, primarily for adjustments to receivables and estimated obligations for non-solid waste operations that had been sold in 1999 and 2000.</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From Operations by Reportable Segment</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following table summarizes income from operations by reportable segment for the years ended December 31 and provides explanations of significant factors contributing to the identified variances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w w:val="89"/>
              </w:rPr>
              <w:t>2007</w:t>
            </w:r>
          </w:p>
        </w:tc>
        <w:tc>
          <w:tcPr>
            <w:tcW w:w="860" w:type="dxa"/>
            <w:vAlign w:val="bottom"/>
          </w:tcPr>
          <w:p>
            <w:pPr>
              <w:spacing w:after="0"/>
              <w:rPr>
                <w:sz w:val="10"/>
                <w:szCs w:val="1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Period-to-</w:t>
            </w: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w w:val="89"/>
              </w:rPr>
              <w:t>2006</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Period-to-</w:t>
            </w: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720" w:type="dxa"/>
            <w:vAlign w:val="bottom"/>
            <w:gridSpan w:val="4"/>
          </w:tcPr>
          <w:p>
            <w:pPr>
              <w:jc w:val="right"/>
              <w:ind w:right="880"/>
              <w:spacing w:after="0"/>
              <w:rPr>
                <w:sz w:val="20"/>
                <w:szCs w:val="20"/>
                <w:color w:val="auto"/>
              </w:rPr>
            </w:pPr>
            <w:r>
              <w:rPr>
                <w:rFonts w:ascii="Arial" w:cs="Arial" w:eastAsia="Arial" w:hAnsi="Arial"/>
                <w:sz w:val="10"/>
                <w:szCs w:val="10"/>
                <w:b w:val="1"/>
                <w:bCs w:val="1"/>
                <w:color w:val="auto"/>
              </w:rPr>
              <w:t>Period Change</w:t>
            </w: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4"/>
          </w:tcPr>
          <w:p>
            <w:pPr>
              <w:jc w:val="right"/>
              <w:ind w:right="980"/>
              <w:spacing w:after="0"/>
              <w:rPr>
                <w:sz w:val="20"/>
                <w:szCs w:val="20"/>
                <w:color w:val="auto"/>
              </w:rPr>
            </w:pPr>
            <w:r>
              <w:rPr>
                <w:rFonts w:ascii="Arial" w:cs="Arial" w:eastAsia="Arial" w:hAnsi="Arial"/>
                <w:sz w:val="10"/>
                <w:szCs w:val="10"/>
                <w:b w:val="1"/>
                <w:bCs w:val="1"/>
                <w:color w:val="auto"/>
              </w:rPr>
              <w:t>Period Change</w:t>
            </w: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segments:</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60" w:type="dxa"/>
            <w:vAlign w:val="bottom"/>
            <w:gridSpan w:val="2"/>
          </w:tcPr>
          <w:p>
            <w:pPr>
              <w:ind w:left="140"/>
              <w:spacing w:after="0"/>
              <w:rPr>
                <w:sz w:val="20"/>
                <w:szCs w:val="20"/>
                <w:color w:val="auto"/>
              </w:rPr>
            </w:pPr>
            <w:r>
              <w:rPr>
                <w:rFonts w:ascii="Arial" w:cs="Arial" w:eastAsia="Arial" w:hAnsi="Arial"/>
                <w:sz w:val="13"/>
                <w:szCs w:val="13"/>
                <w:color w:val="auto"/>
              </w:rPr>
              <w:t>Eastern</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520</w:t>
            </w:r>
          </w:p>
        </w:tc>
        <w:tc>
          <w:tcPr>
            <w:tcW w:w="860" w:type="dxa"/>
            <w:vAlign w:val="bottom"/>
          </w:tcPr>
          <w:p>
            <w:pPr>
              <w:spacing w:after="0"/>
              <w:rPr>
                <w:sz w:val="13"/>
                <w:szCs w:val="13"/>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3"/>
                <w:szCs w:val="13"/>
                <w:color w:val="auto"/>
                <w:w w:val="85"/>
              </w:rPr>
              <w:t>$ 131</w:t>
            </w:r>
          </w:p>
        </w:tc>
        <w:tc>
          <w:tcPr>
            <w:tcW w:w="940" w:type="dxa"/>
            <w:vAlign w:val="bottom"/>
            <w:gridSpan w:val="2"/>
          </w:tcPr>
          <w:p>
            <w:pPr>
              <w:jc w:val="right"/>
              <w:ind w:right="580"/>
              <w:spacing w:after="0"/>
              <w:rPr>
                <w:sz w:val="20"/>
                <w:szCs w:val="20"/>
                <w:color w:val="auto"/>
              </w:rPr>
            </w:pPr>
            <w:r>
              <w:rPr>
                <w:rFonts w:ascii="Arial" w:cs="Arial" w:eastAsia="Arial" w:hAnsi="Arial"/>
                <w:sz w:val="13"/>
                <w:szCs w:val="13"/>
                <w:color w:val="auto"/>
                <w:w w:val="92"/>
              </w:rPr>
              <w:t>33.7%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780"/>
              <w:spacing w:after="0"/>
              <w:rPr>
                <w:sz w:val="20"/>
                <w:szCs w:val="20"/>
                <w:color w:val="auto"/>
              </w:rPr>
            </w:pPr>
            <w:r>
              <w:rPr>
                <w:rFonts w:ascii="Arial" w:cs="Arial" w:eastAsia="Arial" w:hAnsi="Arial"/>
                <w:sz w:val="13"/>
                <w:szCs w:val="13"/>
                <w:color w:val="auto"/>
              </w:rPr>
              <w:t>389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rPr>
              <w:t>56</w:t>
            </w:r>
          </w:p>
        </w:tc>
        <w:tc>
          <w:tcPr>
            <w:tcW w:w="1060" w:type="dxa"/>
            <w:vAlign w:val="bottom"/>
            <w:gridSpan w:val="2"/>
          </w:tcPr>
          <w:p>
            <w:pPr>
              <w:jc w:val="right"/>
              <w:ind w:right="700"/>
              <w:spacing w:after="0"/>
              <w:rPr>
                <w:sz w:val="20"/>
                <w:szCs w:val="20"/>
                <w:color w:val="auto"/>
              </w:rPr>
            </w:pPr>
            <w:r>
              <w:rPr>
                <w:rFonts w:ascii="Arial" w:cs="Arial" w:eastAsia="Arial" w:hAnsi="Arial"/>
                <w:sz w:val="13"/>
                <w:szCs w:val="13"/>
                <w:color w:val="auto"/>
                <w:w w:val="92"/>
              </w:rPr>
              <w:t>16.8%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57"/>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Midwest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w:t>
            </w:r>
          </w:p>
        </w:tc>
        <w:tc>
          <w:tcPr>
            <w:tcW w:w="8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43</w:t>
            </w:r>
          </w:p>
        </w:tc>
        <w:tc>
          <w:tcPr>
            <w:tcW w:w="9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w w:val="86"/>
              </w:rPr>
              <w:t>10.0</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428</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50</w:t>
            </w:r>
          </w:p>
        </w:tc>
        <w:tc>
          <w:tcPr>
            <w:tcW w:w="106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w w:val="94"/>
              </w:rPr>
              <w:t>13.2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157"/>
        </w:trPr>
        <w:tc>
          <w:tcPr>
            <w:tcW w:w="3560" w:type="dxa"/>
            <w:vAlign w:val="bottom"/>
            <w:gridSpan w:val="2"/>
          </w:tcPr>
          <w:p>
            <w:pPr>
              <w:ind w:left="140"/>
              <w:spacing w:after="0"/>
              <w:rPr>
                <w:sz w:val="20"/>
                <w:szCs w:val="20"/>
                <w:color w:val="auto"/>
              </w:rPr>
            </w:pPr>
            <w:r>
              <w:rPr>
                <w:rFonts w:ascii="Arial" w:cs="Arial" w:eastAsia="Arial" w:hAnsi="Arial"/>
                <w:sz w:val="13"/>
                <w:szCs w:val="13"/>
                <w:color w:val="auto"/>
              </w:rPr>
              <w:t>Southern</w:t>
            </w: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816</w:t>
            </w:r>
          </w:p>
        </w:tc>
        <w:tc>
          <w:tcPr>
            <w:tcW w:w="860" w:type="dxa"/>
            <w:vAlign w:val="bottom"/>
          </w:tcPr>
          <w:p>
            <w:pPr>
              <w:spacing w:after="0"/>
              <w:rPr>
                <w:sz w:val="13"/>
                <w:szCs w:val="13"/>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3"/>
                <w:szCs w:val="13"/>
                <w:color w:val="auto"/>
              </w:rPr>
              <w:t>12</w:t>
            </w:r>
          </w:p>
        </w:tc>
        <w:tc>
          <w:tcPr>
            <w:tcW w:w="940" w:type="dxa"/>
            <w:vAlign w:val="bottom"/>
            <w:gridSpan w:val="2"/>
          </w:tcPr>
          <w:p>
            <w:pPr>
              <w:jc w:val="right"/>
              <w:ind w:right="700"/>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3"/>
                <w:szCs w:val="13"/>
                <w:color w:val="auto"/>
              </w:rPr>
            </w:pPr>
          </w:p>
        </w:tc>
        <w:tc>
          <w:tcPr>
            <w:tcW w:w="1080" w:type="dxa"/>
            <w:vAlign w:val="bottom"/>
            <w:gridSpan w:val="2"/>
          </w:tcPr>
          <w:p>
            <w:pPr>
              <w:jc w:val="right"/>
              <w:ind w:right="780"/>
              <w:spacing w:after="0"/>
              <w:rPr>
                <w:sz w:val="20"/>
                <w:szCs w:val="20"/>
                <w:color w:val="auto"/>
              </w:rPr>
            </w:pPr>
            <w:r>
              <w:rPr>
                <w:rFonts w:ascii="Arial" w:cs="Arial" w:eastAsia="Arial" w:hAnsi="Arial"/>
                <w:sz w:val="13"/>
                <w:szCs w:val="13"/>
                <w:color w:val="auto"/>
              </w:rPr>
              <w:t>804</w:t>
            </w:r>
          </w:p>
        </w:tc>
        <w:tc>
          <w:tcPr>
            <w:tcW w:w="80" w:type="dxa"/>
            <w:vAlign w:val="bottom"/>
          </w:tcPr>
          <w:p>
            <w:pPr>
              <w:spacing w:after="0"/>
              <w:rPr>
                <w:sz w:val="13"/>
                <w:szCs w:val="13"/>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w w:val="92"/>
              </w:rPr>
              <w:t>105</w:t>
            </w:r>
          </w:p>
        </w:tc>
        <w:tc>
          <w:tcPr>
            <w:tcW w:w="1060" w:type="dxa"/>
            <w:vAlign w:val="bottom"/>
            <w:gridSpan w:val="2"/>
          </w:tcPr>
          <w:p>
            <w:pPr>
              <w:jc w:val="right"/>
              <w:ind w:right="800"/>
              <w:spacing w:after="0"/>
              <w:rPr>
                <w:sz w:val="20"/>
                <w:szCs w:val="20"/>
                <w:color w:val="auto"/>
              </w:rPr>
            </w:pPr>
            <w:r>
              <w:rPr>
                <w:rFonts w:ascii="Arial" w:cs="Arial" w:eastAsia="Arial" w:hAnsi="Arial"/>
                <w:sz w:val="13"/>
                <w:szCs w:val="13"/>
                <w:color w:val="auto"/>
                <w:w w:val="94"/>
              </w:rPr>
              <w:t>15.0</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699</w:t>
            </w:r>
          </w:p>
        </w:tc>
        <w:tc>
          <w:tcPr>
            <w:tcW w:w="0" w:type="dxa"/>
            <w:vAlign w:val="bottom"/>
          </w:tcPr>
          <w:p>
            <w:pPr>
              <w:spacing w:after="0"/>
              <w:rPr>
                <w:sz w:val="1"/>
                <w:szCs w:val="1"/>
                <w:color w:val="auto"/>
              </w:rPr>
            </w:pPr>
          </w:p>
        </w:tc>
      </w:tr>
      <w:tr>
        <w:trPr>
          <w:trHeight w:val="157"/>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Western</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w:t>
            </w:r>
          </w:p>
        </w:tc>
        <w:tc>
          <w:tcPr>
            <w:tcW w:w="8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(12)</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647</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98</w:t>
            </w:r>
          </w:p>
        </w:tc>
        <w:tc>
          <w:tcPr>
            <w:tcW w:w="106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w w:val="94"/>
              </w:rPr>
              <w:t>17.9</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549</w:t>
            </w:r>
          </w:p>
        </w:tc>
        <w:tc>
          <w:tcPr>
            <w:tcW w:w="0" w:type="dxa"/>
            <w:vAlign w:val="bottom"/>
          </w:tcPr>
          <w:p>
            <w:pPr>
              <w:spacing w:after="0"/>
              <w:rPr>
                <w:sz w:val="1"/>
                <w:szCs w:val="1"/>
                <w:color w:val="auto"/>
              </w:rPr>
            </w:pPr>
          </w:p>
        </w:tc>
      </w:tr>
      <w:tr>
        <w:trPr>
          <w:trHeight w:val="157"/>
        </w:trPr>
        <w:tc>
          <w:tcPr>
            <w:tcW w:w="3560" w:type="dxa"/>
            <w:vAlign w:val="bottom"/>
            <w:gridSpan w:val="2"/>
          </w:tcPr>
          <w:p>
            <w:pPr>
              <w:ind w:left="140"/>
              <w:spacing w:after="0"/>
              <w:rPr>
                <w:sz w:val="20"/>
                <w:szCs w:val="20"/>
                <w:color w:val="auto"/>
              </w:rPr>
            </w:pPr>
            <w:r>
              <w:rPr>
                <w:rFonts w:ascii="Arial" w:cs="Arial" w:eastAsia="Arial" w:hAnsi="Arial"/>
                <w:sz w:val="13"/>
                <w:szCs w:val="13"/>
                <w:color w:val="auto"/>
              </w:rPr>
              <w:t>Wheelabrator</w:t>
            </w: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292</w:t>
            </w:r>
          </w:p>
        </w:tc>
        <w:tc>
          <w:tcPr>
            <w:tcW w:w="860" w:type="dxa"/>
            <w:vAlign w:val="bottom"/>
          </w:tcPr>
          <w:p>
            <w:pPr>
              <w:spacing w:after="0"/>
              <w:rPr>
                <w:sz w:val="13"/>
                <w:szCs w:val="13"/>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3"/>
                <w:szCs w:val="13"/>
                <w:color w:val="auto"/>
              </w:rPr>
              <w:t>(23)</w:t>
            </w:r>
          </w:p>
        </w:tc>
        <w:tc>
          <w:tcPr>
            <w:tcW w:w="940" w:type="dxa"/>
            <w:vAlign w:val="bottom"/>
            <w:gridSpan w:val="2"/>
          </w:tcPr>
          <w:p>
            <w:pPr>
              <w:jc w:val="right"/>
              <w:ind w:right="640"/>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13"/>
                <w:szCs w:val="13"/>
                <w:color w:val="auto"/>
              </w:rPr>
            </w:pPr>
          </w:p>
        </w:tc>
        <w:tc>
          <w:tcPr>
            <w:tcW w:w="1080" w:type="dxa"/>
            <w:vAlign w:val="bottom"/>
            <w:gridSpan w:val="2"/>
          </w:tcPr>
          <w:p>
            <w:pPr>
              <w:jc w:val="right"/>
              <w:ind w:right="780"/>
              <w:spacing w:after="0"/>
              <w:rPr>
                <w:sz w:val="20"/>
                <w:szCs w:val="20"/>
                <w:color w:val="auto"/>
              </w:rPr>
            </w:pPr>
            <w:r>
              <w:rPr>
                <w:rFonts w:ascii="Arial" w:cs="Arial" w:eastAsia="Arial" w:hAnsi="Arial"/>
                <w:sz w:val="13"/>
                <w:szCs w:val="13"/>
                <w:color w:val="auto"/>
              </w:rPr>
              <w:t>315</w:t>
            </w:r>
          </w:p>
        </w:tc>
        <w:tc>
          <w:tcPr>
            <w:tcW w:w="80" w:type="dxa"/>
            <w:vAlign w:val="bottom"/>
          </w:tcPr>
          <w:p>
            <w:pPr>
              <w:spacing w:after="0"/>
              <w:rPr>
                <w:sz w:val="13"/>
                <w:szCs w:val="13"/>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rPr>
              <w:t>10</w:t>
            </w:r>
          </w:p>
        </w:tc>
        <w:tc>
          <w:tcPr>
            <w:tcW w:w="1060" w:type="dxa"/>
            <w:vAlign w:val="bottom"/>
            <w:gridSpan w:val="2"/>
          </w:tcPr>
          <w:p>
            <w:pPr>
              <w:jc w:val="right"/>
              <w:ind w:right="800"/>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157"/>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WMRA</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8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64</w:t>
            </w:r>
          </w:p>
        </w:tc>
        <w:tc>
          <w:tcPr>
            <w:tcW w:w="9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w:t>
            </w:r>
          </w:p>
        </w:tc>
        <w:tc>
          <w:tcPr>
            <w:tcW w:w="106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3560" w:type="dxa"/>
            <w:vAlign w:val="bottom"/>
            <w:gridSpan w:val="2"/>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3"/>
                <w:szCs w:val="13"/>
                <w:color w:val="auto"/>
              </w:rPr>
              <w:t>(40)</w:t>
            </w:r>
          </w:p>
        </w:tc>
        <w:tc>
          <w:tcPr>
            <w:tcW w:w="780" w:type="dxa"/>
            <w:vAlign w:val="bottom"/>
            <w:gridSpan w:val="2"/>
          </w:tcPr>
          <w:p>
            <w:pPr>
              <w:jc w:val="right"/>
              <w:ind w:right="440"/>
              <w:spacing w:after="0"/>
              <w:rPr>
                <w:sz w:val="20"/>
                <w:szCs w:val="20"/>
                <w:color w:val="auto"/>
              </w:rPr>
            </w:pPr>
            <w:r>
              <w:rPr>
                <w:rFonts w:ascii="Arial" w:cs="Arial" w:eastAsia="Arial" w:hAnsi="Arial"/>
                <w:sz w:val="13"/>
                <w:szCs w:val="13"/>
                <w:color w:val="auto"/>
              </w:rPr>
              <w:t>(17)</w:t>
            </w:r>
          </w:p>
        </w:tc>
        <w:tc>
          <w:tcPr>
            <w:tcW w:w="940" w:type="dxa"/>
            <w:vAlign w:val="bottom"/>
            <w:gridSpan w:val="2"/>
          </w:tcPr>
          <w:p>
            <w:pPr>
              <w:jc w:val="right"/>
              <w:ind w:right="7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3"/>
                <w:szCs w:val="13"/>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3"/>
                <w:szCs w:val="13"/>
                <w:color w:val="auto"/>
              </w:rPr>
              <w:t>(26)</w:t>
            </w:r>
          </w:p>
        </w:tc>
        <w:tc>
          <w:tcPr>
            <w:tcW w:w="1060" w:type="dxa"/>
            <w:vAlign w:val="bottom"/>
            <w:gridSpan w:val="2"/>
          </w:tcPr>
          <w:p>
            <w:pPr>
              <w:jc w:val="right"/>
              <w:ind w:right="8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3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(518)</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27</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720"/>
              <w:spacing w:after="0"/>
              <w:rPr>
                <w:sz w:val="20"/>
                <w:szCs w:val="20"/>
                <w:color w:val="auto"/>
              </w:rPr>
            </w:pPr>
            <w:r>
              <w:rPr>
                <w:rFonts w:ascii="Arial" w:cs="Arial" w:eastAsia="Arial" w:hAnsi="Arial"/>
                <w:sz w:val="13"/>
                <w:szCs w:val="13"/>
                <w:color w:val="auto"/>
              </w:rPr>
              <w:t>(545)</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25</w:t>
            </w:r>
          </w:p>
        </w:tc>
        <w:tc>
          <w:tcPr>
            <w:tcW w:w="106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(570)</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gridSpan w:val="2"/>
            <w:vMerge w:val="restart"/>
          </w:tcPr>
          <w:p>
            <w:pPr>
              <w:jc w:val="right"/>
              <w:ind w:right="580"/>
              <w:spacing w:after="0"/>
              <w:rPr>
                <w:sz w:val="20"/>
                <w:szCs w:val="20"/>
                <w:color w:val="auto"/>
              </w:rPr>
            </w:pPr>
            <w:r>
              <w:rPr>
                <w:rFonts w:ascii="Arial" w:cs="Arial" w:eastAsia="Arial" w:hAnsi="Arial"/>
                <w:sz w:val="13"/>
                <w:szCs w:val="13"/>
                <w:color w:val="auto"/>
                <w:w w:val="92"/>
              </w:rPr>
              <w:t>11.1%</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gridSpan w:val="2"/>
            <w:vMerge w:val="restart"/>
          </w:tcPr>
          <w:p>
            <w:pPr>
              <w:jc w:val="right"/>
              <w:ind w:right="700"/>
              <w:spacing w:after="0"/>
              <w:rPr>
                <w:sz w:val="20"/>
                <w:szCs w:val="20"/>
                <w:color w:val="auto"/>
              </w:rPr>
            </w:pPr>
            <w:r>
              <w:rPr>
                <w:rFonts w:ascii="Arial" w:cs="Arial" w:eastAsia="Arial" w:hAnsi="Arial"/>
                <w:sz w:val="13"/>
                <w:szCs w:val="13"/>
                <w:color w:val="auto"/>
                <w:w w:val="92"/>
              </w:rPr>
              <w:t>18.7%</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56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2,254</w:t>
            </w:r>
          </w:p>
        </w:tc>
        <w:tc>
          <w:tcPr>
            <w:tcW w:w="8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$ 225</w:t>
            </w:r>
          </w:p>
        </w:tc>
        <w:tc>
          <w:tcPr>
            <w:tcW w:w="4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780"/>
              <w:spacing w:after="0"/>
              <w:rPr>
                <w:sz w:val="20"/>
                <w:szCs w:val="20"/>
                <w:color w:val="auto"/>
              </w:rPr>
            </w:pPr>
            <w:r>
              <w:rPr>
                <w:rFonts w:ascii="Arial" w:cs="Arial" w:eastAsia="Arial" w:hAnsi="Arial"/>
                <w:sz w:val="13"/>
                <w:szCs w:val="13"/>
                <w:color w:val="auto"/>
                <w:w w:val="85"/>
              </w:rPr>
              <w:t>2,029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w w:val="92"/>
              </w:rPr>
              <w:t>319</w:t>
            </w:r>
          </w:p>
        </w:tc>
        <w:tc>
          <w:tcPr>
            <w:tcW w:w="106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1,710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hanging="21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Operating segments </w:t>
      </w:r>
      <w:r>
        <w:rPr>
          <w:rFonts w:ascii="Arial" w:cs="Arial" w:eastAsia="Arial" w:hAnsi="Arial"/>
          <w:sz w:val="13"/>
          <w:szCs w:val="13"/>
          <w:color w:val="auto"/>
        </w:rPr>
        <w:t>— Increased yield on base business as a result of our pricing strategies, our continued focus on controlling costs through operating efficiencies and higher-margin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disposal volumes have improved the operating income of our geographic Groups each year during the three-year period ended December 31, 2007. Base business yield provided revenue growth for each line of business in 2007 and in 2006, and was driven primarily by our collection operations, where we experienced substantial revenue growth in every geographic operating Group for the third consecutive year. The improvements in operating income have been partially offset by the effects of declines in revenues due to lower volumes, which generally are the result of pricing competition, as well as the significant downturn in residential construction and the slowdown of the general economic environment in 2007. See additional discussion in the </w:t>
      </w:r>
      <w:r>
        <w:rPr>
          <w:rFonts w:ascii="Arial" w:cs="Arial" w:eastAsia="Arial" w:hAnsi="Arial"/>
          <w:sz w:val="13"/>
          <w:szCs w:val="13"/>
          <w:i w:val="1"/>
          <w:iCs w:val="1"/>
          <w:color w:val="auto"/>
        </w:rPr>
        <w:t xml:space="preserve">Operating Revenues </w:t>
      </w:r>
      <w:r>
        <w:rPr>
          <w:rFonts w:ascii="Arial" w:cs="Arial" w:eastAsia="Arial" w:hAnsi="Arial"/>
          <w:sz w:val="13"/>
          <w:szCs w:val="13"/>
          <w:color w:val="auto"/>
        </w:rPr>
        <w:t>section above.</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Other significant items affecting the comparability of the operating segments’ results of operations for the years ended December 31, 2007, 2006 and 2005 are summarized below:</w:t>
      </w:r>
    </w:p>
    <w:p>
      <w:pPr>
        <w:spacing w:after="0" w:line="108" w:lineRule="exact"/>
        <w:rPr>
          <w:sz w:val="20"/>
          <w:szCs w:val="20"/>
          <w:color w:val="auto"/>
        </w:rPr>
      </w:pPr>
    </w:p>
    <w:p>
      <w:pPr>
        <w:ind w:left="1080" w:right="20" w:firstLine="383"/>
        <w:spacing w:after="0" w:line="303" w:lineRule="auto"/>
        <w:rPr>
          <w:sz w:val="20"/>
          <w:szCs w:val="20"/>
          <w:color w:val="auto"/>
        </w:rPr>
      </w:pPr>
      <w:r>
        <w:rPr>
          <w:rFonts w:ascii="Arial" w:cs="Arial" w:eastAsia="Arial" w:hAnsi="Arial"/>
          <w:sz w:val="11"/>
          <w:szCs w:val="11"/>
          <w:i w:val="1"/>
          <w:iCs w:val="1"/>
          <w:color w:val="auto"/>
        </w:rPr>
        <w:t xml:space="preserve">Eastern </w:t>
      </w:r>
      <w:r>
        <w:rPr>
          <w:rFonts w:ascii="Arial" w:cs="Arial" w:eastAsia="Arial" w:hAnsi="Arial"/>
          <w:sz w:val="11"/>
          <w:szCs w:val="11"/>
          <w:color w:val="auto"/>
        </w:rPr>
        <w:t>— The Group’s operating income for the year ended December 31, 2007 includes (i) net divestiture gains of $33 million; (ii) an $18 million decrease in disposal fees</w:t>
      </w:r>
      <w:r>
        <w:rPr>
          <w:rFonts w:ascii="Arial" w:cs="Arial" w:eastAsia="Arial" w:hAnsi="Arial"/>
          <w:sz w:val="11"/>
          <w:szCs w:val="11"/>
          <w:i w:val="1"/>
          <w:iCs w:val="1"/>
          <w:color w:val="auto"/>
        </w:rPr>
        <w:t xml:space="preserve"> </w:t>
      </w:r>
      <w:r>
        <w:rPr>
          <w:rFonts w:ascii="Arial" w:cs="Arial" w:eastAsia="Arial" w:hAnsi="Arial"/>
          <w:sz w:val="11"/>
          <w:szCs w:val="11"/>
          <w:color w:val="auto"/>
        </w:rPr>
        <w:t>and taxes due to the favorable resolution of a disposal tax matter; and (iii) a reduction in landfill amortization expense as a result of changes in certain estimates related to our final capping, closure and post-closure obligations. The Group’s operating income for the year ended December 31, 2006 was negatively affected by $26 million in charges associated with</w:t>
      </w:r>
    </w:p>
    <w:p>
      <w:pPr>
        <w:ind w:left="1080" w:right="60" w:firstLine="6"/>
        <w:spacing w:after="0" w:line="255" w:lineRule="auto"/>
        <w:tabs>
          <w:tab w:leader="none" w:pos="1236"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impairment of businesses being sold as part of our divestiture program and (ii) the impairment of a landfill. The year ended December 31, 2005 was negatively affected by the recognition of $44 million in impairment charges related primarily to the Pottstown landfill. Finally, the operating results of our Eastern Group for 2006 and 2005 were negatively affected by costs incurred in connection with labor strikes. For the year ended December 31, 2006, we incurred $14 million of costs related primarily to a strike in the New York City area. The Group incurred similar costs during the first quarter of 2005 for a labor strike in New Jersey, which decreased operating income for the year ended December 31, 2005 by approximately $9 million.</w:t>
      </w:r>
    </w:p>
    <w:p>
      <w:pPr>
        <w:spacing w:after="0" w:line="73" w:lineRule="exact"/>
        <w:rPr>
          <w:sz w:val="20"/>
          <w:szCs w:val="20"/>
          <w:color w:val="auto"/>
        </w:rPr>
      </w:pPr>
    </w:p>
    <w:p>
      <w:pPr>
        <w:ind w:left="1080" w:right="180" w:firstLine="383"/>
        <w:spacing w:after="0" w:line="276" w:lineRule="auto"/>
        <w:rPr>
          <w:sz w:val="20"/>
          <w:szCs w:val="20"/>
          <w:color w:val="auto"/>
        </w:rPr>
      </w:pPr>
      <w:r>
        <w:rPr>
          <w:rFonts w:ascii="Arial" w:cs="Arial" w:eastAsia="Arial" w:hAnsi="Arial"/>
          <w:sz w:val="13"/>
          <w:szCs w:val="13"/>
          <w:i w:val="1"/>
          <w:iCs w:val="1"/>
          <w:color w:val="auto"/>
        </w:rPr>
        <w:t xml:space="preserve">Midwest </w:t>
      </w:r>
      <w:r>
        <w:rPr>
          <w:rFonts w:ascii="Arial" w:cs="Arial" w:eastAsia="Arial" w:hAnsi="Arial"/>
          <w:sz w:val="13"/>
          <w:szCs w:val="13"/>
          <w:color w:val="auto"/>
        </w:rPr>
        <w:t>— Positively affecting operating results in 2007 and in 2005 were reductions in landfill amortization expense resulting from changes in certain estimates related to</w:t>
      </w:r>
      <w:r>
        <w:rPr>
          <w:rFonts w:ascii="Arial" w:cs="Arial" w:eastAsia="Arial" w:hAnsi="Arial"/>
          <w:sz w:val="13"/>
          <w:szCs w:val="13"/>
          <w:i w:val="1"/>
          <w:iCs w:val="1"/>
          <w:color w:val="auto"/>
        </w:rPr>
        <w:t xml:space="preserve"> </w:t>
      </w:r>
      <w:r>
        <w:rPr>
          <w:rFonts w:ascii="Arial" w:cs="Arial" w:eastAsia="Arial" w:hAnsi="Arial"/>
          <w:sz w:val="13"/>
          <w:szCs w:val="13"/>
          <w:color w:val="auto"/>
        </w:rPr>
        <w:t>our final capping, closure and post-closure obligations.</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2"/>
          <w:szCs w:val="12"/>
          <w:i w:val="1"/>
          <w:iCs w:val="1"/>
          <w:color w:val="auto"/>
        </w:rPr>
        <w:t xml:space="preserve">Southern </w:t>
      </w:r>
      <w:r>
        <w:rPr>
          <w:rFonts w:ascii="Arial" w:cs="Arial" w:eastAsia="Arial" w:hAnsi="Arial"/>
          <w:sz w:val="12"/>
          <w:szCs w:val="12"/>
          <w:color w:val="auto"/>
        </w:rPr>
        <w:t>— During 2007, the Group recorded $12 million of impairment charges attributable to two of its landfills. These charges were offset by gains on divestitures of</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$11 million. During 2005, several large non-recurring type items were recognized, impacting comparisons to the other periods presented. These items include $13 million of pre-tax</w:t>
      </w:r>
    </w:p>
    <w:p>
      <w:pPr>
        <w:spacing w:after="0" w:line="1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gains recognized on the divestiture of operations during 2005 and declines in earnings related to (i) hurricanes, largely due to the temporary suspension of operations in the areas</w:t>
      </w:r>
    </w:p>
    <w:p>
      <w:pPr>
        <w:spacing w:after="0" w:line="1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affected by Hurricane Katrina; (ii) the effects of higher landfill amortization costs, generally due to reductions in landfill</w:t>
      </w:r>
    </w:p>
    <w:p>
      <w:pPr>
        <w:spacing w:after="0" w:line="28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160"/>
        <w:spacing w:after="0" w:line="276" w:lineRule="auto"/>
        <w:rPr>
          <w:sz w:val="20"/>
          <w:szCs w:val="20"/>
          <w:color w:val="auto"/>
        </w:rPr>
      </w:pPr>
      <w:r>
        <w:rPr>
          <w:rFonts w:ascii="Arial" w:cs="Arial" w:eastAsia="Arial" w:hAnsi="Arial"/>
          <w:sz w:val="13"/>
          <w:szCs w:val="13"/>
          <w:color w:val="auto"/>
        </w:rPr>
        <w:t>amortization periods to align the lives of the landfills for amortization purposes with the terms of the underlying contractual agreements supporting their operations; and (iii) higher landfill amortization expense as a result of changes in certain estimates related to our final capping, closure and post-closure obligations.</w:t>
      </w:r>
    </w:p>
    <w:p>
      <w:pPr>
        <w:spacing w:after="0" w:line="59" w:lineRule="exact"/>
        <w:rPr>
          <w:sz w:val="20"/>
          <w:szCs w:val="20"/>
          <w:color w:val="auto"/>
        </w:rPr>
      </w:pPr>
    </w:p>
    <w:p>
      <w:pPr>
        <w:ind w:left="1080" w:right="180" w:firstLine="383"/>
        <w:spacing w:after="0" w:line="371" w:lineRule="auto"/>
        <w:rPr>
          <w:sz w:val="20"/>
          <w:szCs w:val="20"/>
          <w:color w:val="auto"/>
        </w:rPr>
      </w:pPr>
      <w:r>
        <w:rPr>
          <w:rFonts w:ascii="Arial" w:cs="Arial" w:eastAsia="Arial" w:hAnsi="Arial"/>
          <w:sz w:val="11"/>
          <w:szCs w:val="11"/>
          <w:i w:val="1"/>
          <w:iCs w:val="1"/>
          <w:color w:val="auto"/>
        </w:rPr>
        <w:t xml:space="preserve">Western </w:t>
      </w:r>
      <w:r>
        <w:rPr>
          <w:rFonts w:ascii="Arial" w:cs="Arial" w:eastAsia="Arial" w:hAnsi="Arial"/>
          <w:sz w:val="11"/>
          <w:szCs w:val="11"/>
          <w:color w:val="auto"/>
        </w:rPr>
        <w:t>— The Group’s 2007 operating results were negatively affected by $37 million as a result of various labor disputes, which are discussed in the</w:t>
      </w:r>
      <w:r>
        <w:rPr>
          <w:rFonts w:ascii="Arial" w:cs="Arial" w:eastAsia="Arial" w:hAnsi="Arial"/>
          <w:sz w:val="11"/>
          <w:szCs w:val="11"/>
          <w:i w:val="1"/>
          <w:iCs w:val="1"/>
          <w:color w:val="auto"/>
        </w:rPr>
        <w:t xml:space="preserve"> Operating Expenses </w:t>
      </w:r>
      <w:r>
        <w:rPr>
          <w:rFonts w:ascii="Arial" w:cs="Arial" w:eastAsia="Arial" w:hAnsi="Arial"/>
          <w:sz w:val="11"/>
          <w:szCs w:val="11"/>
          <w:color w:val="auto"/>
        </w:rPr>
        <w:t>section above. Gains on divestitures of operations were $16 million for the year ended December 31, 2007 as compared with $48 million for 2006 and $24 million for 2005.</w:t>
      </w:r>
    </w:p>
    <w:p>
      <w:pPr>
        <w:spacing w:after="0" w:line="12" w:lineRule="exact"/>
        <w:rPr>
          <w:sz w:val="20"/>
          <w:szCs w:val="20"/>
          <w:color w:val="auto"/>
        </w:rPr>
      </w:pPr>
    </w:p>
    <w:p>
      <w:pPr>
        <w:ind w:left="1080" w:right="80" w:firstLine="383"/>
        <w:spacing w:after="0" w:line="260" w:lineRule="auto"/>
        <w:rPr>
          <w:sz w:val="20"/>
          <w:szCs w:val="20"/>
          <w:color w:val="auto"/>
        </w:rPr>
      </w:pPr>
      <w:r>
        <w:rPr>
          <w:rFonts w:ascii="Arial" w:cs="Arial" w:eastAsia="Arial" w:hAnsi="Arial"/>
          <w:sz w:val="13"/>
          <w:szCs w:val="13"/>
          <w:i w:val="1"/>
          <w:iCs w:val="1"/>
          <w:color w:val="auto"/>
        </w:rPr>
        <w:t xml:space="preserve">Wheelabrator </w:t>
      </w:r>
      <w:r>
        <w:rPr>
          <w:rFonts w:ascii="Arial" w:cs="Arial" w:eastAsia="Arial" w:hAnsi="Arial"/>
          <w:sz w:val="13"/>
          <w:szCs w:val="13"/>
          <w:color w:val="auto"/>
        </w:rPr>
        <w:t>— The decline in operating income for the year ended December 31, 2007 was driven by a $21 million charge recorded in the first quarter of 2007 for the early</w:t>
      </w:r>
      <w:r>
        <w:rPr>
          <w:rFonts w:ascii="Arial" w:cs="Arial" w:eastAsia="Arial" w:hAnsi="Arial"/>
          <w:sz w:val="13"/>
          <w:szCs w:val="13"/>
          <w:i w:val="1"/>
          <w:iCs w:val="1"/>
          <w:color w:val="auto"/>
        </w:rPr>
        <w:t xml:space="preserve"> </w:t>
      </w:r>
      <w:r>
        <w:rPr>
          <w:rFonts w:ascii="Arial" w:cs="Arial" w:eastAsia="Arial" w:hAnsi="Arial"/>
          <w:sz w:val="13"/>
          <w:szCs w:val="13"/>
          <w:color w:val="auto"/>
        </w:rPr>
        <w:t>termination of a lease agreement. The early termination was due to the Group’s purchase of an independent power production plant that it had previously operated through a lease agreement. Additionally, the termination of an operating and maintenance agreement in May 2007 resulted in a decline in revenue and operating income compared with the prior years.</w:t>
      </w:r>
    </w:p>
    <w:p>
      <w:pPr>
        <w:spacing w:after="0" w:line="70" w:lineRule="exact"/>
        <w:rPr>
          <w:sz w:val="20"/>
          <w:szCs w:val="20"/>
          <w:color w:val="auto"/>
        </w:rPr>
      </w:pPr>
    </w:p>
    <w:p>
      <w:pPr>
        <w:ind w:left="1080" w:right="180" w:firstLine="383"/>
        <w:spacing w:after="0" w:line="322" w:lineRule="auto"/>
        <w:rPr>
          <w:sz w:val="20"/>
          <w:szCs w:val="20"/>
          <w:color w:val="auto"/>
        </w:rPr>
      </w:pPr>
      <w:r>
        <w:rPr>
          <w:rFonts w:ascii="Arial" w:cs="Arial" w:eastAsia="Arial" w:hAnsi="Arial"/>
          <w:sz w:val="11"/>
          <w:szCs w:val="11"/>
          <w:i w:val="1"/>
          <w:iCs w:val="1"/>
          <w:color w:val="auto"/>
        </w:rPr>
        <w:t xml:space="preserve">WMRA </w:t>
      </w:r>
      <w:r>
        <w:rPr>
          <w:rFonts w:ascii="Arial" w:cs="Arial" w:eastAsia="Arial" w:hAnsi="Arial"/>
          <w:sz w:val="11"/>
          <w:szCs w:val="11"/>
          <w:color w:val="auto"/>
        </w:rPr>
        <w:t>— The Group’s 2007 operating income has benefited from substantial increases in market prices for commodities and $7 million of net gains on divestitures. In</w:t>
      </w:r>
      <w:r>
        <w:rPr>
          <w:rFonts w:ascii="Arial" w:cs="Arial" w:eastAsia="Arial" w:hAnsi="Arial"/>
          <w:sz w:val="11"/>
          <w:szCs w:val="11"/>
          <w:i w:val="1"/>
          <w:iCs w:val="1"/>
          <w:color w:val="auto"/>
        </w:rPr>
        <w:t xml:space="preserve"> </w:t>
      </w:r>
      <w:r>
        <w:rPr>
          <w:rFonts w:ascii="Arial" w:cs="Arial" w:eastAsia="Arial" w:hAnsi="Arial"/>
          <w:sz w:val="11"/>
          <w:szCs w:val="11"/>
          <w:color w:val="auto"/>
        </w:rPr>
        <w:t>addition, the Group has experienced significant returns from operational improvements, including an increased focus on maintaining or reducing rebates made to suppliers. During 2006, the Group recognized $10 million of charges for a loss from a divestiture and an impairment of certain under-performing operations, which were slightly more than offset by savings associated with the Group’s cost control efforts. Income from operations in our WMRA Group during 2005 includes costs related to the deployment of new software.</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Significant items affecting the comparability of the remaining components of our results of operations for the years ended December 31, 2007, 2006 and 2005 are summarized below:</w:t>
      </w:r>
    </w:p>
    <w:p>
      <w:pPr>
        <w:spacing w:after="0" w:line="119" w:lineRule="exact"/>
        <w:rPr>
          <w:sz w:val="20"/>
          <w:szCs w:val="20"/>
          <w:color w:val="auto"/>
        </w:rPr>
      </w:pPr>
    </w:p>
    <w:p>
      <w:pPr>
        <w:ind w:left="1080" w:firstLine="383"/>
        <w:spacing w:after="0" w:line="312" w:lineRule="auto"/>
        <w:rPr>
          <w:sz w:val="20"/>
          <w:szCs w:val="20"/>
          <w:color w:val="auto"/>
        </w:rPr>
      </w:pPr>
      <w:r>
        <w:rPr>
          <w:rFonts w:ascii="Arial" w:cs="Arial" w:eastAsia="Arial" w:hAnsi="Arial"/>
          <w:sz w:val="11"/>
          <w:szCs w:val="11"/>
          <w:i w:val="1"/>
          <w:iCs w:val="1"/>
          <w:color w:val="auto"/>
        </w:rPr>
        <w:t xml:space="preserve">Other </w:t>
      </w:r>
      <w:r>
        <w:rPr>
          <w:rFonts w:ascii="Arial" w:cs="Arial" w:eastAsia="Arial" w:hAnsi="Arial"/>
          <w:sz w:val="11"/>
          <w:szCs w:val="11"/>
          <w:color w:val="auto"/>
        </w:rPr>
        <w:t>— The changes in operating results for the periods presented are largely related to certain year-end adjustments recorded in consolidation related to our reportable</w:t>
      </w:r>
      <w:r>
        <w:rPr>
          <w:rFonts w:ascii="Arial" w:cs="Arial" w:eastAsia="Arial" w:hAnsi="Arial"/>
          <w:sz w:val="11"/>
          <w:szCs w:val="11"/>
          <w:i w:val="1"/>
          <w:iCs w:val="1"/>
          <w:color w:val="auto"/>
        </w:rPr>
        <w:t xml:space="preserve"> </w:t>
      </w:r>
      <w:r>
        <w:rPr>
          <w:rFonts w:ascii="Arial" w:cs="Arial" w:eastAsia="Arial" w:hAnsi="Arial"/>
          <w:sz w:val="11"/>
          <w:szCs w:val="11"/>
          <w:color w:val="auto"/>
        </w:rPr>
        <w:t>segments that were not included in the measure of segment income from operations used to assess their performance for the periods disclosed. The unfavorable change in operating results in 2007 when compared with 2006 can also be attributed, in part, to the deconsolidation of a variable interest entity in April 2006. The favorable operating results in 2005 were also significantly affected by a $39 million pre-tax gain resulting from the divestiture of one of our landfills in Ontario, Canada. This impact is included in “(Income) expense from divestitures, asset impairments and unusual items” within our Consolidated Statement of Operations. As this landfill had been divested at the time of our 2005 reorganization, historical financial information associated with its operations has not been allocated to our remaining reportable segments. Accordingly, these impacts have been included in Other.</w:t>
      </w:r>
    </w:p>
    <w:p>
      <w:pPr>
        <w:spacing w:after="0" w:line="45" w:lineRule="exact"/>
        <w:rPr>
          <w:sz w:val="20"/>
          <w:szCs w:val="20"/>
          <w:color w:val="auto"/>
        </w:rPr>
      </w:pPr>
    </w:p>
    <w:p>
      <w:pPr>
        <w:ind w:left="1080" w:firstLine="383"/>
        <w:spacing w:after="0" w:line="260" w:lineRule="auto"/>
        <w:rPr>
          <w:sz w:val="20"/>
          <w:szCs w:val="20"/>
          <w:color w:val="auto"/>
        </w:rPr>
      </w:pPr>
      <w:r>
        <w:rPr>
          <w:rFonts w:ascii="Arial" w:cs="Arial" w:eastAsia="Arial" w:hAnsi="Arial"/>
          <w:sz w:val="13"/>
          <w:szCs w:val="13"/>
          <w:i w:val="1"/>
          <w:iCs w:val="1"/>
          <w:color w:val="auto"/>
        </w:rPr>
        <w:t xml:space="preserve">Corporate and Other </w:t>
      </w:r>
      <w:r>
        <w:rPr>
          <w:rFonts w:ascii="Arial" w:cs="Arial" w:eastAsia="Arial" w:hAnsi="Arial"/>
          <w:sz w:val="13"/>
          <w:szCs w:val="13"/>
          <w:color w:val="auto"/>
        </w:rPr>
        <w:t>— In 2007 and 2006 we experienced significantly lower risk management costs largely due to our focus on safety and controlling costs. Other significant</w:t>
      </w:r>
      <w:r>
        <w:rPr>
          <w:rFonts w:ascii="Arial" w:cs="Arial" w:eastAsia="Arial" w:hAnsi="Arial"/>
          <w:sz w:val="13"/>
          <w:szCs w:val="13"/>
          <w:i w:val="1"/>
          <w:iCs w:val="1"/>
          <w:color w:val="auto"/>
        </w:rPr>
        <w:t xml:space="preserve"> </w:t>
      </w:r>
      <w:r>
        <w:rPr>
          <w:rFonts w:ascii="Arial" w:cs="Arial" w:eastAsia="Arial" w:hAnsi="Arial"/>
          <w:sz w:val="13"/>
          <w:szCs w:val="13"/>
          <w:color w:val="auto"/>
        </w:rPr>
        <w:t>items occurring in 2007 include (i) a reduction in expenses from the discontinuation of depreciation for certain enterprise-wide software that is now fully depreciated; (ii) increased spending on the support and development of our information technology, people and pricing strategic initiatives; (iii) increased labor and related benefits costs; and (iv) restructuring charges.</w:t>
      </w:r>
    </w:p>
    <w:p>
      <w:pPr>
        <w:spacing w:after="0" w:line="70" w:lineRule="exact"/>
        <w:rPr>
          <w:sz w:val="20"/>
          <w:szCs w:val="20"/>
          <w:color w:val="auto"/>
        </w:rPr>
      </w:pPr>
    </w:p>
    <w:p>
      <w:pPr>
        <w:ind w:left="1080" w:right="20" w:firstLine="383"/>
        <w:spacing w:after="0" w:line="257" w:lineRule="auto"/>
        <w:rPr>
          <w:sz w:val="20"/>
          <w:szCs w:val="20"/>
          <w:color w:val="auto"/>
        </w:rPr>
      </w:pPr>
      <w:r>
        <w:rPr>
          <w:rFonts w:ascii="Arial" w:cs="Arial" w:eastAsia="Arial" w:hAnsi="Arial"/>
          <w:sz w:val="13"/>
          <w:szCs w:val="13"/>
          <w:color w:val="auto"/>
        </w:rPr>
        <w:t xml:space="preserve">When comparing 2006 operating results with 2005, in addition to lower risk management costs, we experienced lower employee health and welfare plan costs, also as a result of our focus on controlling costs. These cost savings were largely offset by: (i) a $20 million charge recorded to recognize unrecorded obligations associated with unclaimed property, which is discussed in the </w:t>
      </w:r>
      <w:r>
        <w:rPr>
          <w:rFonts w:ascii="Arial" w:cs="Arial" w:eastAsia="Arial" w:hAnsi="Arial"/>
          <w:sz w:val="13"/>
          <w:szCs w:val="13"/>
          <w:i w:val="1"/>
          <w:iCs w:val="1"/>
          <w:color w:val="auto"/>
        </w:rPr>
        <w:t>Selling, General and Administrative</w:t>
      </w:r>
      <w:r>
        <w:rPr>
          <w:rFonts w:ascii="Arial" w:cs="Arial" w:eastAsia="Arial" w:hAnsi="Arial"/>
          <w:sz w:val="13"/>
          <w:szCs w:val="13"/>
          <w:color w:val="auto"/>
        </w:rPr>
        <w:t xml:space="preserve"> section above; (ii) increased incentive compensation expense; (iii) higher consulting fees and sales commissions primarily related to our pricing initiatives; (iv) an increase in our marketing costs due to our national advertising campaign; (v) the centralization of support functions that were provided by our Group offices prior to our 2005 reorganization; and (vi) a $26 million charge associated with an arbitration ruling against us related to a joint venture relationship that terminated in 2000.</w:t>
      </w:r>
    </w:p>
    <w:p>
      <w:pPr>
        <w:spacing w:after="0" w:line="72" w:lineRule="exact"/>
        <w:rPr>
          <w:sz w:val="20"/>
          <w:szCs w:val="20"/>
          <w:color w:val="auto"/>
        </w:rPr>
      </w:pPr>
    </w:p>
    <w:p>
      <w:pPr>
        <w:ind w:left="1080" w:firstLine="383"/>
        <w:spacing w:after="0" w:line="264" w:lineRule="auto"/>
        <w:rPr>
          <w:sz w:val="20"/>
          <w:szCs w:val="20"/>
          <w:color w:val="auto"/>
        </w:rPr>
      </w:pPr>
      <w:r>
        <w:rPr>
          <w:rFonts w:ascii="Arial" w:cs="Arial" w:eastAsia="Arial" w:hAnsi="Arial"/>
          <w:sz w:val="13"/>
          <w:szCs w:val="13"/>
          <w:color w:val="auto"/>
        </w:rPr>
        <w:t>Our 2005 operating results include impairment charges of $68 million associated with capitalized software costs and $31 million of net charges associated with various legal and divestiture matters. Also contributing to expenses during 2005 were costs at Corporate associated with our July 2005 restructuring charge and other organizational changes, which were partially offset by the associated savings at Corporate.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Components of Net Income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other major components of our income for the year ended December 31 for each respective period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400" w:type="dxa"/>
            <w:vAlign w:val="bottom"/>
            <w:vMerge w:val="restart"/>
          </w:tcPr>
          <w:p>
            <w:pPr>
              <w:jc w:val="right"/>
              <w:ind w:right="36"/>
              <w:spacing w:after="0"/>
              <w:rPr>
                <w:sz w:val="20"/>
                <w:szCs w:val="20"/>
                <w:color w:val="auto"/>
              </w:rPr>
            </w:pPr>
            <w:r>
              <w:rPr>
                <w:rFonts w:ascii="Arial" w:cs="Arial" w:eastAsia="Arial" w:hAnsi="Arial"/>
                <w:sz w:val="10"/>
                <w:szCs w:val="10"/>
                <w:b w:val="1"/>
                <w:bCs w:val="1"/>
                <w:color w:val="auto"/>
              </w:rPr>
              <w:t>2007</w:t>
            </w:r>
          </w:p>
        </w:tc>
        <w:tc>
          <w:tcPr>
            <w:tcW w:w="6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Period-to-</w:t>
            </w: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2006</w:t>
            </w:r>
          </w:p>
        </w:tc>
        <w:tc>
          <w:tcPr>
            <w:tcW w:w="6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Period-to-</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1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640" w:type="dxa"/>
            <w:vAlign w:val="bottom"/>
            <w:gridSpan w:val="3"/>
          </w:tcPr>
          <w:p>
            <w:pPr>
              <w:jc w:val="right"/>
              <w:ind w:right="800"/>
              <w:spacing w:after="0"/>
              <w:rPr>
                <w:sz w:val="20"/>
                <w:szCs w:val="20"/>
                <w:color w:val="auto"/>
              </w:rPr>
            </w:pPr>
            <w:r>
              <w:rPr>
                <w:rFonts w:ascii="Arial" w:cs="Arial" w:eastAsia="Arial" w:hAnsi="Arial"/>
                <w:sz w:val="10"/>
                <w:szCs w:val="10"/>
                <w:b w:val="1"/>
                <w:bCs w:val="1"/>
                <w:color w:val="auto"/>
              </w:rPr>
              <w:t>Period Change</w:t>
            </w:r>
          </w:p>
        </w:tc>
        <w:tc>
          <w:tcPr>
            <w:tcW w:w="4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620" w:type="dxa"/>
            <w:vAlign w:val="bottom"/>
            <w:gridSpan w:val="3"/>
          </w:tcPr>
          <w:p>
            <w:pPr>
              <w:jc w:val="right"/>
              <w:ind w:right="780"/>
              <w:spacing w:after="0"/>
              <w:rPr>
                <w:sz w:val="20"/>
                <w:szCs w:val="20"/>
                <w:color w:val="auto"/>
              </w:rPr>
            </w:pPr>
            <w:r>
              <w:rPr>
                <w:rFonts w:ascii="Arial" w:cs="Arial" w:eastAsia="Arial" w:hAnsi="Arial"/>
                <w:sz w:val="10"/>
                <w:szCs w:val="10"/>
                <w:b w:val="1"/>
                <w:bCs w:val="1"/>
                <w:color w:val="auto"/>
              </w:rPr>
              <w:t>Period Change</w:t>
            </w:r>
          </w:p>
        </w:tc>
        <w:tc>
          <w:tcPr>
            <w:tcW w:w="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1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w w:val="93"/>
              </w:rPr>
              <w:t>$  (521)</w:t>
            </w:r>
          </w:p>
        </w:tc>
        <w:tc>
          <w:tcPr>
            <w:tcW w:w="760" w:type="dxa"/>
            <w:vAlign w:val="bottom"/>
            <w:shd w:val="clear" w:color="auto" w:fill="CCEEFF"/>
          </w:tcPr>
          <w:p>
            <w:pPr>
              <w:jc w:val="right"/>
              <w:ind w:right="398"/>
              <w:spacing w:after="0"/>
              <w:rPr>
                <w:sz w:val="20"/>
                <w:szCs w:val="20"/>
                <w:color w:val="auto"/>
              </w:rPr>
            </w:pPr>
            <w:r>
              <w:rPr>
                <w:rFonts w:ascii="Arial" w:cs="Arial" w:eastAsia="Arial" w:hAnsi="Arial"/>
                <w:sz w:val="13"/>
                <w:szCs w:val="13"/>
                <w:color w:val="auto"/>
                <w:w w:val="96"/>
              </w:rPr>
              <w:t>$  24</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w w:val="99"/>
              </w:rPr>
              <w:t>(4.4)%</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w w:val="93"/>
              </w:rPr>
              <w:t>$  (545)</w:t>
            </w:r>
          </w:p>
        </w:tc>
        <w:tc>
          <w:tcPr>
            <w:tcW w:w="780" w:type="dxa"/>
            <w:vAlign w:val="bottom"/>
            <w:shd w:val="clear" w:color="auto" w:fill="CCEEFF"/>
          </w:tcPr>
          <w:p>
            <w:pPr>
              <w:jc w:val="right"/>
              <w:ind w:right="378"/>
              <w:spacing w:after="0"/>
              <w:rPr>
                <w:sz w:val="20"/>
                <w:szCs w:val="20"/>
                <w:color w:val="auto"/>
              </w:rPr>
            </w:pPr>
            <w:r>
              <w:rPr>
                <w:rFonts w:ascii="Arial" w:cs="Arial" w:eastAsia="Arial" w:hAnsi="Arial"/>
                <w:sz w:val="13"/>
                <w:szCs w:val="13"/>
                <w:color w:val="auto"/>
                <w:w w:val="94"/>
              </w:rPr>
              <w:t>$ (49)</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9.9%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  (496)</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Interest income</w:t>
            </w:r>
          </w:p>
        </w:tc>
        <w:tc>
          <w:tcPr>
            <w:tcW w:w="1060" w:type="dxa"/>
            <w:vAlign w:val="bottom"/>
            <w:gridSpan w:val="2"/>
          </w:tcPr>
          <w:p>
            <w:pPr>
              <w:jc w:val="right"/>
              <w:ind w:right="660"/>
              <w:spacing w:after="0"/>
              <w:rPr>
                <w:sz w:val="20"/>
                <w:szCs w:val="20"/>
                <w:color w:val="auto"/>
              </w:rPr>
            </w:pPr>
            <w:r>
              <w:rPr>
                <w:rFonts w:ascii="Arial" w:cs="Arial" w:eastAsia="Arial" w:hAnsi="Arial"/>
                <w:sz w:val="13"/>
                <w:szCs w:val="13"/>
                <w:color w:val="auto"/>
              </w:rPr>
              <w:t>47</w:t>
            </w:r>
          </w:p>
        </w:tc>
        <w:tc>
          <w:tcPr>
            <w:tcW w:w="760" w:type="dxa"/>
            <w:vAlign w:val="bottom"/>
          </w:tcPr>
          <w:p>
            <w:pPr>
              <w:jc w:val="right"/>
              <w:ind w:right="358"/>
              <w:spacing w:after="0"/>
              <w:rPr>
                <w:sz w:val="20"/>
                <w:szCs w:val="20"/>
                <w:color w:val="auto"/>
              </w:rPr>
            </w:pPr>
            <w:r>
              <w:rPr>
                <w:rFonts w:ascii="Arial" w:cs="Arial" w:eastAsia="Arial" w:hAnsi="Arial"/>
                <w:sz w:val="13"/>
                <w:szCs w:val="13"/>
                <w:color w:val="auto"/>
              </w:rPr>
              <w:t>(22)</w:t>
            </w:r>
          </w:p>
        </w:tc>
        <w:tc>
          <w:tcPr>
            <w:tcW w:w="880" w:type="dxa"/>
            <w:vAlign w:val="bottom"/>
            <w:gridSpan w:val="2"/>
          </w:tcPr>
          <w:p>
            <w:pPr>
              <w:jc w:val="right"/>
              <w:ind w:right="6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660"/>
              <w:spacing w:after="0"/>
              <w:rPr>
                <w:sz w:val="20"/>
                <w:szCs w:val="20"/>
                <w:color w:val="auto"/>
              </w:rPr>
            </w:pPr>
            <w:r>
              <w:rPr>
                <w:rFonts w:ascii="Arial" w:cs="Arial" w:eastAsia="Arial" w:hAnsi="Arial"/>
                <w:sz w:val="13"/>
                <w:szCs w:val="13"/>
                <w:color w:val="auto"/>
              </w:rPr>
              <w:t>69</w:t>
            </w:r>
          </w:p>
        </w:tc>
        <w:tc>
          <w:tcPr>
            <w:tcW w:w="780" w:type="dxa"/>
            <w:vAlign w:val="bottom"/>
          </w:tcPr>
          <w:p>
            <w:pPr>
              <w:jc w:val="right"/>
              <w:ind w:right="418"/>
              <w:spacing w:after="0"/>
              <w:rPr>
                <w:sz w:val="20"/>
                <w:szCs w:val="20"/>
                <w:color w:val="auto"/>
              </w:rPr>
            </w:pPr>
            <w:r>
              <w:rPr>
                <w:rFonts w:ascii="Arial" w:cs="Arial" w:eastAsia="Arial" w:hAnsi="Arial"/>
                <w:sz w:val="13"/>
                <w:szCs w:val="13"/>
                <w:color w:val="auto"/>
              </w:rPr>
              <w:t>38</w:t>
            </w:r>
          </w:p>
        </w:tc>
        <w:tc>
          <w:tcPr>
            <w:tcW w:w="840" w:type="dxa"/>
            <w:vAlign w:val="bottom"/>
            <w:gridSpan w:val="2"/>
          </w:tcPr>
          <w:p>
            <w:pPr>
              <w:jc w:val="right"/>
              <w:ind w:right="60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Equity in net losses of unconsolidated entities</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(35)</w:t>
            </w:r>
          </w:p>
        </w:tc>
        <w:tc>
          <w:tcPr>
            <w:tcW w:w="760" w:type="dxa"/>
            <w:vAlign w:val="bottom"/>
            <w:shd w:val="clear" w:color="auto" w:fill="CCEEFF"/>
          </w:tcPr>
          <w:p>
            <w:pPr>
              <w:jc w:val="right"/>
              <w:ind w:right="398"/>
              <w:spacing w:after="0"/>
              <w:rPr>
                <w:sz w:val="20"/>
                <w:szCs w:val="20"/>
                <w:color w:val="auto"/>
              </w:rPr>
            </w:pPr>
            <w:r>
              <w:rPr>
                <w:rFonts w:ascii="Arial" w:cs="Arial" w:eastAsia="Arial" w:hAnsi="Arial"/>
                <w:sz w:val="13"/>
                <w:szCs w:val="13"/>
                <w:color w:val="auto"/>
              </w:rPr>
              <w:t>1</w:t>
            </w: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(2.8)</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(36)</w:t>
            </w:r>
          </w:p>
        </w:tc>
        <w:tc>
          <w:tcPr>
            <w:tcW w:w="780" w:type="dxa"/>
            <w:vAlign w:val="bottom"/>
            <w:shd w:val="clear" w:color="auto" w:fill="CCEEFF"/>
          </w:tcPr>
          <w:p>
            <w:pPr>
              <w:jc w:val="right"/>
              <w:ind w:right="418"/>
              <w:spacing w:after="0"/>
              <w:rPr>
                <w:sz w:val="20"/>
                <w:szCs w:val="20"/>
                <w:color w:val="auto"/>
              </w:rPr>
            </w:pPr>
            <w:r>
              <w:rPr>
                <w:rFonts w:ascii="Arial" w:cs="Arial" w:eastAsia="Arial" w:hAnsi="Arial"/>
                <w:sz w:val="13"/>
                <w:szCs w:val="13"/>
                <w:color w:val="auto"/>
              </w:rPr>
              <w:t>71</w:t>
            </w:r>
          </w:p>
        </w:tc>
        <w:tc>
          <w:tcPr>
            <w:tcW w:w="8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Minority interest</w:t>
            </w:r>
          </w:p>
        </w:tc>
        <w:tc>
          <w:tcPr>
            <w:tcW w:w="1060" w:type="dxa"/>
            <w:vAlign w:val="bottom"/>
            <w:gridSpan w:val="2"/>
          </w:tcPr>
          <w:p>
            <w:pPr>
              <w:jc w:val="right"/>
              <w:ind w:right="620"/>
              <w:spacing w:after="0"/>
              <w:rPr>
                <w:sz w:val="20"/>
                <w:szCs w:val="20"/>
                <w:color w:val="auto"/>
              </w:rPr>
            </w:pPr>
            <w:r>
              <w:rPr>
                <w:rFonts w:ascii="Arial" w:cs="Arial" w:eastAsia="Arial" w:hAnsi="Arial"/>
                <w:sz w:val="13"/>
                <w:szCs w:val="13"/>
                <w:color w:val="auto"/>
              </w:rPr>
              <w:t>(46)</w:t>
            </w:r>
          </w:p>
        </w:tc>
        <w:tc>
          <w:tcPr>
            <w:tcW w:w="760" w:type="dxa"/>
            <w:vAlign w:val="bottom"/>
          </w:tcPr>
          <w:p>
            <w:pPr>
              <w:jc w:val="right"/>
              <w:ind w:right="358"/>
              <w:spacing w:after="0"/>
              <w:rPr>
                <w:sz w:val="20"/>
                <w:szCs w:val="20"/>
                <w:color w:val="auto"/>
              </w:rPr>
            </w:pPr>
            <w:r>
              <w:rPr>
                <w:rFonts w:ascii="Arial" w:cs="Arial" w:eastAsia="Arial" w:hAnsi="Arial"/>
                <w:sz w:val="13"/>
                <w:szCs w:val="13"/>
                <w:color w:val="auto"/>
              </w:rPr>
              <w:t>(2)</w:t>
            </w:r>
          </w:p>
        </w:tc>
        <w:tc>
          <w:tcPr>
            <w:tcW w:w="880" w:type="dxa"/>
            <w:vAlign w:val="bottom"/>
            <w:gridSpan w:val="2"/>
          </w:tcPr>
          <w:p>
            <w:pPr>
              <w:jc w:val="right"/>
              <w:ind w:right="620"/>
              <w:spacing w:after="0"/>
              <w:rPr>
                <w:sz w:val="20"/>
                <w:szCs w:val="20"/>
                <w:color w:val="auto"/>
              </w:rPr>
            </w:pPr>
            <w:r>
              <w:rPr>
                <w:rFonts w:ascii="Arial" w:cs="Arial" w:eastAsia="Arial" w:hAnsi="Arial"/>
                <w:sz w:val="13"/>
                <w:szCs w:val="13"/>
                <w:color w:val="auto"/>
              </w:rPr>
              <w:t>4.5</w:t>
            </w:r>
          </w:p>
        </w:tc>
        <w:tc>
          <w:tcPr>
            <w:tcW w:w="1060" w:type="dxa"/>
            <w:vAlign w:val="bottom"/>
            <w:gridSpan w:val="2"/>
          </w:tcPr>
          <w:p>
            <w:pPr>
              <w:jc w:val="right"/>
              <w:ind w:right="620"/>
              <w:spacing w:after="0"/>
              <w:rPr>
                <w:sz w:val="20"/>
                <w:szCs w:val="20"/>
                <w:color w:val="auto"/>
              </w:rPr>
            </w:pPr>
            <w:r>
              <w:rPr>
                <w:rFonts w:ascii="Arial" w:cs="Arial" w:eastAsia="Arial" w:hAnsi="Arial"/>
                <w:sz w:val="13"/>
                <w:szCs w:val="13"/>
                <w:color w:val="auto"/>
              </w:rPr>
              <w:t>(44)</w:t>
            </w:r>
          </w:p>
        </w:tc>
        <w:tc>
          <w:tcPr>
            <w:tcW w:w="780" w:type="dxa"/>
            <w:vAlign w:val="bottom"/>
          </w:tcPr>
          <w:p>
            <w:pPr>
              <w:jc w:val="right"/>
              <w:ind w:right="418"/>
              <w:spacing w:after="0"/>
              <w:rPr>
                <w:sz w:val="20"/>
                <w:szCs w:val="20"/>
                <w:color w:val="auto"/>
              </w:rPr>
            </w:pPr>
            <w:r>
              <w:rPr>
                <w:rFonts w:ascii="Arial" w:cs="Arial" w:eastAsia="Arial" w:hAnsi="Arial"/>
                <w:sz w:val="13"/>
                <w:szCs w:val="13"/>
                <w:color w:val="auto"/>
              </w:rPr>
              <w:t>4</w:t>
            </w:r>
          </w:p>
        </w:tc>
        <w:tc>
          <w:tcPr>
            <w:tcW w:w="840" w:type="dxa"/>
            <w:vAlign w:val="bottom"/>
            <w:gridSpan w:val="2"/>
          </w:tcPr>
          <w:p>
            <w:pPr>
              <w:jc w:val="right"/>
              <w:ind w:right="560"/>
              <w:spacing w:after="0"/>
              <w:rPr>
                <w:sz w:val="20"/>
                <w:szCs w:val="20"/>
                <w:color w:val="auto"/>
              </w:rPr>
            </w:pPr>
            <w:r>
              <w:rPr>
                <w:rFonts w:ascii="Arial" w:cs="Arial" w:eastAsia="Arial" w:hAnsi="Arial"/>
                <w:sz w:val="13"/>
                <w:szCs w:val="13"/>
                <w:color w:val="auto"/>
                <w:w w:val="97"/>
              </w:rPr>
              <w:t>(8.3)</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4</w:t>
            </w:r>
          </w:p>
        </w:tc>
        <w:tc>
          <w:tcPr>
            <w:tcW w:w="760" w:type="dxa"/>
            <w:vAlign w:val="bottom"/>
            <w:shd w:val="clear" w:color="auto" w:fill="CCEEFF"/>
          </w:tcPr>
          <w:p>
            <w:pPr>
              <w:jc w:val="right"/>
              <w:ind w:right="398"/>
              <w:spacing w:after="0"/>
              <w:rPr>
                <w:sz w:val="20"/>
                <w:szCs w:val="20"/>
                <w:color w:val="auto"/>
              </w:rPr>
            </w:pPr>
            <w:r>
              <w:rPr>
                <w:rFonts w:ascii="Arial" w:cs="Arial" w:eastAsia="Arial" w:hAnsi="Arial"/>
                <w:sz w:val="13"/>
                <w:szCs w:val="13"/>
                <w:color w:val="auto"/>
              </w:rPr>
              <w:t>3</w:t>
            </w:r>
          </w:p>
        </w:tc>
        <w:tc>
          <w:tcPr>
            <w:tcW w:w="88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1</w:t>
            </w:r>
          </w:p>
        </w:tc>
        <w:tc>
          <w:tcPr>
            <w:tcW w:w="780" w:type="dxa"/>
            <w:vAlign w:val="bottom"/>
            <w:shd w:val="clear" w:color="auto" w:fill="CCEEFF"/>
          </w:tcPr>
          <w:p>
            <w:pPr>
              <w:jc w:val="right"/>
              <w:ind w:right="378"/>
              <w:spacing w:after="0"/>
              <w:rPr>
                <w:sz w:val="20"/>
                <w:szCs w:val="20"/>
                <w:color w:val="auto"/>
              </w:rPr>
            </w:pPr>
            <w:r>
              <w:rPr>
                <w:rFonts w:ascii="Arial" w:cs="Arial" w:eastAsia="Arial" w:hAnsi="Arial"/>
                <w:sz w:val="13"/>
                <w:szCs w:val="13"/>
                <w:color w:val="auto"/>
              </w:rPr>
              <w:t>(1)</w:t>
            </w:r>
          </w:p>
        </w:tc>
        <w:tc>
          <w:tcPr>
            <w:tcW w:w="8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5"/>
        </w:trPr>
        <w:tc>
          <w:tcPr>
            <w:tcW w:w="412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060" w:type="dxa"/>
            <w:vAlign w:val="bottom"/>
            <w:gridSpan w:val="2"/>
          </w:tcPr>
          <w:p>
            <w:pPr>
              <w:jc w:val="right"/>
              <w:ind w:right="660"/>
              <w:spacing w:after="0"/>
              <w:rPr>
                <w:sz w:val="20"/>
                <w:szCs w:val="20"/>
                <w:color w:val="auto"/>
              </w:rPr>
            </w:pPr>
            <w:r>
              <w:rPr>
                <w:rFonts w:ascii="Arial" w:cs="Arial" w:eastAsia="Arial" w:hAnsi="Arial"/>
                <w:sz w:val="13"/>
                <w:szCs w:val="13"/>
                <w:color w:val="auto"/>
              </w:rPr>
              <w:t>540</w:t>
            </w:r>
          </w:p>
        </w:tc>
        <w:tc>
          <w:tcPr>
            <w:tcW w:w="760" w:type="dxa"/>
            <w:vAlign w:val="bottom"/>
          </w:tcPr>
          <w:p>
            <w:pPr>
              <w:jc w:val="right"/>
              <w:ind w:right="398"/>
              <w:spacing w:after="0"/>
              <w:rPr>
                <w:sz w:val="20"/>
                <w:szCs w:val="20"/>
                <w:color w:val="auto"/>
              </w:rPr>
            </w:pPr>
            <w:r>
              <w:rPr>
                <w:rFonts w:ascii="Arial" w:cs="Arial" w:eastAsia="Arial" w:hAnsi="Arial"/>
                <w:sz w:val="13"/>
                <w:szCs w:val="13"/>
                <w:color w:val="auto"/>
              </w:rPr>
              <w:t>215</w:t>
            </w:r>
          </w:p>
        </w:tc>
        <w:tc>
          <w:tcPr>
            <w:tcW w:w="880" w:type="dxa"/>
            <w:vAlign w:val="bottom"/>
            <w:gridSpan w:val="2"/>
          </w:tcPr>
          <w:p>
            <w:pPr>
              <w:jc w:val="right"/>
              <w:ind w:right="6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660"/>
              <w:spacing w:after="0"/>
              <w:rPr>
                <w:sz w:val="20"/>
                <w:szCs w:val="20"/>
                <w:color w:val="auto"/>
              </w:rPr>
            </w:pPr>
            <w:r>
              <w:rPr>
                <w:rFonts w:ascii="Arial" w:cs="Arial" w:eastAsia="Arial" w:hAnsi="Arial"/>
                <w:sz w:val="13"/>
                <w:szCs w:val="13"/>
                <w:color w:val="auto"/>
              </w:rPr>
              <w:t>325</w:t>
            </w:r>
          </w:p>
        </w:tc>
        <w:tc>
          <w:tcPr>
            <w:tcW w:w="780" w:type="dxa"/>
            <w:vAlign w:val="bottom"/>
          </w:tcPr>
          <w:p>
            <w:pPr>
              <w:jc w:val="right"/>
              <w:ind w:right="418"/>
              <w:spacing w:after="0"/>
              <w:rPr>
                <w:sz w:val="20"/>
                <w:szCs w:val="20"/>
                <w:color w:val="auto"/>
              </w:rPr>
            </w:pPr>
            <w:r>
              <w:rPr>
                <w:rFonts w:ascii="Arial" w:cs="Arial" w:eastAsia="Arial" w:hAnsi="Arial"/>
                <w:sz w:val="13"/>
                <w:szCs w:val="13"/>
                <w:color w:val="auto"/>
              </w:rPr>
              <w:t>415</w:t>
            </w:r>
          </w:p>
        </w:tc>
        <w:tc>
          <w:tcPr>
            <w:tcW w:w="840" w:type="dxa"/>
            <w:vAlign w:val="bottom"/>
            <w:gridSpan w:val="2"/>
          </w:tcPr>
          <w:p>
            <w:pPr>
              <w:jc w:val="right"/>
              <w:ind w:right="60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900" w:right="280" w:hanging="213"/>
        <w:spacing w:after="0" w:line="276" w:lineRule="auto"/>
        <w:tabs>
          <w:tab w:leader="none" w:pos="9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 Refer to the explanations of these items below for a discussion of the relationship between current year and prior year activity.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variances in interest expense during the reported periods are generally related to (i) decreases in our outstanding debt balances due to our repayment of borrowings throughout 2006 and 2007; (ii) the maturity of higher rate debt that we have effectively refinanced at lower interest rates; and (ii) fluctuations in market interest rates, which influence the impacts of our interest rate swaps and the interest rates of our variable rate debt.</w:t>
      </w:r>
    </w:p>
    <w:p>
      <w:pPr>
        <w:spacing w:after="0" w:line="67"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We use interest rate derivative contracts to manage our exposure to changes in market interest rates. The combined impact of active and terminated interest rate swap agreements resulted in a net interest expense increase of $11 million for 2007 and $4 million for 2006. For the year ended December 31, 2005, interest rate swaps reduced net interest expense by $39 million. The significant decline in the benefit recognized as a result of our active interest rate swap agreements is attributable to the increase in short-term market interest rates. Our periodic interest obligations under our active interest rate swap agreements are based on a spread from the three-month LIBOR, which has varied significantly during the three-year period ended December 31, 2007. Specifically, the three-month LIBOR was as low as 2.75% in early 2005 and as high as 5.62% in the second half of 2007. Included in the $11 million net increase in interest expense realized in 2007 for terminated and active interest rate swap agreements is a $37 million reduction in interest expense related to the amortization of terminated swaps. Our terminated interest rate swaps are expected to reduce interest expense by $33 million in 2008, $19 million in 2009 and $12 million in 2010.</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Income</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2007, decreases in our average cash and investment balances on a year-over-year basis resulted in a decline in interest income. In addition, interest income for 2006 included interest income of $14 million realized on tax refunds received from the IRS for the settlement of several federal audits. When comparing 2006 with 2005, the increase in interest income was due to the 2006 tax refund and an increase in our investments in variable rate demand notes and auction rate securities throughout the year.</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 in Net Losses of Unconsolidated Entities</w:t>
      </w:r>
    </w:p>
    <w:p>
      <w:pPr>
        <w:spacing w:after="0" w:line="96"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 xml:space="preserve">Our “Equity in net losses of unconsolidated entities” is primarily related to our equity interests in two coal-based synthetic fuel production facilities. Our equity in the losses of these facilities was $42 million for the year ended December 31, 2007, $41 million for the year ended December 31, 2006 and $112 million for the year ended December 31, 2005. The equity losses generated by the facilities are offset by the tax benefit realized as a result of these investments as discussed below within </w:t>
      </w:r>
      <w:r>
        <w:rPr>
          <w:rFonts w:ascii="Arial" w:cs="Arial" w:eastAsia="Arial" w:hAnsi="Arial"/>
          <w:sz w:val="12"/>
          <w:szCs w:val="12"/>
          <w:i w:val="1"/>
          <w:iCs w:val="1"/>
          <w:color w:val="auto"/>
        </w:rPr>
        <w:t>Provision for (benefit from) income taxes.</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equity in the losses of the facilities in both 2007 and 2006 have been significantly affected by our expectations for a partial phase-out of Section 45K credits on our contractual obligations associated with funding the facilities’ losses. The IRS has not yet published the phase-out percentage that must be applied to Section 45K tax credits generated in 2007. Accordingly, we have used market information for oil prices to estimate that we expect 69% of Section 45K tax credits generated in 2007 to be phased-out. The IRS establishment of the final phase-out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60"/>
        <w:spacing w:after="0" w:line="276" w:lineRule="auto"/>
        <w:rPr>
          <w:sz w:val="20"/>
          <w:szCs w:val="20"/>
          <w:color w:val="auto"/>
        </w:rPr>
      </w:pPr>
      <w:r>
        <w:rPr>
          <w:rFonts w:ascii="Arial" w:cs="Arial" w:eastAsia="Arial" w:hAnsi="Arial"/>
          <w:sz w:val="13"/>
          <w:szCs w:val="13"/>
          <w:color w:val="auto"/>
        </w:rPr>
        <w:t>Section 45K credits generated during 2007 could further impact the equity in losses of the facilities we recognized for 2007. Any subsequent adjustment to the amount of realizable Section 45K credits and related equity losses will be reflected in our 2008 Consolidated Financial Statements.</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As of December 31, 2006, we had estimated that 36% of Section 45K tax credits generated during 2006 would be phased out. On April 4, 2007, the IRS established the final phase-out of Section 45K credits generated during 2006 at approximately 33%. We did not experience any phase-out of Section 45K tax credits in 2005.</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addition, the facilities temporarily suspended operations in May 2006, reducing our obligations associated with funding the facilities’ losses for the year ended December 31, 2006. During the second quarter of 2006, we also recognized a cumulative adjustment necessary to appropriately reflect our life-to-date obligations to fund the costs of operating the facilities and the value of our investment.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Minority Interest</w:t>
      </w:r>
    </w:p>
    <w:p>
      <w:pPr>
        <w:spacing w:after="0" w:line="96"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On December 31, 2003, we consolidated two limited liability companies that own three waste-to-energy facilities operated by our Wheelabrator Group as a result of our implementation of FIN 46(R). Our minority interest expense for 2007, 2006 and 2005 is primarily related to the other members’ equity interest in the earnings of these entities. Additional information related to these investments is included in Note 19 to the Consolidated Financial Statements.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Provision for (Benefit from) Income Taxes</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We recorded a provision for income taxes of $540 million in 2007 and $325 million in 2006, and a benefit from income taxes of $90 million in 2005. These tax provisions resulted in an effective income tax rate of approximately 31.7%, 22.1% and (8.2)% for each of the three years, respectively. The comparability of our reported income taxes for the years ended December 31, 2007, 2006 and 2005 is primarily affected by (i) increases in our income before taxes and (ii) differences in the impacts of tax audit settlements and non-conventional fuel tax credits, which are discussed in more detail below. Other items that have affected our reported income taxes during the reported periods include the following:</w:t>
      </w:r>
    </w:p>
    <w:p>
      <w:pPr>
        <w:spacing w:after="0" w:line="53" w:lineRule="exact"/>
        <w:rPr>
          <w:sz w:val="20"/>
          <w:szCs w:val="20"/>
          <w:color w:val="auto"/>
        </w:rPr>
      </w:pPr>
    </w:p>
    <w:p>
      <w:pPr>
        <w:ind w:left="1280" w:right="16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Canadian tax rate changes and the related revaluation of deferred tax balances resulted in a $30 million tax benefit during 2007 compared with a $20 million tax benefit in 2006 and $4 million of additional income tax expense in 2005.</w:t>
      </w:r>
    </w:p>
    <w:p>
      <w:pPr>
        <w:spacing w:after="0" w:line="49"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recorded reductions to income tax expense of $9 million in 2007, $20 million in 2006 and $16 million in 2005 due to state-related tax items. These impacts were generally due to either (i) the revaluation of net accumulated deferred tax liabilities as a result of a decrease in our effective state tax rate or (ii) reductions in our valuation allowance related to the expected utilization of state net operating loss and credit carryforwards.</w:t>
      </w:r>
    </w:p>
    <w:p>
      <w:pPr>
        <w:spacing w:after="0" w:line="57" w:lineRule="exact"/>
        <w:rPr>
          <w:rFonts w:ascii="Arial" w:cs="Arial" w:eastAsia="Arial" w:hAnsi="Arial"/>
          <w:sz w:val="13"/>
          <w:szCs w:val="13"/>
          <w:color w:val="auto"/>
        </w:rPr>
      </w:pPr>
    </w:p>
    <w:p>
      <w:pPr>
        <w:ind w:left="1280" w:right="18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 2005, we recognized $34 million of tax expense for the repatriation of net accumulated earnings and capital from certain of our Canadian subsidiaries in accordance with the American Jobs Creation Act of 2004.</w:t>
      </w:r>
    </w:p>
    <w:p>
      <w:pPr>
        <w:spacing w:after="0" w:line="59"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impacts of tax audit settlements and non-conventional fuel tax credits, which are the items that had the most significant impacts on the comparability of our effective tax rate during the years ended December 31, 2007, 2006 and 2005, are summarized below:</w:t>
      </w:r>
    </w:p>
    <w:p>
      <w:pPr>
        <w:spacing w:after="0" w:line="59" w:lineRule="exact"/>
        <w:rPr>
          <w:sz w:val="20"/>
          <w:szCs w:val="20"/>
          <w:color w:val="auto"/>
        </w:rPr>
      </w:pPr>
    </w:p>
    <w:p>
      <w:pPr>
        <w:ind w:left="1280" w:hanging="190"/>
        <w:spacing w:after="0"/>
        <w:tabs>
          <w:tab w:leader="none" w:pos="128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Tax audit settlements </w:t>
      </w:r>
      <w:r>
        <w:rPr>
          <w:rFonts w:ascii="Arial" w:cs="Arial" w:eastAsia="Arial" w:hAnsi="Arial"/>
          <w:sz w:val="12"/>
          <w:szCs w:val="12"/>
          <w:color w:val="auto"/>
        </w:rPr>
        <w:t>— When excluding the effect of interest income, the settlement of various federal and state tax audits resulted in a reduction in income tax expense of</w:t>
      </w:r>
    </w:p>
    <w:p>
      <w:pPr>
        <w:spacing w:after="0" w:line="26" w:lineRule="exact"/>
        <w:rPr>
          <w:rFonts w:ascii="Arial" w:cs="Arial" w:eastAsia="Arial" w:hAnsi="Arial"/>
          <w:sz w:val="12"/>
          <w:szCs w:val="12"/>
          <w:color w:val="auto"/>
        </w:rPr>
      </w:pPr>
    </w:p>
    <w:p>
      <w:pPr>
        <w:ind w:left="1280" w:right="120"/>
        <w:spacing w:after="0" w:line="258" w:lineRule="auto"/>
        <w:rPr>
          <w:rFonts w:ascii="Arial" w:cs="Arial" w:eastAsia="Arial" w:hAnsi="Arial"/>
          <w:sz w:val="12"/>
          <w:szCs w:val="12"/>
          <w:color w:val="auto"/>
        </w:rPr>
      </w:pPr>
      <w:r>
        <w:rPr>
          <w:rFonts w:ascii="Arial" w:cs="Arial" w:eastAsia="Arial" w:hAnsi="Arial"/>
          <w:sz w:val="13"/>
          <w:szCs w:val="13"/>
          <w:color w:val="auto"/>
        </w:rPr>
        <w:t>$40 million for the year ended December 31, 2007 (representing a 2.3 percentage point reduction in our effective tax rate), $149 million for the year ended December 31, 2006 (representing a 10.1 percentage point reduction in our effective tax rate) and $398 million for the year ended December 31, 2005 (representing a 36.4 percentage point reduction in our effective tax rate).</w:t>
      </w:r>
    </w:p>
    <w:p>
      <w:pPr>
        <w:spacing w:after="0" w:line="60" w:lineRule="exact"/>
        <w:rPr>
          <w:rFonts w:ascii="Arial" w:cs="Arial" w:eastAsia="Arial" w:hAnsi="Arial"/>
          <w:sz w:val="12"/>
          <w:szCs w:val="12"/>
          <w:color w:val="auto"/>
        </w:rPr>
      </w:pPr>
    </w:p>
    <w:p>
      <w:pPr>
        <w:jc w:val="both"/>
        <w:ind w:left="1280" w:hanging="190"/>
        <w:spacing w:after="0" w:line="264"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Non-conventional fuel tax credits </w:t>
      </w:r>
      <w:r>
        <w:rPr>
          <w:rFonts w:ascii="Arial" w:cs="Arial" w:eastAsia="Arial" w:hAnsi="Arial"/>
          <w:sz w:val="13"/>
          <w:szCs w:val="13"/>
          <w:color w:val="auto"/>
        </w:rPr>
        <w:t>— Non-conventional fuel tax credits are derived from our landfills and our investments in the two coal-based, synthetic fuel production facilities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discussed in the </w:t>
      </w:r>
      <w:r>
        <w:rPr>
          <w:rFonts w:ascii="Arial" w:cs="Arial" w:eastAsia="Arial" w:hAnsi="Arial"/>
          <w:sz w:val="13"/>
          <w:szCs w:val="13"/>
          <w:i w:val="1"/>
          <w:iCs w:val="1"/>
          <w:color w:val="auto"/>
        </w:rPr>
        <w:t>Equity in net losses of unconsolidated entities</w:t>
      </w:r>
      <w:r>
        <w:rPr>
          <w:rFonts w:ascii="Arial" w:cs="Arial" w:eastAsia="Arial" w:hAnsi="Arial"/>
          <w:sz w:val="13"/>
          <w:szCs w:val="13"/>
          <w:color w:val="auto"/>
        </w:rPr>
        <w:t xml:space="preserve"> section above. Pursuant to Section 45K of the Internal Revenue Code, these tax credits are phased-out if the price of oil exceeds an annual average as determined by the IRS. Based on an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880"/>
        <w:spacing w:after="0" w:line="322" w:lineRule="auto"/>
        <w:rPr>
          <w:sz w:val="20"/>
          <w:szCs w:val="20"/>
          <w:color w:val="auto"/>
        </w:rPr>
      </w:pPr>
      <w:r>
        <w:rPr>
          <w:rFonts w:ascii="Arial" w:cs="Arial" w:eastAsia="Arial" w:hAnsi="Arial"/>
          <w:sz w:val="11"/>
          <w:szCs w:val="11"/>
          <w:color w:val="auto"/>
        </w:rPr>
        <w:t>estimated phase-out of 69% of Section 45K tax credits generated during 2007, our income taxes for the year ended December 31, 2007 include $50 million of non-conventional fuel tax credits. These tax credits resulted in a 2.9 percentage point reduction in our effective tax rate for the year ended December 31, 2007. Our income taxes for the year ended December 31, 2006 included $71 million of non-conventional fuel tax credits, resulting in a 4.8 percentage point reduction in our effective tax rate, and our income taxes for the year ended December 31, 2005 included $133 million of non-conventional fuel tax credits, resulting in a 12.2 percentage point reduction in our effective tax rate.</w:t>
      </w:r>
    </w:p>
    <w:p>
      <w:pPr>
        <w:spacing w:after="0" w:line="39" w:lineRule="exact"/>
        <w:rPr>
          <w:sz w:val="20"/>
          <w:szCs w:val="20"/>
          <w:color w:val="auto"/>
        </w:rPr>
      </w:pPr>
    </w:p>
    <w:p>
      <w:pPr>
        <w:ind w:left="680" w:right="980" w:firstLine="399"/>
        <w:spacing w:after="0" w:line="276" w:lineRule="auto"/>
        <w:rPr>
          <w:sz w:val="20"/>
          <w:szCs w:val="20"/>
          <w:color w:val="auto"/>
        </w:rPr>
      </w:pPr>
      <w:r>
        <w:rPr>
          <w:rFonts w:ascii="Arial" w:cs="Arial" w:eastAsia="Arial" w:hAnsi="Arial"/>
          <w:sz w:val="13"/>
          <w:szCs w:val="13"/>
          <w:color w:val="auto"/>
        </w:rPr>
        <w:t>Non-conventional fuel tax credits expired at the end of 2007 pursuant to Section 45K of the Internal Revenue Code. Accordingly, at current income levels, we expect that our 2008 effective tax rate will be approximately 40% without the benefit of the tax credits.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right="820" w:firstLine="399"/>
        <w:spacing w:after="0" w:line="282" w:lineRule="auto"/>
        <w:rPr>
          <w:sz w:val="20"/>
          <w:szCs w:val="20"/>
          <w:color w:val="auto"/>
        </w:rPr>
      </w:pPr>
      <w:r>
        <w:rPr>
          <w:rFonts w:ascii="Arial" w:cs="Arial" w:eastAsia="Arial" w:hAnsi="Arial"/>
          <w:sz w:val="12"/>
          <w:szCs w:val="12"/>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 (ii) additions to and maintenance of our trucking fleet; (iii) construction, refurbishments and improvements at waste-to-energy and materials recovery facilities; (iv) the container and equipment needs of our operations; (v) capping, closure and post-closure activities at our landfills; and (vi) repaying debt and discharging other obligations. We also are committed to providing our shareholders with a return on their investment through our capital allocation program that provides for dividend payments, share repurchases and investments in acquisitions that we believe will be accretive and provide continued growth in our business.</w:t>
      </w:r>
    </w:p>
    <w:p>
      <w:pPr>
        <w:spacing w:after="0" w:line="59" w:lineRule="exact"/>
        <w:rPr>
          <w:sz w:val="20"/>
          <w:szCs w:val="20"/>
          <w:color w:val="auto"/>
        </w:rPr>
      </w:pPr>
    </w:p>
    <w:p>
      <w:pPr>
        <w:jc w:val="both"/>
        <w:ind w:left="680" w:right="820" w:firstLine="399"/>
        <w:spacing w:after="0" w:line="296" w:lineRule="auto"/>
        <w:rPr>
          <w:sz w:val="20"/>
          <w:szCs w:val="20"/>
          <w:color w:val="auto"/>
        </w:rPr>
      </w:pPr>
      <w:r>
        <w:rPr>
          <w:rFonts w:ascii="Arial" w:cs="Arial" w:eastAsia="Arial" w:hAnsi="Arial"/>
          <w:sz w:val="12"/>
          <w:szCs w:val="12"/>
          <w:color w:val="auto"/>
        </w:rPr>
        <w:t>The American Jobs Creation Act of 2004 allowed U.S. companies to repatriate earnings from their foreign subsidiaries at a reduced tax rate during 2005. Our Chief Executive Officer and Board of Directors approved a domestic reinvestment plan under which we repatriated $496 million of our accumulated foreign earnings and capital in 2005. The repatriation was funded with cash on hand and bank borrowings. For a discussion of the tax impact and bank borrowings see Notes 7 and 8 to the Consolidated Financial Statements.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Short-Term Investments, Restricted Trust and Escrow Accounts and Debt Obligations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is a summary of our cash, short-term investments available for use, restricted trust and escrow accounts and debt balances as of December 31, 2007 and December 31,</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2006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Short-term investments available for use</w:t>
            </w:r>
          </w:p>
        </w:tc>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cash, cash equivalents and short-term investments available for use</w:t>
            </w:r>
          </w:p>
        </w:tc>
        <w:tc>
          <w:tcPr>
            <w:tcW w:w="39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Restricted trust and escrow accounts:</w:t>
            </w:r>
          </w:p>
        </w:tc>
        <w:tc>
          <w:tcPr>
            <w:tcW w:w="39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Tax-exempt bond funds</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ind w:left="140"/>
              <w:spacing w:after="0"/>
              <w:rPr>
                <w:sz w:val="20"/>
                <w:szCs w:val="20"/>
                <w:color w:val="auto"/>
              </w:rPr>
            </w:pPr>
            <w:r>
              <w:rPr>
                <w:rFonts w:ascii="Arial" w:cs="Arial" w:eastAsia="Arial" w:hAnsi="Arial"/>
                <w:sz w:val="13"/>
                <w:szCs w:val="13"/>
                <w:color w:val="auto"/>
              </w:rPr>
              <w:t>Closure, post-closure and environmental remediation funds</w:t>
            </w:r>
          </w:p>
        </w:tc>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service funds</w:t>
            </w:r>
          </w:p>
        </w:tc>
        <w:tc>
          <w:tcPr>
            <w:tcW w:w="3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ind w:left="140"/>
              <w:spacing w:after="0"/>
              <w:rPr>
                <w:sz w:val="20"/>
                <w:szCs w:val="20"/>
                <w:color w:val="auto"/>
              </w:rPr>
            </w:pPr>
            <w:r>
              <w:rPr>
                <w:rFonts w:ascii="Arial" w:cs="Arial" w:eastAsia="Arial" w:hAnsi="Arial"/>
                <w:sz w:val="13"/>
                <w:szCs w:val="13"/>
                <w:color w:val="auto"/>
              </w:rPr>
              <w:t>Other</w:t>
            </w:r>
          </w:p>
        </w:tc>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restricted trust and escrow accounts</w:t>
            </w:r>
          </w:p>
        </w:tc>
        <w:tc>
          <w:tcPr>
            <w:tcW w:w="39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Debt:</w:t>
            </w:r>
          </w:p>
        </w:tc>
        <w:tc>
          <w:tcPr>
            <w:tcW w:w="39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ind w:left="140"/>
              <w:spacing w:after="0"/>
              <w:rPr>
                <w:sz w:val="20"/>
                <w:szCs w:val="20"/>
                <w:color w:val="auto"/>
              </w:rPr>
            </w:pPr>
            <w:r>
              <w:rPr>
                <w:rFonts w:ascii="Arial" w:cs="Arial" w:eastAsia="Arial" w:hAnsi="Arial"/>
                <w:sz w:val="13"/>
                <w:szCs w:val="13"/>
                <w:color w:val="auto"/>
              </w:rPr>
              <w:t>Long-term portion</w:t>
            </w:r>
          </w:p>
        </w:tc>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8,008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7,495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debt</w:t>
            </w:r>
          </w:p>
        </w:tc>
        <w:tc>
          <w:tcPr>
            <w:tcW w:w="39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00" w:type="dxa"/>
            <w:vAlign w:val="bottom"/>
            <w:vMerge w:val="restart"/>
          </w:tcPr>
          <w:p>
            <w:pPr>
              <w:spacing w:after="0"/>
              <w:rPr>
                <w:sz w:val="20"/>
                <w:szCs w:val="20"/>
                <w:color w:val="auto"/>
              </w:rPr>
            </w:pPr>
            <w:r>
              <w:rPr>
                <w:rFonts w:ascii="Arial" w:cs="Arial" w:eastAsia="Arial" w:hAnsi="Arial"/>
                <w:sz w:val="13"/>
                <w:szCs w:val="13"/>
                <w:color w:val="auto"/>
                <w:w w:val="97"/>
              </w:rPr>
              <w:t>Increase in carrying value of debt due to hedge accounting for interest rate swaps</w:t>
            </w:r>
          </w:p>
        </w:tc>
        <w:tc>
          <w:tcPr>
            <w:tcW w:w="3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4600" w:type="dxa"/>
            <w:vAlign w:val="bottom"/>
            <w:vMerge w:val="continue"/>
          </w:tcPr>
          <w:p>
            <w:pPr>
              <w:spacing w:after="0"/>
              <w:rPr>
                <w:sz w:val="15"/>
                <w:szCs w:val="15"/>
                <w:color w:val="auto"/>
              </w:rPr>
            </w:pPr>
          </w:p>
        </w:tc>
        <w:tc>
          <w:tcPr>
            <w:tcW w:w="39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900" w:type="dxa"/>
            <w:vAlign w:val="bottom"/>
          </w:tcPr>
          <w:p>
            <w:pPr>
              <w:jc w:val="right"/>
              <w:ind w:right="3374"/>
              <w:spacing w:after="0"/>
              <w:rPr>
                <w:sz w:val="20"/>
                <w:szCs w:val="20"/>
                <w:color w:val="auto"/>
              </w:rPr>
            </w:pPr>
            <w:r>
              <w:rPr>
                <w:rFonts w:ascii="Arial" w:cs="Arial" w:eastAsia="Arial" w:hAnsi="Arial"/>
                <w:sz w:val="13"/>
                <w:szCs w:val="13"/>
                <w:color w:val="auto"/>
              </w:rPr>
              <w:t>41</w:t>
            </w: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00" w:type="dxa"/>
            <w:vAlign w:val="bottom"/>
            <w:tcBorders>
              <w:bottom w:val="single" w:sz="8" w:color="808080"/>
            </w:tcBorders>
          </w:tcPr>
          <w:p>
            <w:pPr>
              <w:spacing w:after="0"/>
              <w:rPr>
                <w:sz w:val="14"/>
                <w:szCs w:val="14"/>
                <w:color w:val="auto"/>
              </w:rPr>
            </w:pPr>
          </w:p>
        </w:tc>
        <w:tc>
          <w:tcPr>
            <w:tcW w:w="39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Cash and cash equivalents </w:t>
      </w:r>
      <w:r>
        <w:rPr>
          <w:rFonts w:ascii="Arial" w:cs="Arial" w:eastAsia="Arial" w:hAnsi="Arial"/>
          <w:sz w:val="13"/>
          <w:szCs w:val="13"/>
          <w:color w:val="auto"/>
        </w:rPr>
        <w:t>— Cash and cash equivalents consist primarily of cash on deposit, certificates of deposit, money market accounts, and investment grade commercial paper</w:t>
      </w:r>
      <w:r>
        <w:rPr>
          <w:rFonts w:ascii="Arial" w:cs="Arial" w:eastAsia="Arial" w:hAnsi="Arial"/>
          <w:sz w:val="13"/>
          <w:szCs w:val="13"/>
          <w:i w:val="1"/>
          <w:iCs w:val="1"/>
          <w:color w:val="auto"/>
        </w:rPr>
        <w:t xml:space="preserve"> </w:t>
      </w:r>
      <w:r>
        <w:rPr>
          <w:rFonts w:ascii="Arial" w:cs="Arial" w:eastAsia="Arial" w:hAnsi="Arial"/>
          <w:sz w:val="13"/>
          <w:szCs w:val="13"/>
          <w:color w:val="auto"/>
        </w:rPr>
        <w:t>purchased with original maturities of three months or less.</w:t>
      </w:r>
    </w:p>
    <w:p>
      <w:pPr>
        <w:spacing w:after="0" w:line="59"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i w:val="1"/>
          <w:iCs w:val="1"/>
          <w:color w:val="auto"/>
        </w:rPr>
        <w:t xml:space="preserve">Short-term investments available for use </w:t>
      </w:r>
      <w:r>
        <w:rPr>
          <w:rFonts w:ascii="Arial" w:cs="Arial" w:eastAsia="Arial" w:hAnsi="Arial"/>
          <w:sz w:val="12"/>
          <w:szCs w:val="12"/>
          <w:color w:val="auto"/>
        </w:rPr>
        <w:t>— Periodically, we have invested in auction rate securities and variable rate demand notes, which are debt instruments with long-term</w:t>
      </w:r>
      <w:r>
        <w:rPr>
          <w:rFonts w:ascii="Arial" w:cs="Arial" w:eastAsia="Arial" w:hAnsi="Arial"/>
          <w:sz w:val="12"/>
          <w:szCs w:val="12"/>
          <w:i w:val="1"/>
          <w:iCs w:val="1"/>
          <w:color w:val="auto"/>
        </w:rPr>
        <w:t xml:space="preserve"> </w:t>
      </w:r>
      <w:r>
        <w:rPr>
          <w:rFonts w:ascii="Arial" w:cs="Arial" w:eastAsia="Arial" w:hAnsi="Arial"/>
          <w:sz w:val="12"/>
          <w:szCs w:val="12"/>
          <w:color w:val="auto"/>
        </w:rPr>
        <w:t>scheduled maturities and periodic interest rate reset dates. The interest rate reset mechanism for these instruments results in a periodic remarketing of the underlying securities through an auction process. Due to the liquidity provided by the interest rate reset mechanism and the short-term nature of our investment in these securities, they have been classified as current assets in our Consolidated Balance Sheets. Due to the decline in our overall cash balances near the end of 2007, we did not hold any of these investments as of December 31, 2007.</w:t>
      </w:r>
    </w:p>
    <w:p>
      <w:pPr>
        <w:spacing w:after="0" w:line="53"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i w:val="1"/>
          <w:iCs w:val="1"/>
          <w:color w:val="auto"/>
        </w:rPr>
        <w:t xml:space="preserve">Restricted trust and escrow accounts </w:t>
      </w:r>
      <w:r>
        <w:rPr>
          <w:rFonts w:ascii="Arial" w:cs="Arial" w:eastAsia="Arial" w:hAnsi="Arial"/>
          <w:sz w:val="12"/>
          <w:szCs w:val="12"/>
          <w:color w:val="auto"/>
        </w:rPr>
        <w:t>— Restricted trust and escrow accounts consist primarily of funds held in trust for the construction of various facilities or repayment of our debt</w:t>
      </w:r>
      <w:r>
        <w:rPr>
          <w:rFonts w:ascii="Arial" w:cs="Arial" w:eastAsia="Arial" w:hAnsi="Arial"/>
          <w:sz w:val="12"/>
          <w:szCs w:val="12"/>
          <w:i w:val="1"/>
          <w:iCs w:val="1"/>
          <w:color w:val="auto"/>
        </w:rPr>
        <w:t xml:space="preserve"> </w:t>
      </w:r>
      <w:r>
        <w:rPr>
          <w:rFonts w:ascii="Arial" w:cs="Arial" w:eastAsia="Arial" w:hAnsi="Arial"/>
          <w:sz w:val="12"/>
          <w:szCs w:val="12"/>
          <w:color w:val="auto"/>
        </w:rPr>
        <w:t>obligations, funds deposited for purposes of settling landfill closure, post-closure and environmental remediation obligations and insurance escrow deposits. These balances are primarily included within long-term “Other assets” in our Consolidated Balance Sheets. See Note 3 to the Consolidated Financial Statements for additional discussion.</w:t>
      </w:r>
    </w:p>
    <w:p>
      <w:pPr>
        <w:spacing w:after="0" w:line="5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Debt </w:t>
      </w:r>
      <w:r>
        <w:rPr>
          <w:rFonts w:ascii="Arial" w:cs="Arial" w:eastAsia="Arial" w:hAnsi="Arial"/>
          <w:sz w:val="13"/>
          <w:szCs w:val="13"/>
          <w:color w:val="auto"/>
        </w:rPr>
        <w:t>— We use long-term borrowings in addition to the cash we generate from operations as part of our overall financial strategy to support and grow our business. We primarily use</w:t>
      </w:r>
      <w:r>
        <w:rPr>
          <w:rFonts w:ascii="Arial" w:cs="Arial" w:eastAsia="Arial" w:hAnsi="Arial"/>
          <w:sz w:val="13"/>
          <w:szCs w:val="13"/>
          <w:i w:val="1"/>
          <w:iCs w:val="1"/>
          <w:color w:val="auto"/>
        </w:rPr>
        <w:t xml:space="preserve"> </w:t>
      </w:r>
      <w:r>
        <w:rPr>
          <w:rFonts w:ascii="Arial" w:cs="Arial" w:eastAsia="Arial" w:hAnsi="Arial"/>
          <w:sz w:val="13"/>
          <w:szCs w:val="13"/>
          <w:color w:val="auto"/>
        </w:rPr>
        <w:t>senior notes and tax-exempt bonds to borrow on a long-term basis, but also use other instruments and facilities when appropriate. The components of our long-term borrowings as of December 31, 2007 are described in Note 7 to the Consolidated Financial Statements.</w:t>
      </w:r>
    </w:p>
    <w:p>
      <w:pPr>
        <w:spacing w:after="0" w:line="67"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Changes in our outstanding debt balances from December 31, 2006 to December 31, 2007 can primarily be attributed to (i) the cash repayment of $1,200 million of outstanding borrowings at their scheduled maturities; (ii) $944 million of cash borrowings, generally to refinance amounts repaid in cash during the year; (iii) non-cash proceeds from tax-exempt borrowings, net of principal payments made directly from trust funds of $144 million; (iv) a $53 million increase in the carrying value of our debt due to hedge accounting for interest rate swaps; and (v) the impacts of accounting for other non-cash changes in our balances due to foreign currency translation, interest and capital leases.</w:t>
      </w:r>
    </w:p>
    <w:p>
      <w:pPr>
        <w:spacing w:after="0" w:line="53"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have approximately $1.2 billion of scheduled debt maturities during the next twelve months. We have classified approximately $840 million of these borrowings as long-term as of December 31, 2007 based on our intent and ability to refinance these borrowings on a long-term basis.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Flow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cash flows for the year ended December 31 for each respective period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2,439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2,540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2,391</w:t>
            </w:r>
          </w:p>
        </w:tc>
        <w:tc>
          <w:tcPr>
            <w:tcW w:w="0" w:type="dxa"/>
            <w:vAlign w:val="bottom"/>
          </w:tcPr>
          <w:p>
            <w:pPr>
              <w:spacing w:after="0"/>
              <w:rPr>
                <w:sz w:val="1"/>
                <w:szCs w:val="1"/>
                <w:color w:val="auto"/>
              </w:rPr>
            </w:pPr>
          </w:p>
        </w:tc>
      </w:tr>
      <w:tr>
        <w:trPr>
          <w:trHeight w:val="29"/>
        </w:trPr>
        <w:tc>
          <w:tcPr>
            <w:tcW w:w="73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(761)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(788)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(1,062)</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(1,946)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(1,803)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(1,090)</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80" w:firstLine="399"/>
        <w:spacing w:after="0" w:line="289" w:lineRule="auto"/>
        <w:rPr>
          <w:sz w:val="20"/>
          <w:szCs w:val="20"/>
          <w:color w:val="auto"/>
        </w:rPr>
      </w:pPr>
      <w:r>
        <w:rPr>
          <w:rFonts w:ascii="Arial" w:cs="Arial" w:eastAsia="Arial" w:hAnsi="Arial"/>
          <w:sz w:val="12"/>
          <w:szCs w:val="12"/>
          <w:color w:val="auto"/>
        </w:rPr>
        <w:t>Net Cash Provided by Operating Activities — The comparability of our operating cash flows for the periods presented is affected by our adoption of SFAS No. 123(R) on January 1, 2006. SFAS No. 123(R) requires reductions in income taxes payable attributable to excess tax benefits associated with equity-based transactions to be included in cash flows from financing activities, which are discussed below. Prior to adopting SFAS No. 123(R), our excess tax benefits associated with equity-based transactions were included within cash flows from operating activities as a change in “Accounts payable and accrued liabilities.” During 2005, these excess tax benefits improved our operating cash flows by approximately $17 million.</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most significant items affecting the comparison of our operating cash flows for 2007 and 2006 are summarized below:</w:t>
      </w:r>
    </w:p>
    <w:p>
      <w:pPr>
        <w:spacing w:after="0" w:line="96" w:lineRule="exact"/>
        <w:rPr>
          <w:sz w:val="20"/>
          <w:szCs w:val="20"/>
          <w:color w:val="auto"/>
        </w:rPr>
      </w:pPr>
    </w:p>
    <w:p>
      <w:pPr>
        <w:ind w:left="1280" w:right="8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i w:val="1"/>
          <w:iCs w:val="1"/>
          <w:color w:val="auto"/>
        </w:rPr>
        <w:t xml:space="preserve">Earnings improvements </w:t>
      </w:r>
      <w:r>
        <w:rPr>
          <w:rFonts w:ascii="Arial" w:cs="Arial" w:eastAsia="Arial" w:hAnsi="Arial"/>
          <w:sz w:val="13"/>
          <w:szCs w:val="13"/>
          <w:color w:val="auto"/>
        </w:rPr>
        <w:t>— Our income from operations, net of depreciation and amortization, increased by $150 million, on a year-over-year basis, which positively affected our</w:t>
      </w:r>
      <w:r>
        <w:rPr>
          <w:rFonts w:ascii="Arial" w:cs="Arial" w:eastAsia="Arial" w:hAnsi="Arial"/>
          <w:sz w:val="13"/>
          <w:szCs w:val="13"/>
          <w:i w:val="1"/>
          <w:iCs w:val="1"/>
          <w:color w:val="auto"/>
        </w:rPr>
        <w:t xml:space="preserve"> </w:t>
      </w:r>
      <w:r>
        <w:rPr>
          <w:rFonts w:ascii="Arial" w:cs="Arial" w:eastAsia="Arial" w:hAnsi="Arial"/>
          <w:sz w:val="13"/>
          <w:szCs w:val="13"/>
          <w:color w:val="auto"/>
        </w:rPr>
        <w:t>cash flows from operations in 2007.</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120" w:hanging="190"/>
        <w:spacing w:after="0" w:line="264"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i w:val="1"/>
          <w:iCs w:val="1"/>
          <w:color w:val="auto"/>
        </w:rPr>
        <w:t xml:space="preserve">Decreased income tax payments and refunds — </w:t>
      </w:r>
      <w:r>
        <w:rPr>
          <w:rFonts w:ascii="Arial" w:cs="Arial" w:eastAsia="Arial" w:hAnsi="Arial"/>
          <w:sz w:val="13"/>
          <w:szCs w:val="13"/>
          <w:color w:val="auto"/>
        </w:rPr>
        <w:t>Cash paid for income taxes, net of excess tax benefits associated with equity-based transactions, was approximately $80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lower on a year-over-year basis, largely due to excess tax payments in 2006, which reduced our estimated tax payment made in the third quarter of 2007. Cash tax refunds attributable to audit settlements decreased by approximately $40 million on a year-over-year basis.</w:t>
      </w:r>
    </w:p>
    <w:p>
      <w:pPr>
        <w:spacing w:after="0" w:line="57" w:lineRule="exact"/>
        <w:rPr>
          <w:rFonts w:ascii="Arial" w:cs="Arial" w:eastAsia="Arial" w:hAnsi="Arial"/>
          <w:sz w:val="13"/>
          <w:szCs w:val="13"/>
          <w:color w:val="auto"/>
        </w:rPr>
      </w:pPr>
    </w:p>
    <w:p>
      <w:pPr>
        <w:ind w:left="1280" w:right="140" w:hanging="190"/>
        <w:spacing w:after="0" w:line="260"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i w:val="1"/>
          <w:iCs w:val="1"/>
          <w:color w:val="auto"/>
        </w:rPr>
        <w:t xml:space="preserve">Risk management assets and liabilities — </w:t>
      </w:r>
      <w:r>
        <w:rPr>
          <w:rFonts w:ascii="Arial" w:cs="Arial" w:eastAsia="Arial" w:hAnsi="Arial"/>
          <w:sz w:val="13"/>
          <w:szCs w:val="13"/>
          <w:color w:val="auto"/>
        </w:rPr>
        <w:t>During 2007, we have been able to reduce risk management liabilities by approximately $80 million, primarily as a result of reduced</w:t>
      </w:r>
      <w:r>
        <w:rPr>
          <w:rFonts w:ascii="Arial" w:cs="Arial" w:eastAsia="Arial" w:hAnsi="Arial"/>
          <w:sz w:val="13"/>
          <w:szCs w:val="13"/>
          <w:i w:val="1"/>
          <w:iCs w:val="1"/>
          <w:color w:val="auto"/>
        </w:rPr>
        <w:t xml:space="preserve"> </w:t>
      </w:r>
      <w:r>
        <w:rPr>
          <w:rFonts w:ascii="Arial" w:cs="Arial" w:eastAsia="Arial" w:hAnsi="Arial"/>
          <w:sz w:val="13"/>
          <w:szCs w:val="13"/>
          <w:color w:val="auto"/>
        </w:rPr>
        <w:t>actuarial projections of claim losses for auto and general liability and worker’s compensation claims, which can be attributed to our continued focus on safety and reduced accident and injury rates. While this non-cash reserve reduction has had a positive impact on income from operations, it did not have a significant impact on our cash flow from operations.</w:t>
      </w:r>
    </w:p>
    <w:p>
      <w:pPr>
        <w:spacing w:after="0" w:line="59"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i w:val="1"/>
          <w:iCs w:val="1"/>
          <w:color w:val="auto"/>
        </w:rPr>
        <w:t xml:space="preserve">Trade receivables — </w:t>
      </w:r>
      <w:r>
        <w:rPr>
          <w:rFonts w:ascii="Arial" w:cs="Arial" w:eastAsia="Arial" w:hAnsi="Arial"/>
          <w:sz w:val="13"/>
          <w:szCs w:val="13"/>
          <w:color w:val="auto"/>
        </w:rPr>
        <w:t>The change in our receivables balances, net of effects of acquisitions and divestitures, negatively affected the comparison of our cash flows from operations</w:t>
      </w:r>
      <w:r>
        <w:rPr>
          <w:rFonts w:ascii="Arial" w:cs="Arial" w:eastAsia="Arial" w:hAnsi="Arial"/>
          <w:sz w:val="13"/>
          <w:szCs w:val="13"/>
          <w:i w:val="1"/>
          <w:iCs w:val="1"/>
          <w:color w:val="auto"/>
        </w:rPr>
        <w:t xml:space="preserve"> </w:t>
      </w:r>
      <w:r>
        <w:rPr>
          <w:rFonts w:ascii="Arial" w:cs="Arial" w:eastAsia="Arial" w:hAnsi="Arial"/>
          <w:sz w:val="13"/>
          <w:szCs w:val="13"/>
          <w:color w:val="auto"/>
        </w:rPr>
        <w:t>by approximately $70 million. This decline is primarily attributable to increased trade receivables when comparing 2007 and 2006 as compared to decreased trade receivables when comparing 2006 to 2005.</w:t>
      </w:r>
    </w:p>
    <w:p>
      <w:pPr>
        <w:spacing w:after="0" w:line="57" w:lineRule="exact"/>
        <w:rPr>
          <w:rFonts w:ascii="Arial" w:cs="Arial" w:eastAsia="Arial" w:hAnsi="Arial"/>
          <w:sz w:val="13"/>
          <w:szCs w:val="13"/>
          <w:color w:val="auto"/>
        </w:rPr>
      </w:pPr>
    </w:p>
    <w:p>
      <w:pPr>
        <w:ind w:left="1280" w:right="100" w:hanging="190"/>
        <w:spacing w:after="0" w:line="264"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i w:val="1"/>
          <w:iCs w:val="1"/>
          <w:color w:val="auto"/>
        </w:rPr>
        <w:t xml:space="preserve">Increased bonus payments — </w:t>
      </w:r>
      <w:r>
        <w:rPr>
          <w:rFonts w:ascii="Arial" w:cs="Arial" w:eastAsia="Arial" w:hAnsi="Arial"/>
          <w:sz w:val="13"/>
          <w:szCs w:val="13"/>
          <w:color w:val="auto"/>
        </w:rPr>
        <w:t>Our bonus payments for 2006, which were paid in the first quarter of 2007, were higher than bonus payments for 2005 paid in 2006 due to the</w:t>
      </w:r>
      <w:r>
        <w:rPr>
          <w:rFonts w:ascii="Arial" w:cs="Arial" w:eastAsia="Arial" w:hAnsi="Arial"/>
          <w:sz w:val="13"/>
          <w:szCs w:val="13"/>
          <w:i w:val="1"/>
          <w:iCs w:val="1"/>
          <w:color w:val="auto"/>
        </w:rPr>
        <w:t xml:space="preserve"> </w:t>
      </w:r>
      <w:r>
        <w:rPr>
          <w:rFonts w:ascii="Arial" w:cs="Arial" w:eastAsia="Arial" w:hAnsi="Arial"/>
          <w:sz w:val="13"/>
          <w:szCs w:val="13"/>
          <w:color w:val="auto"/>
        </w:rPr>
        <w:t>relative strength of our financial performance against incentive plan measures in 2006 as compared with 2005. The comparative changes in our liabilities for bonuses negatively affected the comparison of our cash flow from operations by approximately $60 million.</w:t>
      </w:r>
    </w:p>
    <w:p>
      <w:pPr>
        <w:spacing w:after="0" w:line="57"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i w:val="1"/>
          <w:iCs w:val="1"/>
          <w:color w:val="auto"/>
        </w:rPr>
        <w:t xml:space="preserve">Liabilities for unclaimed property </w:t>
      </w:r>
      <w:r>
        <w:rPr>
          <w:rFonts w:ascii="Arial" w:cs="Arial" w:eastAsia="Arial" w:hAnsi="Arial"/>
          <w:sz w:val="13"/>
          <w:szCs w:val="13"/>
          <w:color w:val="auto"/>
        </w:rPr>
        <w:t>— In 2007, we made significant cash payments for our obligations associated with unclaimed property, reducing our liabilities. In 2006, our</w:t>
      </w:r>
      <w:r>
        <w:rPr>
          <w:rFonts w:ascii="Arial" w:cs="Arial" w:eastAsia="Arial" w:hAnsi="Arial"/>
          <w:sz w:val="13"/>
          <w:szCs w:val="13"/>
          <w:i w:val="1"/>
          <w:iCs w:val="1"/>
          <w:color w:val="auto"/>
        </w:rPr>
        <w:t xml:space="preserve"> </w:t>
      </w:r>
      <w:r>
        <w:rPr>
          <w:rFonts w:ascii="Arial" w:cs="Arial" w:eastAsia="Arial" w:hAnsi="Arial"/>
          <w:sz w:val="13"/>
          <w:szCs w:val="13"/>
          <w:color w:val="auto"/>
        </w:rPr>
        <w:t>liabilities for unclaimed property increased, primarily due to the charge to earnings required to fully record our obligations. The changes in our recorded obligations for unclaimed property negatively affected the comparison of our cash flow from operations by approximately $30 million.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most significant items affecting the comparison of our operating cash flows for 2006 and 2005 are summarized below:</w:t>
      </w:r>
    </w:p>
    <w:p>
      <w:pPr>
        <w:spacing w:after="0" w:line="96" w:lineRule="exact"/>
        <w:rPr>
          <w:sz w:val="20"/>
          <w:szCs w:val="20"/>
          <w:color w:val="auto"/>
        </w:rPr>
      </w:pPr>
    </w:p>
    <w:p>
      <w:pPr>
        <w:ind w:left="1280" w:right="34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i w:val="1"/>
          <w:iCs w:val="1"/>
          <w:color w:val="auto"/>
        </w:rPr>
        <w:t xml:space="preserve">Earnings improvements </w:t>
      </w:r>
      <w:r>
        <w:rPr>
          <w:rFonts w:ascii="Arial" w:cs="Arial" w:eastAsia="Arial" w:hAnsi="Arial"/>
          <w:sz w:val="13"/>
          <w:szCs w:val="13"/>
          <w:color w:val="auto"/>
        </w:rPr>
        <w:t>— Our income from operations, net of depreciation and amortization, increased by $292 million, on a year-over-year basis. This increase positively</w:t>
      </w:r>
      <w:r>
        <w:rPr>
          <w:rFonts w:ascii="Arial" w:cs="Arial" w:eastAsia="Arial" w:hAnsi="Arial"/>
          <w:sz w:val="13"/>
          <w:szCs w:val="13"/>
          <w:i w:val="1"/>
          <w:iCs w:val="1"/>
          <w:color w:val="auto"/>
        </w:rPr>
        <w:t xml:space="preserve"> </w:t>
      </w:r>
      <w:r>
        <w:rPr>
          <w:rFonts w:ascii="Arial" w:cs="Arial" w:eastAsia="Arial" w:hAnsi="Arial"/>
          <w:sz w:val="13"/>
          <w:szCs w:val="13"/>
          <w:color w:val="auto"/>
        </w:rPr>
        <w:t>affected our cash flows from operations in 2006.</w:t>
      </w:r>
    </w:p>
    <w:p>
      <w:pPr>
        <w:spacing w:after="0" w:line="49" w:lineRule="exact"/>
        <w:rPr>
          <w:rFonts w:ascii="Arial" w:cs="Arial" w:eastAsia="Arial" w:hAnsi="Arial"/>
          <w:sz w:val="13"/>
          <w:szCs w:val="13"/>
          <w:color w:val="auto"/>
        </w:rPr>
      </w:pPr>
    </w:p>
    <w:p>
      <w:pPr>
        <w:jc w:val="both"/>
        <w:ind w:left="1280" w:right="40" w:hanging="190"/>
        <w:spacing w:after="0" w:line="289" w:lineRule="auto"/>
        <w:tabs>
          <w:tab w:leader="none" w:pos="1280" w:val="left"/>
        </w:tabs>
        <w:numPr>
          <w:ilvl w:val="0"/>
          <w:numId w:val="32"/>
        </w:numPr>
        <w:rPr>
          <w:rFonts w:ascii="Arial" w:cs="Arial" w:eastAsia="Arial" w:hAnsi="Arial"/>
          <w:sz w:val="12"/>
          <w:szCs w:val="12"/>
          <w:color w:val="auto"/>
        </w:rPr>
      </w:pPr>
      <w:r>
        <w:rPr>
          <w:rFonts w:ascii="Arial" w:cs="Arial" w:eastAsia="Arial" w:hAnsi="Arial"/>
          <w:sz w:val="12"/>
          <w:szCs w:val="12"/>
          <w:i w:val="1"/>
          <w:iCs w:val="1"/>
          <w:color w:val="auto"/>
        </w:rPr>
        <w:t xml:space="preserve">Receivables </w:t>
      </w:r>
      <w:r>
        <w:rPr>
          <w:rFonts w:ascii="Arial" w:cs="Arial" w:eastAsia="Arial" w:hAnsi="Arial"/>
          <w:sz w:val="12"/>
          <w:szCs w:val="12"/>
          <w:color w:val="auto"/>
        </w:rPr>
        <w:t>— The change in our receivables balances, net of effects of acquisitions and divestitures, provided a source of cash of $12 million in 2006, compared to a use of cash</w:t>
      </w:r>
      <w:r>
        <w:rPr>
          <w:rFonts w:ascii="Arial" w:cs="Arial" w:eastAsia="Arial" w:hAnsi="Arial"/>
          <w:sz w:val="12"/>
          <w:szCs w:val="12"/>
          <w:i w:val="1"/>
          <w:iCs w:val="1"/>
          <w:color w:val="auto"/>
        </w:rPr>
        <w:t xml:space="preserve"> </w:t>
      </w:r>
      <w:r>
        <w:rPr>
          <w:rFonts w:ascii="Arial" w:cs="Arial" w:eastAsia="Arial" w:hAnsi="Arial"/>
          <w:sz w:val="12"/>
          <w:szCs w:val="12"/>
          <w:color w:val="auto"/>
        </w:rPr>
        <w:t>in 2005 of $102 million. In 2006, our receivables balances declined in part due to a decrease in fourth quarter revenues as compared with the prior year, but also due to improved efficiency of collections as a result of new processes we implemented to assist our Market Areas with collections. The increases in our receivables balances, and resulting uses of cash in the Consolidated Statements of Cash Flows, in 2005 were primarily related to increased revenues.</w:t>
      </w:r>
    </w:p>
    <w:p>
      <w:pPr>
        <w:spacing w:after="0" w:line="43" w:lineRule="exact"/>
        <w:rPr>
          <w:rFonts w:ascii="Arial" w:cs="Arial" w:eastAsia="Arial" w:hAnsi="Arial"/>
          <w:sz w:val="12"/>
          <w:szCs w:val="12"/>
          <w:color w:val="auto"/>
        </w:rPr>
      </w:pPr>
    </w:p>
    <w:p>
      <w:pPr>
        <w:ind w:left="1280" w:right="40" w:hanging="190"/>
        <w:spacing w:after="0" w:line="322" w:lineRule="auto"/>
        <w:tabs>
          <w:tab w:leader="none" w:pos="1280" w:val="left"/>
        </w:tabs>
        <w:numPr>
          <w:ilvl w:val="0"/>
          <w:numId w:val="32"/>
        </w:numPr>
        <w:rPr>
          <w:rFonts w:ascii="Arial" w:cs="Arial" w:eastAsia="Arial" w:hAnsi="Arial"/>
          <w:sz w:val="11"/>
          <w:szCs w:val="11"/>
          <w:color w:val="auto"/>
        </w:rPr>
      </w:pPr>
      <w:r>
        <w:rPr>
          <w:rFonts w:ascii="Arial" w:cs="Arial" w:eastAsia="Arial" w:hAnsi="Arial"/>
          <w:sz w:val="11"/>
          <w:szCs w:val="11"/>
          <w:i w:val="1"/>
          <w:iCs w:val="1"/>
          <w:color w:val="auto"/>
        </w:rPr>
        <w:t xml:space="preserve">Increased tax payments </w:t>
      </w:r>
      <w:r>
        <w:rPr>
          <w:rFonts w:ascii="Arial" w:cs="Arial" w:eastAsia="Arial" w:hAnsi="Arial"/>
          <w:sz w:val="11"/>
          <w:szCs w:val="11"/>
          <w:color w:val="auto"/>
        </w:rPr>
        <w:t>— We made income tax payments of $475 million in 2006 and $233 million in 2005. The increase in 2006 is primarily the result of improved earnings</w:t>
      </w:r>
      <w:r>
        <w:rPr>
          <w:rFonts w:ascii="Arial" w:cs="Arial" w:eastAsia="Arial" w:hAnsi="Arial"/>
          <w:sz w:val="11"/>
          <w:szCs w:val="11"/>
          <w:i w:val="1"/>
          <w:iCs w:val="1"/>
          <w:color w:val="auto"/>
        </w:rPr>
        <w:t xml:space="preserve"> </w:t>
      </w:r>
      <w:r>
        <w:rPr>
          <w:rFonts w:ascii="Arial" w:cs="Arial" w:eastAsia="Arial" w:hAnsi="Arial"/>
          <w:sz w:val="11"/>
          <w:szCs w:val="11"/>
          <w:color w:val="auto"/>
        </w:rPr>
        <w:t>and a decline in the tax benefit of Section 45K tax credits. The decline in the benefit of Section 45K tax credits when comparing 2006 with 2005 was largely due to a 36% phase-out of the credits generated during 2006 and the temporary shutdown of our two coal-based synthetic fuel production facilities, which generate a significant portion of the credits, from May 2006 to late-September 2006. There was no phase-out of Section 45K tax credits or temporary shutdown of the coal-based synthetic fuel production facilities in 2005.</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Net Cash Used in Investing Activities </w:t>
      </w:r>
      <w:r>
        <w:rPr>
          <w:rFonts w:ascii="Arial" w:cs="Arial" w:eastAsia="Arial" w:hAnsi="Arial"/>
          <w:sz w:val="12"/>
          <w:szCs w:val="12"/>
          <w:color w:val="auto"/>
        </w:rPr>
        <w:t>— The most significant items affecting the comparison of our investing cash flows for the periods presented are summarized below:</w:t>
      </w:r>
    </w:p>
    <w:p>
      <w:pPr>
        <w:spacing w:after="0" w:line="108" w:lineRule="exact"/>
        <w:rPr>
          <w:sz w:val="20"/>
          <w:szCs w:val="20"/>
          <w:color w:val="auto"/>
        </w:rPr>
      </w:pPr>
    </w:p>
    <w:p>
      <w:pPr>
        <w:ind w:left="1280" w:right="80" w:hanging="190"/>
        <w:spacing w:after="0" w:line="264"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i w:val="1"/>
          <w:iCs w:val="1"/>
          <w:color w:val="auto"/>
        </w:rPr>
        <w:t xml:space="preserve">Capital expenditures — </w:t>
      </w:r>
      <w:r>
        <w:rPr>
          <w:rFonts w:ascii="Arial" w:cs="Arial" w:eastAsia="Arial" w:hAnsi="Arial"/>
          <w:sz w:val="13"/>
          <w:szCs w:val="13"/>
          <w:color w:val="auto"/>
        </w:rPr>
        <w:t>We used $1,211 million during 2007 for capital expenditures, compared with $1,329 million in 2006 and $1,180 million in 2005. Increased capital</w:t>
      </w:r>
      <w:r>
        <w:rPr>
          <w:rFonts w:ascii="Arial" w:cs="Arial" w:eastAsia="Arial" w:hAnsi="Arial"/>
          <w:sz w:val="13"/>
          <w:szCs w:val="13"/>
          <w:i w:val="1"/>
          <w:iCs w:val="1"/>
          <w:color w:val="auto"/>
        </w:rPr>
        <w:t xml:space="preserve"> </w:t>
      </w:r>
      <w:r>
        <w:rPr>
          <w:rFonts w:ascii="Arial" w:cs="Arial" w:eastAsia="Arial" w:hAnsi="Arial"/>
          <w:sz w:val="13"/>
          <w:szCs w:val="13"/>
          <w:color w:val="auto"/>
        </w:rPr>
        <w:t>expenditures in 2006 were due to relatively high levels of fleet capital spending in order to adequately prepare for any potential operational difficulties that could be encountered as a result of significant mandated changes in heavy-duty truck engines beginning in January 2007.</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both"/>
        <w:ind w:left="1280" w:right="220" w:hanging="190"/>
        <w:spacing w:after="0" w:line="264"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i w:val="1"/>
          <w:iCs w:val="1"/>
          <w:color w:val="auto"/>
        </w:rPr>
        <w:t xml:space="preserve">Purchases and sales of short-term investments — </w:t>
      </w:r>
      <w:r>
        <w:rPr>
          <w:rFonts w:ascii="Arial" w:cs="Arial" w:eastAsia="Arial" w:hAnsi="Arial"/>
          <w:sz w:val="13"/>
          <w:szCs w:val="13"/>
          <w:color w:val="auto"/>
        </w:rPr>
        <w:t>Net sales of short-term investments provided $184 million of cash in 2007, compared with $122 million during 2006 and net</w:t>
      </w:r>
      <w:r>
        <w:rPr>
          <w:rFonts w:ascii="Arial" w:cs="Arial" w:eastAsia="Arial" w:hAnsi="Arial"/>
          <w:sz w:val="13"/>
          <w:szCs w:val="13"/>
          <w:i w:val="1"/>
          <w:iCs w:val="1"/>
          <w:color w:val="auto"/>
        </w:rPr>
        <w:t xml:space="preserve"> </w:t>
      </w:r>
      <w:r>
        <w:rPr>
          <w:rFonts w:ascii="Arial" w:cs="Arial" w:eastAsia="Arial" w:hAnsi="Arial"/>
          <w:sz w:val="13"/>
          <w:szCs w:val="13"/>
          <w:color w:val="auto"/>
        </w:rPr>
        <w:t>purchases of $295 million during 2005. In both 2006 and 2007, we decreased our short-term investments to provide cash that we used to fund our common stock repurchases, dividend payments and debt repayments, which are discussed below.</w:t>
      </w:r>
    </w:p>
    <w:p>
      <w:pPr>
        <w:spacing w:after="0" w:line="57" w:lineRule="exact"/>
        <w:rPr>
          <w:rFonts w:ascii="Arial" w:cs="Arial" w:eastAsia="Arial" w:hAnsi="Arial"/>
          <w:sz w:val="13"/>
          <w:szCs w:val="13"/>
          <w:color w:val="auto"/>
        </w:rPr>
      </w:pPr>
    </w:p>
    <w:p>
      <w:pPr>
        <w:ind w:left="1280" w:right="120" w:hanging="190"/>
        <w:spacing w:after="0" w:line="296" w:lineRule="auto"/>
        <w:tabs>
          <w:tab w:leader="none" w:pos="1280" w:val="left"/>
        </w:tabs>
        <w:numPr>
          <w:ilvl w:val="0"/>
          <w:numId w:val="34"/>
        </w:numPr>
        <w:rPr>
          <w:rFonts w:ascii="Arial" w:cs="Arial" w:eastAsia="Arial" w:hAnsi="Arial"/>
          <w:sz w:val="12"/>
          <w:szCs w:val="12"/>
          <w:color w:val="auto"/>
        </w:rPr>
      </w:pPr>
      <w:r>
        <w:rPr>
          <w:rFonts w:ascii="Arial" w:cs="Arial" w:eastAsia="Arial" w:hAnsi="Arial"/>
          <w:sz w:val="12"/>
          <w:szCs w:val="12"/>
          <w:i w:val="1"/>
          <w:iCs w:val="1"/>
          <w:color w:val="auto"/>
        </w:rPr>
        <w:t xml:space="preserve">Proceeds from divestitures — </w:t>
      </w:r>
      <w:r>
        <w:rPr>
          <w:rFonts w:ascii="Arial" w:cs="Arial" w:eastAsia="Arial" w:hAnsi="Arial"/>
          <w:sz w:val="12"/>
          <w:szCs w:val="12"/>
          <w:color w:val="auto"/>
        </w:rPr>
        <w:t>Proceeds from divestitures (net of cash divested) and other sales of assets were $278 million in 2007, $240 million in 2006 and $194 million in</w:t>
      </w:r>
      <w:r>
        <w:rPr>
          <w:rFonts w:ascii="Arial" w:cs="Arial" w:eastAsia="Arial" w:hAnsi="Arial"/>
          <w:sz w:val="12"/>
          <w:szCs w:val="12"/>
          <w:i w:val="1"/>
          <w:iCs w:val="1"/>
          <w:color w:val="auto"/>
        </w:rPr>
        <w:t xml:space="preserve"> </w:t>
      </w:r>
      <w:r>
        <w:rPr>
          <w:rFonts w:ascii="Arial" w:cs="Arial" w:eastAsia="Arial" w:hAnsi="Arial"/>
          <w:sz w:val="12"/>
          <w:szCs w:val="12"/>
          <w:color w:val="auto"/>
        </w:rPr>
        <w:t>2005. In 2006 and 2007, our proceeds from divestitures have been driven by the divestiture of under-performing and non-strategic operations. Approximately $89 million of our 2005 proceeds were related to the sale of one of our landfills in Ontario, Canada as required by a Divestiture Order from the Canadian Competition Tribunal.</w:t>
      </w:r>
    </w:p>
    <w:p>
      <w:pPr>
        <w:spacing w:after="0" w:line="39" w:lineRule="exact"/>
        <w:rPr>
          <w:rFonts w:ascii="Arial" w:cs="Arial" w:eastAsia="Arial" w:hAnsi="Arial"/>
          <w:sz w:val="12"/>
          <w:szCs w:val="12"/>
          <w:color w:val="auto"/>
        </w:rPr>
      </w:pPr>
    </w:p>
    <w:p>
      <w:pPr>
        <w:ind w:left="1280" w:right="40" w:hanging="190"/>
        <w:spacing w:after="0" w:line="296" w:lineRule="auto"/>
        <w:tabs>
          <w:tab w:leader="none" w:pos="1280" w:val="left"/>
        </w:tabs>
        <w:numPr>
          <w:ilvl w:val="0"/>
          <w:numId w:val="34"/>
        </w:numPr>
        <w:rPr>
          <w:rFonts w:ascii="Arial" w:cs="Arial" w:eastAsia="Arial" w:hAnsi="Arial"/>
          <w:sz w:val="12"/>
          <w:szCs w:val="12"/>
          <w:color w:val="auto"/>
        </w:rPr>
      </w:pPr>
      <w:r>
        <w:rPr>
          <w:rFonts w:ascii="Arial" w:cs="Arial" w:eastAsia="Arial" w:hAnsi="Arial"/>
          <w:sz w:val="12"/>
          <w:szCs w:val="12"/>
          <w:i w:val="1"/>
          <w:iCs w:val="1"/>
          <w:color w:val="auto"/>
        </w:rPr>
        <w:t xml:space="preserve">Cash paid for acquisitions — </w:t>
      </w:r>
      <w:r>
        <w:rPr>
          <w:rFonts w:ascii="Arial" w:cs="Arial" w:eastAsia="Arial" w:hAnsi="Arial"/>
          <w:sz w:val="12"/>
          <w:szCs w:val="12"/>
          <w:color w:val="auto"/>
        </w:rPr>
        <w:t>Our spending on acquisitions increased from $32 million during 2006 to $90 million in 2007 due to an increased focus on accretive acquisitions and</w:t>
      </w:r>
      <w:r>
        <w:rPr>
          <w:rFonts w:ascii="Arial" w:cs="Arial" w:eastAsia="Arial" w:hAnsi="Arial"/>
          <w:sz w:val="12"/>
          <w:szCs w:val="12"/>
          <w:i w:val="1"/>
          <w:iCs w:val="1"/>
          <w:color w:val="auto"/>
        </w:rPr>
        <w:t xml:space="preserve"> </w:t>
      </w:r>
      <w:r>
        <w:rPr>
          <w:rFonts w:ascii="Arial" w:cs="Arial" w:eastAsia="Arial" w:hAnsi="Arial"/>
          <w:sz w:val="12"/>
          <w:szCs w:val="12"/>
          <w:color w:val="auto"/>
        </w:rPr>
        <w:t>other investments that will contribute to improved future results of operations and enhance and expand our existing service offerings. Cash paid for acquisitions in 2005 was $142 million, and was related principally to tuck-in acquisitions of relatively small operations that could be easily integrated with our core operations.</w:t>
      </w:r>
    </w:p>
    <w:p>
      <w:pPr>
        <w:spacing w:after="0" w:line="39" w:lineRule="exact"/>
        <w:rPr>
          <w:rFonts w:ascii="Arial" w:cs="Arial" w:eastAsia="Arial" w:hAnsi="Arial"/>
          <w:sz w:val="12"/>
          <w:szCs w:val="12"/>
          <w:color w:val="auto"/>
        </w:rPr>
      </w:pPr>
    </w:p>
    <w:p>
      <w:pPr>
        <w:ind w:left="1280" w:right="80" w:hanging="190"/>
        <w:spacing w:after="0" w:line="264"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i w:val="1"/>
          <w:iCs w:val="1"/>
          <w:color w:val="auto"/>
        </w:rPr>
        <w:t xml:space="preserve">Net receipts from restricted funds — </w:t>
      </w:r>
      <w:r>
        <w:rPr>
          <w:rFonts w:ascii="Arial" w:cs="Arial" w:eastAsia="Arial" w:hAnsi="Arial"/>
          <w:sz w:val="13"/>
          <w:szCs w:val="13"/>
          <w:color w:val="auto"/>
        </w:rPr>
        <w:t>Net funds received from our restricted trust and escrow accounts, which are largely generated from the issuance of tax-exempt bonds for our</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needs, contributed $120 million to our investing activities in 2007 compared with $253 million in 2006 and $395 million in 2005. The decrease is generally due to a decline in new tax-exempt borrowings.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Net Cash Used in Financing Activities </w:t>
      </w:r>
      <w:r>
        <w:rPr>
          <w:rFonts w:ascii="Arial" w:cs="Arial" w:eastAsia="Arial" w:hAnsi="Arial"/>
          <w:sz w:val="12"/>
          <w:szCs w:val="12"/>
          <w:color w:val="auto"/>
        </w:rPr>
        <w:t>— The most significant items affecting the comparison of our financing cash flows for the periods presented are summarized below:</w:t>
      </w:r>
    </w:p>
    <w:p>
      <w:pPr>
        <w:spacing w:after="0" w:line="108" w:lineRule="exact"/>
        <w:rPr>
          <w:sz w:val="20"/>
          <w:szCs w:val="20"/>
          <w:color w:val="auto"/>
        </w:rPr>
      </w:pPr>
    </w:p>
    <w:p>
      <w:pPr>
        <w:ind w:left="1280" w:hanging="190"/>
        <w:spacing w:after="0" w:line="256"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i w:val="1"/>
          <w:iCs w:val="1"/>
          <w:color w:val="auto"/>
        </w:rPr>
        <w:t xml:space="preserve">Share repurchases and dividend payments — </w:t>
      </w:r>
      <w:r>
        <w:rPr>
          <w:rFonts w:ascii="Arial" w:cs="Arial" w:eastAsia="Arial" w:hAnsi="Arial"/>
          <w:sz w:val="13"/>
          <w:szCs w:val="13"/>
          <w:color w:val="auto"/>
        </w:rPr>
        <w:t>Our 2007, 2006 and 2005 share repurchases and dividend payments have been made in accordance with a three-year capital</w:t>
      </w:r>
      <w:r>
        <w:rPr>
          <w:rFonts w:ascii="Arial" w:cs="Arial" w:eastAsia="Arial" w:hAnsi="Arial"/>
          <w:sz w:val="13"/>
          <w:szCs w:val="13"/>
          <w:i w:val="1"/>
          <w:iCs w:val="1"/>
          <w:color w:val="auto"/>
        </w:rPr>
        <w:t xml:space="preserve"> </w:t>
      </w:r>
      <w:r>
        <w:rPr>
          <w:rFonts w:ascii="Arial" w:cs="Arial" w:eastAsia="Arial" w:hAnsi="Arial"/>
          <w:sz w:val="13"/>
          <w:szCs w:val="13"/>
          <w:color w:val="auto"/>
        </w:rPr>
        <w:t>allocation program that was approved by our Board of Directors. This capital allocation program authorized up to $1.2 billion of combined share repurchases and dividend payments each year during 2005, 2006 and 2007. In June 2006, the Board of Directors authorized up to $350 million of additional share repurchases in 2006, increasing the total of capital authorized for share repurchases and dividends in 2006 to $1.55 billion. In March 2007, our Board of Directors approved up to $600 million of additional share repurchases for 2007, and in November 2007 approved up to $300 million of additional share repurchases. As a result, the maximum amount of capital to be allocated to our share repurchases and dividend payments in 2007 was $2.1 billion. Any remaining portion of the $300 million of additional share repurchases approved by the Board of Directors in November 2007 that was not utilized in 2007 may be utilized in future years.</w:t>
      </w:r>
    </w:p>
    <w:p>
      <w:pPr>
        <w:spacing w:after="0" w:line="73" w:lineRule="exact"/>
        <w:rPr>
          <w:rFonts w:ascii="Arial" w:cs="Arial" w:eastAsia="Arial" w:hAnsi="Arial"/>
          <w:sz w:val="13"/>
          <w:szCs w:val="13"/>
          <w:color w:val="auto"/>
        </w:rPr>
      </w:pPr>
    </w:p>
    <w:p>
      <w:pPr>
        <w:ind w:left="1280" w:right="60"/>
        <w:spacing w:after="0" w:line="260" w:lineRule="auto"/>
        <w:rPr>
          <w:rFonts w:ascii="Arial" w:cs="Arial" w:eastAsia="Arial" w:hAnsi="Arial"/>
          <w:sz w:val="13"/>
          <w:szCs w:val="13"/>
          <w:color w:val="auto"/>
        </w:rPr>
      </w:pPr>
      <w:r>
        <w:rPr>
          <w:rFonts w:ascii="Arial" w:cs="Arial" w:eastAsia="Arial" w:hAnsi="Arial"/>
          <w:sz w:val="13"/>
          <w:szCs w:val="13"/>
          <w:color w:val="auto"/>
        </w:rPr>
        <w:t>In December 2007, our Board of Directors approved a new capital allocation program that includes the authorization for up to $1.4 billion in combined cash dividends and common stock repurchases in 2008. Approximately $184 million of the additional authorization of $300 million in November 2007 was not used in 2007. As a result, the maximum amount of capital to be allocated to our share repurchases and dividend payments in 2008 is $1,584 million. We currently intend to allocate up to $1.4 billion of capital to dividends and share repurchases in 2008.</w:t>
      </w:r>
    </w:p>
    <w:p>
      <w:pPr>
        <w:spacing w:after="0" w:line="69" w:lineRule="exact"/>
        <w:rPr>
          <w:rFonts w:ascii="Arial" w:cs="Arial" w:eastAsia="Arial" w:hAnsi="Arial"/>
          <w:sz w:val="13"/>
          <w:szCs w:val="13"/>
          <w:color w:val="auto"/>
        </w:rPr>
      </w:pPr>
    </w:p>
    <w:p>
      <w:pPr>
        <w:ind w:left="1280" w:right="120"/>
        <w:spacing w:after="0" w:line="264" w:lineRule="auto"/>
        <w:rPr>
          <w:rFonts w:ascii="Arial" w:cs="Arial" w:eastAsia="Arial" w:hAnsi="Arial"/>
          <w:sz w:val="13"/>
          <w:szCs w:val="13"/>
          <w:color w:val="auto"/>
        </w:rPr>
      </w:pPr>
      <w:r>
        <w:rPr>
          <w:rFonts w:ascii="Arial" w:cs="Arial" w:eastAsia="Arial" w:hAnsi="Arial"/>
          <w:sz w:val="13"/>
          <w:szCs w:val="13"/>
          <w:color w:val="auto"/>
        </w:rPr>
        <w:t>We paid $1,421 million for share repurchases in 2007, as compared with $1,072 million in 2006 and $706 million in 2005. We repurchased approximately 40 million, 31 million and 25 million shares of our common stock in 2007, 2006 and 2005, respectively. We currently expect to continue repurchasing common stock under the capital allocation program discussed above.</w:t>
      </w:r>
    </w:p>
    <w:p>
      <w:pPr>
        <w:spacing w:after="0" w:line="66" w:lineRule="exact"/>
        <w:rPr>
          <w:rFonts w:ascii="Arial" w:cs="Arial" w:eastAsia="Arial" w:hAnsi="Arial"/>
          <w:sz w:val="13"/>
          <w:szCs w:val="13"/>
          <w:color w:val="auto"/>
        </w:rPr>
      </w:pPr>
    </w:p>
    <w:p>
      <w:pPr>
        <w:ind w:left="1280" w:right="40"/>
        <w:spacing w:after="0" w:line="285" w:lineRule="auto"/>
        <w:rPr>
          <w:rFonts w:ascii="Arial" w:cs="Arial" w:eastAsia="Arial" w:hAnsi="Arial"/>
          <w:sz w:val="13"/>
          <w:szCs w:val="13"/>
          <w:color w:val="auto"/>
        </w:rPr>
      </w:pPr>
      <w:r>
        <w:rPr>
          <w:rFonts w:ascii="Arial" w:cs="Arial" w:eastAsia="Arial" w:hAnsi="Arial"/>
          <w:sz w:val="12"/>
          <w:szCs w:val="12"/>
          <w:color w:val="auto"/>
        </w:rPr>
        <w:t>We paid an aggregate of $495 million in cash dividends during 2007 compared with $476 million in 2006 and $449 million in 2005. The increase in dividend payments is due to our quarterly per share dividend increasing from $0.20 in 2005, to $0.22 in 2006 and to $0.24 in 2007. The impact of the year-over-year increases in the per share dividend has been partially offset by a reduction in the number of our outstanding shares as a result of our share repurchase program. In December 2007, the Board of Directors announced that it expects future quarterly dividend payments will be $0.27 per share. All future dividend declarations are at the discretion of the Board of Directors, and depend on various factors, including our net earnings, financial condition, cash required for future prospects and other factors the Board may deem relevant.</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line="25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Proceeds and tax benefits from the exercise of options and warrants — </w:t>
      </w:r>
      <w:r>
        <w:rPr>
          <w:rFonts w:ascii="Arial" w:cs="Arial" w:eastAsia="Arial" w:hAnsi="Arial"/>
          <w:sz w:val="13"/>
          <w:szCs w:val="13"/>
          <w:color w:val="auto"/>
        </w:rPr>
        <w:t>The exercise of common stock options and warrants and the related excess tax benefits generated a total of</w:t>
      </w:r>
      <w:r>
        <w:rPr>
          <w:rFonts w:ascii="Arial" w:cs="Arial" w:eastAsia="Arial" w:hAnsi="Arial"/>
          <w:sz w:val="13"/>
          <w:szCs w:val="13"/>
          <w:i w:val="1"/>
          <w:iCs w:val="1"/>
          <w:color w:val="auto"/>
        </w:rPr>
        <w:t xml:space="preserve"> </w:t>
      </w:r>
      <w:r>
        <w:rPr>
          <w:rFonts w:ascii="Arial" w:cs="Arial" w:eastAsia="Arial" w:hAnsi="Arial"/>
          <w:sz w:val="13"/>
          <w:szCs w:val="13"/>
          <w:color w:val="auto"/>
        </w:rPr>
        <w:t>$168 million of financing cash inflows during 2007, compared with $340 million in 2006 and $129 million in 2005. We believe the significant increase in stock option and warrant exercises in 2006 was due to the substantial increase in the market value of our common stock during 2006. The accelerated vesting of all outstanding stock options in December 2005 also resulted in increased cash proceeds from stock option exercises because the acceleration made additional options available for exercise. As discussed above, the adoption of SFAS No. 123(R) on January 1, 2006 resulted in the classification of tax savings provided by equity-based compensation as a financing cash inflow rather than an operating cash inflow beginning in the first quarter of 2006. This change in accounting increased cash flows from financing activities by $26 million in 2007 and $45 million in 2006.</w:t>
      </w:r>
    </w:p>
    <w:p>
      <w:pPr>
        <w:spacing w:after="0" w:line="63"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Net debt repayments — </w:t>
      </w:r>
      <w:r>
        <w:rPr>
          <w:rFonts w:ascii="Arial" w:cs="Arial" w:eastAsia="Arial" w:hAnsi="Arial"/>
          <w:sz w:val="13"/>
          <w:szCs w:val="13"/>
          <w:color w:val="auto"/>
        </w:rPr>
        <w:t>Net debt repayments were $256 million in 2007, $500 million in 2006 and $11 million in 2005. The following summarizes our most significant cash</w:t>
      </w:r>
      <w:r>
        <w:rPr>
          <w:rFonts w:ascii="Arial" w:cs="Arial" w:eastAsia="Arial" w:hAnsi="Arial"/>
          <w:sz w:val="13"/>
          <w:szCs w:val="13"/>
          <w:i w:val="1"/>
          <w:iCs w:val="1"/>
          <w:color w:val="auto"/>
        </w:rPr>
        <w:t xml:space="preserve"> </w:t>
      </w:r>
      <w:r>
        <w:rPr>
          <w:rFonts w:ascii="Arial" w:cs="Arial" w:eastAsia="Arial" w:hAnsi="Arial"/>
          <w:sz w:val="13"/>
          <w:szCs w:val="13"/>
          <w:color w:val="auto"/>
        </w:rPr>
        <w:t>borrowings and debt repayments made during each year (in millions):</w:t>
      </w:r>
    </w:p>
    <w:p>
      <w:pPr>
        <w:spacing w:after="0" w:line="61" w:lineRule="exact"/>
        <w:rPr>
          <w:sz w:val="20"/>
          <w:szCs w:val="20"/>
          <w:color w:val="auto"/>
        </w:rPr>
      </w:pPr>
    </w:p>
    <w:tbl>
      <w:tblPr>
        <w:tblLayout w:type="fixed"/>
        <w:tblInd w:w="156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Years Ended December 31,</w:t>
            </w: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w w:val="98"/>
              </w:rPr>
              <w:t>2007</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0"/>
              </w:rPr>
              <w:t>2006</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Borrowings</w:t>
            </w:r>
            <w:r>
              <w:rPr>
                <w:rFonts w:ascii="Arial" w:cs="Arial" w:eastAsia="Arial" w:hAnsi="Arial"/>
                <w:sz w:val="13"/>
                <w:szCs w:val="13"/>
                <w:color w:val="auto"/>
              </w:rPr>
              <w:t>:</w:t>
            </w:r>
          </w:p>
        </w:tc>
        <w:tc>
          <w:tcPr>
            <w:tcW w:w="2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60" w:type="dxa"/>
            <w:vAlign w:val="bottom"/>
          </w:tcPr>
          <w:p>
            <w:pPr>
              <w:ind w:left="120"/>
              <w:spacing w:after="0"/>
              <w:rPr>
                <w:sz w:val="20"/>
                <w:szCs w:val="20"/>
                <w:color w:val="auto"/>
              </w:rPr>
            </w:pPr>
            <w:r>
              <w:rPr>
                <w:rFonts w:ascii="Arial" w:cs="Arial" w:eastAsia="Arial" w:hAnsi="Arial"/>
                <w:sz w:val="13"/>
                <w:szCs w:val="13"/>
                <w:color w:val="auto"/>
              </w:rPr>
              <w:t>Revolving credit facility</w:t>
            </w:r>
          </w:p>
        </w:tc>
        <w:tc>
          <w:tcPr>
            <w:tcW w:w="2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300</w:t>
            </w:r>
          </w:p>
        </w:tc>
        <w:tc>
          <w:tcPr>
            <w:tcW w:w="180" w:type="dxa"/>
            <w:vAlign w:val="bottom"/>
          </w:tcPr>
          <w:p>
            <w:pPr>
              <w:spacing w:after="0"/>
              <w:rPr>
                <w:sz w:val="13"/>
                <w:szCs w:val="13"/>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Canadian credit facility</w:t>
            </w:r>
          </w:p>
        </w:tc>
        <w:tc>
          <w:tcPr>
            <w:tcW w:w="25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644</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3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944</w:t>
            </w:r>
          </w:p>
        </w:tc>
        <w:tc>
          <w:tcPr>
            <w:tcW w:w="180" w:type="dxa"/>
            <w:vAlign w:val="bottom"/>
          </w:tcPr>
          <w:p>
            <w:pPr>
              <w:spacing w:after="0"/>
              <w:rPr>
                <w:sz w:val="13"/>
                <w:szCs w:val="13"/>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432</w:t>
            </w:r>
          </w:p>
        </w:tc>
        <w:tc>
          <w:tcPr>
            <w:tcW w:w="3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365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Repayments</w:t>
            </w:r>
            <w:r>
              <w:rPr>
                <w:rFonts w:ascii="Arial" w:cs="Arial" w:eastAsia="Arial" w:hAnsi="Arial"/>
                <w:sz w:val="13"/>
                <w:szCs w:val="13"/>
                <w:color w:val="auto"/>
              </w:rPr>
              <w:t>:</w:t>
            </w:r>
          </w:p>
        </w:tc>
        <w:tc>
          <w:tcPr>
            <w:tcW w:w="25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60" w:type="dxa"/>
            <w:vAlign w:val="bottom"/>
          </w:tcPr>
          <w:p>
            <w:pPr>
              <w:ind w:left="120"/>
              <w:spacing w:after="0"/>
              <w:rPr>
                <w:sz w:val="20"/>
                <w:szCs w:val="20"/>
                <w:color w:val="auto"/>
              </w:rPr>
            </w:pPr>
            <w:r>
              <w:rPr>
                <w:rFonts w:ascii="Arial" w:cs="Arial" w:eastAsia="Arial" w:hAnsi="Arial"/>
                <w:sz w:val="13"/>
                <w:szCs w:val="13"/>
                <w:color w:val="auto"/>
              </w:rPr>
              <w:t>Canadian credit facility</w:t>
            </w:r>
          </w:p>
        </w:tc>
        <w:tc>
          <w:tcPr>
            <w:tcW w:w="2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(680)</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w w:val="98"/>
              </w:rPr>
              <w:t>(479)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Senior notes</w:t>
            </w:r>
          </w:p>
        </w:tc>
        <w:tc>
          <w:tcPr>
            <w:tcW w:w="2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8"/>
              </w:rPr>
              <w:t>(300)</w:t>
            </w:r>
          </w:p>
        </w:tc>
        <w:tc>
          <w:tcPr>
            <w:tcW w:w="80" w:type="dxa"/>
            <w:vAlign w:val="bottom"/>
            <w:tcBorders>
              <w:right w:val="single" w:sz="8" w:color="CCEEFF"/>
            </w:tcBorders>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8"/>
              </w:rPr>
              <w:t>(103)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60" w:type="dxa"/>
            <w:vAlign w:val="bottom"/>
          </w:tcPr>
          <w:p>
            <w:pPr>
              <w:ind w:left="120"/>
              <w:spacing w:after="0"/>
              <w:rPr>
                <w:sz w:val="20"/>
                <w:szCs w:val="20"/>
                <w:color w:val="auto"/>
              </w:rPr>
            </w:pPr>
            <w:r>
              <w:rPr>
                <w:rFonts w:ascii="Arial" w:cs="Arial" w:eastAsia="Arial" w:hAnsi="Arial"/>
                <w:sz w:val="13"/>
                <w:szCs w:val="13"/>
                <w:color w:val="auto"/>
              </w:rPr>
              <w:t>Tax exempt bonds</w:t>
            </w: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(52)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3"/>
                <w:szCs w:val="13"/>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Tax exempt project bonds</w:t>
            </w:r>
          </w:p>
        </w:tc>
        <w:tc>
          <w:tcPr>
            <w:tcW w:w="2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(50)</w:t>
            </w:r>
          </w:p>
        </w:tc>
        <w:tc>
          <w:tcPr>
            <w:tcW w:w="80" w:type="dxa"/>
            <w:vAlign w:val="bottom"/>
            <w:tcBorders>
              <w:right w:val="single" w:sz="8" w:color="CCEEFF"/>
            </w:tcBorders>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60" w:type="dxa"/>
            <w:vAlign w:val="bottom"/>
          </w:tcPr>
          <w:p>
            <w:pPr>
              <w:ind w:left="120"/>
              <w:spacing w:after="0"/>
              <w:rPr>
                <w:sz w:val="20"/>
                <w:szCs w:val="20"/>
                <w:color w:val="auto"/>
              </w:rPr>
            </w:pPr>
            <w:r>
              <w:rPr>
                <w:rFonts w:ascii="Arial" w:cs="Arial" w:eastAsia="Arial" w:hAnsi="Arial"/>
                <w:sz w:val="13"/>
                <w:szCs w:val="13"/>
                <w:color w:val="auto"/>
              </w:rPr>
              <w:t>Convertible subordinated notes</w:t>
            </w: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Capital leases and other debt</w:t>
            </w:r>
          </w:p>
        </w:tc>
        <w:tc>
          <w:tcPr>
            <w:tcW w:w="2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(107)</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(94)</w:t>
            </w:r>
          </w:p>
        </w:tc>
        <w:tc>
          <w:tcPr>
            <w:tcW w:w="80" w:type="dxa"/>
            <w:vAlign w:val="bottom"/>
            <w:tcBorders>
              <w:right w:val="single" w:sz="8" w:color="CCEEFF"/>
            </w:tcBorders>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8"/>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(1,200)</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w w:val="98"/>
              </w:rPr>
              <w:t>(932)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w w:val="98"/>
              </w:rPr>
              <w:t>(376)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Net repayments</w:t>
            </w:r>
          </w:p>
        </w:tc>
        <w:tc>
          <w:tcPr>
            <w:tcW w:w="2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8"/>
              </w:rPr>
              <w:t>(500)</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280" w:right="360" w:hanging="190"/>
        <w:spacing w:after="0" w:line="276"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Change in cash overdraft position — </w:t>
      </w:r>
      <w:r>
        <w:rPr>
          <w:rFonts w:ascii="Arial" w:cs="Arial" w:eastAsia="Arial" w:hAnsi="Arial"/>
          <w:sz w:val="13"/>
          <w:szCs w:val="13"/>
          <w:color w:val="auto"/>
        </w:rPr>
        <w:t>Changes in our cash overdraft position are reflected as “Other” financing activities in the Consolidated Statement of Cash Flows. The</w:t>
      </w:r>
      <w:r>
        <w:rPr>
          <w:rFonts w:ascii="Arial" w:cs="Arial" w:eastAsia="Arial" w:hAnsi="Arial"/>
          <w:sz w:val="13"/>
          <w:szCs w:val="13"/>
          <w:i w:val="1"/>
          <w:iCs w:val="1"/>
          <w:color w:val="auto"/>
        </w:rPr>
        <w:t xml:space="preserve"> </w:t>
      </w:r>
      <w:r>
        <w:rPr>
          <w:rFonts w:ascii="Arial" w:cs="Arial" w:eastAsia="Arial" w:hAnsi="Arial"/>
          <w:sz w:val="13"/>
          <w:szCs w:val="13"/>
          <w:color w:val="auto"/>
        </w:rPr>
        <w:t>significant changes in our cash overdraft positions as of each year-end are generally attributable to the timing of cash deposits.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Summary of 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our contractual obligations as of December 31, 2007 and the anticipated effect of these obligations on our liquidity in future years (in millions):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jc w:val="right"/>
              <w:ind w:right="96"/>
              <w:spacing w:after="0"/>
              <w:rPr>
                <w:sz w:val="20"/>
                <w:szCs w:val="20"/>
                <w:color w:val="auto"/>
              </w:rPr>
            </w:pPr>
            <w:r>
              <w:rPr>
                <w:rFonts w:ascii="Arial" w:cs="Arial" w:eastAsia="Arial" w:hAnsi="Arial"/>
                <w:sz w:val="10"/>
                <w:szCs w:val="10"/>
                <w:b w:val="1"/>
                <w:bCs w:val="1"/>
                <w:color w:val="auto"/>
                <w:w w:val="98"/>
              </w:rPr>
              <w:t>2008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76"/>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76"/>
              <w:spacing w:after="0"/>
              <w:rPr>
                <w:sz w:val="20"/>
                <w:szCs w:val="20"/>
                <w:color w:val="auto"/>
              </w:rPr>
            </w:pPr>
            <w:r>
              <w:rPr>
                <w:rFonts w:ascii="Arial" w:cs="Arial" w:eastAsia="Arial" w:hAnsi="Arial"/>
                <w:sz w:val="10"/>
                <w:szCs w:val="10"/>
                <w:b w:val="1"/>
                <w:bCs w:val="1"/>
                <w:color w:val="auto"/>
              </w:rPr>
              <w:t>2010</w:t>
            </w:r>
          </w:p>
        </w:tc>
        <w:tc>
          <w:tcPr>
            <w:tcW w:w="180" w:type="dxa"/>
            <w:vAlign w:val="bottom"/>
          </w:tcPr>
          <w:p>
            <w:pPr>
              <w:spacing w:after="0"/>
              <w:rPr>
                <w:sz w:val="10"/>
                <w:szCs w:val="10"/>
                <w:color w:val="auto"/>
              </w:rPr>
            </w:pPr>
          </w:p>
        </w:tc>
        <w:tc>
          <w:tcPr>
            <w:tcW w:w="3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2011</w:t>
            </w:r>
          </w:p>
        </w:tc>
        <w:tc>
          <w:tcPr>
            <w:tcW w:w="200" w:type="dxa"/>
            <w:vAlign w:val="bottom"/>
          </w:tcPr>
          <w:p>
            <w:pPr>
              <w:spacing w:after="0"/>
              <w:rPr>
                <w:sz w:val="10"/>
                <w:szCs w:val="10"/>
                <w:color w:val="auto"/>
              </w:rPr>
            </w:pPr>
          </w:p>
        </w:tc>
        <w:tc>
          <w:tcPr>
            <w:tcW w:w="3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98"/>
              </w:rPr>
              <w:t>Thereafter</w:t>
            </w:r>
          </w:p>
        </w:tc>
        <w:tc>
          <w:tcPr>
            <w:tcW w:w="120" w:type="dxa"/>
            <w:vAlign w:val="bottom"/>
          </w:tcPr>
          <w:p>
            <w:pPr>
              <w:spacing w:after="0"/>
              <w:rPr>
                <w:sz w:val="10"/>
                <w:szCs w:val="10"/>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r>
      <w:tr>
        <w:trPr>
          <w:trHeight w:val="29"/>
        </w:trPr>
        <w:tc>
          <w:tcPr>
            <w:tcW w:w="1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Recorded Obligations: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Expected environmental liabilities(a)</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Final capping, closure and post-closure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1,668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2,177</w:t>
            </w:r>
          </w:p>
        </w:tc>
      </w:tr>
      <w:tr>
        <w:trPr>
          <w:trHeight w:val="157"/>
        </w:trPr>
        <w:tc>
          <w:tcPr>
            <w:tcW w:w="5300" w:type="dxa"/>
            <w:vAlign w:val="bottom"/>
            <w:gridSpan w:val="2"/>
          </w:tcPr>
          <w:p>
            <w:pPr>
              <w:ind w:left="140"/>
              <w:spacing w:after="0"/>
              <w:rPr>
                <w:sz w:val="20"/>
                <w:szCs w:val="20"/>
                <w:color w:val="auto"/>
              </w:rPr>
            </w:pPr>
            <w:r>
              <w:rPr>
                <w:rFonts w:ascii="Arial" w:cs="Arial" w:eastAsia="Arial" w:hAnsi="Arial"/>
                <w:sz w:val="13"/>
                <w:szCs w:val="13"/>
                <w:color w:val="auto"/>
              </w:rPr>
              <w:t>Environmental remediation</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170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312</w:t>
            </w:r>
          </w:p>
        </w:tc>
      </w:tr>
      <w:tr>
        <w:trPr>
          <w:trHeight w:val="20"/>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4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91</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2"/>
              </w:rPr>
              <w:t>115</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1,838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2,489</w:t>
            </w: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Debt payments(b), (c)</w:t>
            </w:r>
          </w:p>
        </w:tc>
        <w:tc>
          <w:tcPr>
            <w:tcW w:w="12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1,164</w:t>
            </w:r>
          </w:p>
        </w:tc>
        <w:tc>
          <w:tcPr>
            <w:tcW w:w="10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697</w:t>
            </w:r>
          </w:p>
        </w:tc>
        <w:tc>
          <w:tcPr>
            <w:tcW w:w="10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715</w:t>
            </w:r>
          </w:p>
        </w:tc>
        <w:tc>
          <w:tcPr>
            <w:tcW w:w="10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w w:val="82"/>
              </w:rPr>
              <w:t>250</w:t>
            </w:r>
          </w:p>
        </w:tc>
        <w:tc>
          <w:tcPr>
            <w:tcW w:w="8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w w:val="92"/>
              </w:rPr>
              <w:t>576</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4,874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8,276</w:t>
            </w: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Unrecorded Obligations:(d)</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5300" w:type="dxa"/>
            <w:vAlign w:val="bottom"/>
            <w:gridSpan w:val="2"/>
          </w:tcPr>
          <w:p>
            <w:pPr>
              <w:ind w:left="140"/>
              <w:spacing w:after="0"/>
              <w:rPr>
                <w:sz w:val="20"/>
                <w:szCs w:val="20"/>
                <w:color w:val="auto"/>
              </w:rPr>
            </w:pPr>
            <w:r>
              <w:rPr>
                <w:rFonts w:ascii="Arial" w:cs="Arial" w:eastAsia="Arial" w:hAnsi="Arial"/>
                <w:sz w:val="13"/>
                <w:szCs w:val="13"/>
                <w:color w:val="auto"/>
              </w:rPr>
              <w:t>Share repurchases(e)</w:t>
            </w:r>
          </w:p>
        </w:tc>
        <w:tc>
          <w:tcPr>
            <w:tcW w:w="12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99</w:t>
            </w:r>
          </w:p>
        </w:tc>
      </w:tr>
      <w:tr>
        <w:trPr>
          <w:trHeight w:val="157"/>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Non-cancelable operating lease obligations</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471</w:t>
            </w:r>
          </w:p>
        </w:tc>
      </w:tr>
      <w:tr>
        <w:trPr>
          <w:trHeight w:val="157"/>
        </w:trPr>
        <w:tc>
          <w:tcPr>
            <w:tcW w:w="5300" w:type="dxa"/>
            <w:vAlign w:val="bottom"/>
            <w:gridSpan w:val="2"/>
          </w:tcPr>
          <w:p>
            <w:pPr>
              <w:ind w:left="140"/>
              <w:spacing w:after="0"/>
              <w:rPr>
                <w:sz w:val="20"/>
                <w:szCs w:val="20"/>
                <w:color w:val="auto"/>
              </w:rPr>
            </w:pPr>
            <w:r>
              <w:rPr>
                <w:rFonts w:ascii="Arial" w:cs="Arial" w:eastAsia="Arial" w:hAnsi="Arial"/>
                <w:sz w:val="13"/>
                <w:szCs w:val="13"/>
                <w:color w:val="auto"/>
              </w:rPr>
              <w:t>Estimated unconditional purchase obligations(f)</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179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181</w:t>
            </w:r>
          </w:p>
        </w:tc>
        <w:tc>
          <w:tcPr>
            <w:tcW w:w="10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95</w:t>
            </w:r>
          </w:p>
        </w:tc>
        <w:tc>
          <w:tcPr>
            <w:tcW w:w="8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307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967</w:t>
            </w:r>
          </w:p>
        </w:tc>
      </w:tr>
      <w:tr>
        <w:trPr>
          <w:trHeight w:val="20"/>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53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Anticipated liquidity impact as of December 31, 2007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1,084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484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2"/>
              </w:rPr>
              <w:t>773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7,184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12,302</w:t>
            </w:r>
          </w:p>
        </w:tc>
      </w:tr>
      <w:tr>
        <w:trPr>
          <w:trHeight w:val="108"/>
        </w:trPr>
        <w:tc>
          <w:tcPr>
            <w:tcW w:w="130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180" w:right="120" w:hanging="493"/>
        <w:spacing w:after="0" w:line="264" w:lineRule="auto"/>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Environmental liabilities include final capping, closure, post-closure and environmental remediation costs. The amounts included here reflect environmental liabilities recorded in our Consolidated Balance Sheet as of December 31, 2007 without the impact of discounting and inflation. Our recorded environmental liabilities will increase as we continue to place additional tons within the permitted airspace at our landfills.</w:t>
      </w:r>
    </w:p>
    <w:p>
      <w:pPr>
        <w:spacing w:after="0" w:line="17" w:lineRule="exact"/>
        <w:rPr>
          <w:rFonts w:ascii="Arial" w:cs="Arial" w:eastAsia="Arial" w:hAnsi="Arial"/>
          <w:sz w:val="13"/>
          <w:szCs w:val="13"/>
          <w:color w:val="auto"/>
        </w:rPr>
      </w:pPr>
    </w:p>
    <w:p>
      <w:pPr>
        <w:ind w:left="1180" w:right="160" w:hanging="493"/>
        <w:spacing w:after="0" w:line="289" w:lineRule="auto"/>
        <w:tabs>
          <w:tab w:leader="none" w:pos="11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Our debt obligations as of December 31, 2007 include $192 million of fixed rate tax-exempt bonds subject to repricing within the next twelve months, which is prior to their scheduled maturities. If the re-offerings of the bonds are unsuccessful, then the bonds can be put to us, requiring immediate repayment. We have classified the anticipated cash flows for these contractual obligations based on the scheduled maturity of the borrowing for purposes of this disclosure. For additional information regarding the classification of these borrowings in our Consolidated Balance Sheet as of December 31, 2007, refer to Note 7 to the Consolidated Financial Statements.</w:t>
      </w:r>
    </w:p>
    <w:p>
      <w:pPr>
        <w:spacing w:after="0" w:line="3" w:lineRule="exact"/>
        <w:rPr>
          <w:rFonts w:ascii="Arial" w:cs="Arial" w:eastAsia="Arial" w:hAnsi="Arial"/>
          <w:sz w:val="12"/>
          <w:szCs w:val="12"/>
          <w:color w:val="auto"/>
        </w:rPr>
      </w:pPr>
    </w:p>
    <w:p>
      <w:pPr>
        <w:ind w:left="1180" w:right="20" w:hanging="493"/>
        <w:spacing w:after="0" w:line="296" w:lineRule="auto"/>
        <w:tabs>
          <w:tab w:leader="none" w:pos="11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Our recorded debt obligations include non-cash adjustments associated with discounts, premiums and fair value adjustments for interest rate hedging activities. These amounts have been excluded here because they will not result in an impact to our liquidity in future periods. In addition, $47 million of our future debt payments and related interest obligations will be made with debt service funds held in trust and included as long-term “Other assets” within our December 31, 2007 Consolidated Balance Sheet.</w:t>
      </w:r>
    </w:p>
    <w:p>
      <w:pPr>
        <w:ind w:left="1180" w:right="60" w:hanging="493"/>
        <w:spacing w:after="0" w:line="264" w:lineRule="auto"/>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Our unrecorded obligations represent operating lease obligations and purchase commitments from which we expect to realize an economic benefit in future periods. We have also made certain guarantees, as discussed in Note 10 to the Consolidated Financial Statements, that we do not expect to materially affect our current or future financial position, results of operations or liquidity.</w:t>
      </w:r>
    </w:p>
    <w:p>
      <w:pPr>
        <w:spacing w:after="0" w:line="17" w:lineRule="exact"/>
        <w:rPr>
          <w:rFonts w:ascii="Arial" w:cs="Arial" w:eastAsia="Arial" w:hAnsi="Arial"/>
          <w:sz w:val="13"/>
          <w:szCs w:val="13"/>
          <w:color w:val="auto"/>
        </w:rPr>
      </w:pPr>
    </w:p>
    <w:p>
      <w:pPr>
        <w:ind w:left="1180" w:hanging="493"/>
        <w:spacing w:after="0" w:line="260" w:lineRule="auto"/>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 November 2007, we entered into a plan under SEC Rule 10b5-1 to effect market purchases of our common stock. The $99 million disclosed here represents the minimum amount of common stock that could be repurchased under the terms of the plan. These common stock repurchases were made in accordance with our Board of Directors approved capital allocation program which authorizes up to $1.4 billion in share repurchases and dividends in 2008. We repurchased $175 million of our common stock pursuant to the plan, which was completed on February 7, 2008.</w:t>
      </w:r>
    </w:p>
    <w:p>
      <w:pPr>
        <w:spacing w:after="0" w:line="20" w:lineRule="exact"/>
        <w:rPr>
          <w:rFonts w:ascii="Arial" w:cs="Arial" w:eastAsia="Arial" w:hAnsi="Arial"/>
          <w:sz w:val="13"/>
          <w:szCs w:val="13"/>
          <w:color w:val="auto"/>
        </w:rPr>
      </w:pPr>
    </w:p>
    <w:p>
      <w:pPr>
        <w:ind w:left="1180" w:right="60" w:hanging="493"/>
        <w:spacing w:after="0" w:line="264" w:lineRule="auto"/>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Our unconditional purchase obligations are for various contractual obligations that we generally incur in the ordinary course of our business. Certain of our obligations are quantity driven. For these contracts, we have estimated our future obligations based on the current market values of the underlying products or services. See Note 10 to the Consolidated Financial Statements for discussion of the nature and terms of our unconditional purchase obligations.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We have contingencies that are not considered reasonably likely. As a result, the impact of these contingencies have not been included in the above table. See Note 10 to the Consolidated Financial Statements for further discussion of these contingencies.</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20" w:lineRule="exact"/>
        <w:rPr>
          <w:sz w:val="20"/>
          <w:szCs w:val="20"/>
          <w:color w:val="auto"/>
        </w:rPr>
      </w:pPr>
    </w:p>
    <w:p>
      <w:pPr>
        <w:ind w:left="680" w:right="80" w:firstLine="399"/>
        <w:spacing w:after="0" w:line="334" w:lineRule="auto"/>
        <w:rPr>
          <w:sz w:val="20"/>
          <w:szCs w:val="20"/>
          <w:color w:val="auto"/>
        </w:rPr>
      </w:pPr>
      <w:r>
        <w:rPr>
          <w:rFonts w:ascii="Arial" w:cs="Arial" w:eastAsia="Arial" w:hAnsi="Arial"/>
          <w:sz w:val="11"/>
          <w:szCs w:val="11"/>
          <w:color w:val="auto"/>
        </w:rPr>
        <w:t xml:space="preserve">We are party to guarantee arrangements with unconsolidated entities as discussed in the </w:t>
      </w:r>
      <w:r>
        <w:rPr>
          <w:rFonts w:ascii="Arial" w:cs="Arial" w:eastAsia="Arial" w:hAnsi="Arial"/>
          <w:sz w:val="11"/>
          <w:szCs w:val="11"/>
          <w:i w:val="1"/>
          <w:iCs w:val="1"/>
          <w:color w:val="auto"/>
        </w:rPr>
        <w:t>Guarantees</w:t>
      </w:r>
      <w:r>
        <w:rPr>
          <w:rFonts w:ascii="Arial" w:cs="Arial" w:eastAsia="Arial" w:hAnsi="Arial"/>
          <w:sz w:val="11"/>
          <w:szCs w:val="11"/>
          <w:color w:val="auto"/>
        </w:rPr>
        <w:t xml:space="preserve"> section of Note 10 to the Consolidated Financial Statements. Our third-party guarantee arrangements are generally established to support our financial assurance needs and landfill operations. These arrangements have not materially affected our financial position, results of operations or liquidity during the year ended December 31, 2007 nor are they expected to have a material impact on our future financial position, results of operations or liquidity.</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 Trends and Inflation</w:t>
      </w:r>
    </w:p>
    <w:p>
      <w:pPr>
        <w:spacing w:after="0" w:line="12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experienced in 2004 and 2005, can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03"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While inflationary increases in costs, including the cost of fuel, have affected our operating margins in recent periods, we believe that inflation generally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19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Accounting Pronouncements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157 — Fair Value Measurements</w:t>
      </w:r>
    </w:p>
    <w:p>
      <w:pPr>
        <w:spacing w:after="0" w:line="126" w:lineRule="exact"/>
        <w:rPr>
          <w:sz w:val="20"/>
          <w:szCs w:val="20"/>
          <w:color w:val="auto"/>
        </w:rPr>
      </w:pPr>
    </w:p>
    <w:p>
      <w:pPr>
        <w:ind w:left="680" w:right="20" w:firstLine="399"/>
        <w:spacing w:after="0" w:line="334" w:lineRule="auto"/>
        <w:rPr>
          <w:sz w:val="20"/>
          <w:szCs w:val="20"/>
          <w:color w:val="auto"/>
        </w:rPr>
      </w:pPr>
      <w:r>
        <w:rPr>
          <w:rFonts w:ascii="Arial" w:cs="Arial" w:eastAsia="Arial" w:hAnsi="Arial"/>
          <w:sz w:val="11"/>
          <w:szCs w:val="11"/>
          <w:color w:val="auto"/>
        </w:rPr>
        <w:t xml:space="preserve">In September 2006, the FASB issued SFAS No. 157, </w:t>
      </w:r>
      <w:r>
        <w:rPr>
          <w:rFonts w:ascii="Arial" w:cs="Arial" w:eastAsia="Arial" w:hAnsi="Arial"/>
          <w:sz w:val="11"/>
          <w:szCs w:val="11"/>
          <w:i w:val="1"/>
          <w:iCs w:val="1"/>
          <w:color w:val="auto"/>
        </w:rPr>
        <w:t>Fair Value Measurements</w:t>
      </w:r>
      <w:r>
        <w:rPr>
          <w:rFonts w:ascii="Arial" w:cs="Arial" w:eastAsia="Arial" w:hAnsi="Arial"/>
          <w:sz w:val="11"/>
          <w:szCs w:val="11"/>
          <w:color w:val="auto"/>
        </w:rPr>
        <w:t>, which defines fair value, establishes a framework for measuring fair value, and expands disclosures about fair value measurements. SFAS No. 157 will be effective for the Company beginning January 1, 2008. We do not currently expect the adoption of SFAS No. 157 on January 1, 2008 to have a material impact on our consolidated financial statements. However, we are continuing to assess the potential effects of SFAS No. 157 as additional guidance becomes available.</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159 — Fair Value Option for Financial Assets and Financial Liabilities</w:t>
      </w:r>
    </w:p>
    <w:p>
      <w:pPr>
        <w:spacing w:after="0" w:line="12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 xml:space="preserve">In February 2007, the FASB issued SFAS No. 159, </w:t>
      </w:r>
      <w:r>
        <w:rPr>
          <w:rFonts w:ascii="Arial" w:cs="Arial" w:eastAsia="Arial" w:hAnsi="Arial"/>
          <w:sz w:val="13"/>
          <w:szCs w:val="13"/>
          <w:i w:val="1"/>
          <w:iCs w:val="1"/>
          <w:color w:val="auto"/>
        </w:rPr>
        <w:t>Fair Value Option for Financial Assets and Financial Liabilities</w:t>
      </w:r>
      <w:r>
        <w:rPr>
          <w:rFonts w:ascii="Arial" w:cs="Arial" w:eastAsia="Arial" w:hAnsi="Arial"/>
          <w:sz w:val="13"/>
          <w:szCs w:val="13"/>
          <w:color w:val="auto"/>
        </w:rPr>
        <w:t xml:space="preserve"> — </w:t>
      </w:r>
      <w:r>
        <w:rPr>
          <w:rFonts w:ascii="Arial" w:cs="Arial" w:eastAsia="Arial" w:hAnsi="Arial"/>
          <w:sz w:val="13"/>
          <w:szCs w:val="13"/>
          <w:i w:val="1"/>
          <w:iCs w:val="1"/>
          <w:color w:val="auto"/>
        </w:rPr>
        <w:t>Including an amendment of FASB Statement No. 115</w:t>
      </w:r>
      <w:r>
        <w:rPr>
          <w:rFonts w:ascii="Arial" w:cs="Arial" w:eastAsia="Arial" w:hAnsi="Arial"/>
          <w:sz w:val="13"/>
          <w:szCs w:val="13"/>
          <w:color w:val="auto"/>
        </w:rPr>
        <w:t>, which permits entities to choose to measure many financial instruments and certain other items at fair value. SFAS No. 159 will be effective for the Company beginning January 1, 2008. The Company has elected not to measure eligible items at fair value upon initial adoption and does not believe the adoption of this statement will have a material impact on its consolidated financial statements.</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141(R) — Business Combinations</w:t>
      </w:r>
    </w:p>
    <w:p>
      <w:pPr>
        <w:spacing w:after="0" w:line="12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In December 2007, the FASB issued SFAS No. 141 (revised 2007), Business Combinations, which establishes principles and requirements for how the acquirer recognizes and measures in the financial statements the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340"/>
        <w:spacing w:after="0" w:line="260" w:lineRule="auto"/>
        <w:rPr>
          <w:sz w:val="20"/>
          <w:szCs w:val="20"/>
          <w:color w:val="auto"/>
        </w:rPr>
      </w:pPr>
      <w:r>
        <w:rPr>
          <w:rFonts w:ascii="Arial" w:cs="Arial" w:eastAsia="Arial" w:hAnsi="Arial"/>
          <w:sz w:val="13"/>
          <w:szCs w:val="13"/>
          <w:color w:val="auto"/>
        </w:rPr>
        <w:t>identifiable assets acquired, the liabilities assumed, and any non-controlling interest in the acquiree. This statement also provides guidance for recognizing and measuring the goodwill acquired in the business combination and determines what information to disclose to enable users of the financial statements to evaluate the nature and financial effects of the business combination. SFAS No. 141(R) will be effective for the Company beginning January 1, 2009. We are currently evaluating the effect the adoption of SFAS No. 141(R) will have on our accounting and reporting for future acquisitions.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160 — Noncontrolling Interests in Consolidated Financial Statements-an amendment of ARB No. 51</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 xml:space="preserve">In December 2007, the FASB issued SFAS No. 160, </w:t>
      </w:r>
      <w:r>
        <w:rPr>
          <w:rFonts w:ascii="Arial" w:cs="Arial" w:eastAsia="Arial" w:hAnsi="Arial"/>
          <w:sz w:val="13"/>
          <w:szCs w:val="13"/>
          <w:i w:val="1"/>
          <w:iCs w:val="1"/>
          <w:color w:val="auto"/>
        </w:rPr>
        <w:t>Noncontrolling Interests in Consolidated Financial Statements — an amendment of ARB No. 51</w:t>
      </w:r>
      <w:r>
        <w:rPr>
          <w:rFonts w:ascii="Arial" w:cs="Arial" w:eastAsia="Arial" w:hAnsi="Arial"/>
          <w:sz w:val="13"/>
          <w:szCs w:val="13"/>
          <w:color w:val="auto"/>
        </w:rPr>
        <w:t>, which establishes accounting and reporting standards for the noncontrolling interest in a subsidiary and for the deconsolidation of a subsidiary. It clarifies that a noncontrolling interest in a subsidiary is an ownership interest in the consolidated entity that should be reported as equity in the consolidated financial statements. SFAS No. 160 will be effective for the Company beginning January 1, 2009. We are currently evaluating the effect the adoption of SFAS 160 will have on our consolidated financial statements.</w:t>
      </w:r>
    </w:p>
    <w:p>
      <w:pPr>
        <w:spacing w:after="0" w:line="14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 About Market Risk.</w:t>
      </w:r>
    </w:p>
    <w:p>
      <w:pPr>
        <w:spacing w:after="0" w:line="10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In the normal course of business, we are exposed to market risks, including changes in interest rates, Canadian currency rates and certain commodity prices. From time to time, we use derivatives to manage some portion of these risks. Our derivatives are agreements with independent counterparties that provide for payments based on a notional amount, with no multipliers or leverage. As of December 31, 2007, all of our derivative transactions were related to actual or anticipated economic exposures although certain transactions did not qualify for hedge accounting. We are exposed to credit risk in the event of non-performance by our derivative counterparties. However, we monitor our derivative positions by regularly evaluating our positions and the creditworthiness of the counterparties, all of whom we either consider credit-worthy, or who have issued letters of credit to support their performance.</w:t>
      </w:r>
    </w:p>
    <w:p>
      <w:pPr>
        <w:spacing w:after="0" w:line="5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performed sensitivity analyses to determine how market rate changes might affect the fair value of our market risk sensitive derivatives and related positions. These analyses are inherently limited because they reflect a singular, hypothetical set of assumptions. Actual market movements may vary significantly from our assumptions. The effects of market movements may also directly or indirectly affect our assumptions and our rights and obligations not covered by the sensitivity analyses. Fair value sensitivity is not necessarily indicative of the ultimate cash flow or the earnings effect from the assumed market rate movements.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Interest Rate Exposure. </w:t>
      </w:r>
      <w:r>
        <w:rPr>
          <w:rFonts w:ascii="Arial" w:cs="Arial" w:eastAsia="Arial" w:hAnsi="Arial"/>
          <w:sz w:val="12"/>
          <w:szCs w:val="12"/>
          <w:color w:val="auto"/>
        </w:rPr>
        <w:t>Our exposure to market risk for changes in interest rates relates primarily to our debt obligations, which are primarily denominated in U.S. dollars.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addition, we use interest rate swaps to manage the mix of fixed and floating rate debt obligations, which directly impacts variability in interest costs. An instantaneous, one percentage point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increase in interest rates across all maturities and applicable yield curves would have decreased the fair value of our combined debt and interest rate swap positions by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$445 million at December 31, 2007 and $460 million at December 31, 2006. This analysis does not reflect the effect that increasing interest rates would have on other items, such as new</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borrowings, nor the unfavorable impact they would have on interest expense and cash payments for interest.</w:t>
      </w:r>
    </w:p>
    <w:p>
      <w:pPr>
        <w:spacing w:after="0" w:line="89" w:lineRule="exact"/>
        <w:rPr>
          <w:sz w:val="20"/>
          <w:szCs w:val="20"/>
          <w:color w:val="auto"/>
        </w:rPr>
      </w:pPr>
    </w:p>
    <w:p>
      <w:pPr>
        <w:ind w:left="680" w:right="40" w:firstLine="399"/>
        <w:spacing w:after="0" w:line="303" w:lineRule="auto"/>
        <w:rPr>
          <w:sz w:val="20"/>
          <w:szCs w:val="20"/>
          <w:color w:val="auto"/>
        </w:rPr>
      </w:pPr>
      <w:r>
        <w:rPr>
          <w:rFonts w:ascii="Arial" w:cs="Arial" w:eastAsia="Arial" w:hAnsi="Arial"/>
          <w:sz w:val="11"/>
          <w:szCs w:val="11"/>
          <w:color w:val="auto"/>
        </w:rPr>
        <w:t>We are also exposed to interest rate market risk because we have $418 million and $377 million of assets held in restricted trust funds and escrow accounts primarily included within long-term “Other assets” in our Consolidated Balance Sheets at December 31, 2007 and 2006, respectively. These assets are generally restricted for future capital expenditures and closure, post-closure and environmental remediation activities at our disposal facilities and are, therefore, invested in high quality, liquid instruments including money market accounts and</w:t>
      </w:r>
    </w:p>
    <w:p>
      <w:pPr>
        <w:ind w:left="680" w:right="80"/>
        <w:spacing w:after="0" w:line="264" w:lineRule="auto"/>
        <w:rPr>
          <w:sz w:val="20"/>
          <w:szCs w:val="20"/>
          <w:color w:val="auto"/>
        </w:rPr>
      </w:pPr>
      <w:r>
        <w:rPr>
          <w:rFonts w:ascii="Arial" w:cs="Arial" w:eastAsia="Arial" w:hAnsi="Arial"/>
          <w:sz w:val="13"/>
          <w:szCs w:val="13"/>
          <w:color w:val="auto"/>
        </w:rPr>
        <w:t>U.S. government agency debt securities. Because of the short terms to maturity of these investments, we believe that our exposure to changes in fair value due to interest rate fluctuations is insignificant.</w:t>
      </w:r>
    </w:p>
    <w:p>
      <w:pPr>
        <w:spacing w:after="0" w:line="67"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i w:val="1"/>
          <w:iCs w:val="1"/>
          <w:color w:val="auto"/>
        </w:rPr>
        <w:t xml:space="preserve">Currency Rate Exposure. </w:t>
      </w:r>
      <w:r>
        <w:rPr>
          <w:rFonts w:ascii="Arial" w:cs="Arial" w:eastAsia="Arial" w:hAnsi="Arial"/>
          <w:sz w:val="13"/>
          <w:szCs w:val="13"/>
          <w:color w:val="auto"/>
        </w:rPr>
        <w:t>From time to time, we have used currency derivatives to mitigate the impact of currency translation on cash flows of intercompany Canadian-currency</w:t>
      </w:r>
      <w:r>
        <w:rPr>
          <w:rFonts w:ascii="Arial" w:cs="Arial" w:eastAsia="Arial" w:hAnsi="Arial"/>
          <w:sz w:val="13"/>
          <w:szCs w:val="13"/>
          <w:i w:val="1"/>
          <w:iCs w:val="1"/>
          <w:color w:val="auto"/>
        </w:rPr>
        <w:t xml:space="preserve"> </w:t>
      </w:r>
      <w:r>
        <w:rPr>
          <w:rFonts w:ascii="Arial" w:cs="Arial" w:eastAsia="Arial" w:hAnsi="Arial"/>
          <w:sz w:val="13"/>
          <w:szCs w:val="13"/>
          <w:color w:val="auto"/>
        </w:rPr>
        <w:t>denominated debt transactions. Our foreign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20" w:lineRule="auto"/>
        <w:rPr>
          <w:sz w:val="20"/>
          <w:szCs w:val="20"/>
          <w:color w:val="auto"/>
        </w:rPr>
      </w:pPr>
      <w:r>
        <w:rPr>
          <w:rFonts w:ascii="Arial" w:cs="Arial" w:eastAsia="Arial" w:hAnsi="Arial"/>
          <w:sz w:val="12"/>
          <w:szCs w:val="12"/>
          <w:color w:val="auto"/>
        </w:rPr>
        <w:t>currency derivatives have not materially affected our financial position or results of operations for the periods presented. In addition, while changes in foreign currency exchange rates could significantly affect the fair value of our foreign currency derivatives, we believe these changes in fair value would not have a material impact to the Company.</w:t>
      </w:r>
    </w:p>
    <w:p>
      <w:pPr>
        <w:spacing w:after="0" w:line="65"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i w:val="1"/>
          <w:iCs w:val="1"/>
          <w:color w:val="auto"/>
        </w:rPr>
        <w:t xml:space="preserve">Commodities Price Exposure. </w:t>
      </w:r>
      <w:r>
        <w:rPr>
          <w:rFonts w:ascii="Arial" w:cs="Arial" w:eastAsia="Arial" w:hAnsi="Arial"/>
          <w:sz w:val="12"/>
          <w:szCs w:val="12"/>
          <w:color w:val="auto"/>
        </w:rPr>
        <w:t>We market recycled products such as wastepaper, aluminum and glass from our material recovery facilities. We have entered into commodity swaps</w:t>
      </w:r>
      <w:r>
        <w:rPr>
          <w:rFonts w:ascii="Arial" w:cs="Arial" w:eastAsia="Arial" w:hAnsi="Arial"/>
          <w:sz w:val="12"/>
          <w:szCs w:val="12"/>
          <w:i w:val="1"/>
          <w:iCs w:val="1"/>
          <w:color w:val="auto"/>
        </w:rPr>
        <w:t xml:space="preserve"> </w:t>
      </w:r>
      <w:r>
        <w:rPr>
          <w:rFonts w:ascii="Arial" w:cs="Arial" w:eastAsia="Arial" w:hAnsi="Arial"/>
          <w:sz w:val="12"/>
          <w:szCs w:val="12"/>
          <w:color w:val="auto"/>
        </w:rPr>
        <w:t>and options to mitigate the variability in cash flows from a portion of these sales. Under the swap agreements, we pay a floating index price and receive a fixed price for a fixed period of time. With regard to our option agreements, we have purchased price protection on certain wastepaper sales via synthetic floors (put options) and price protection on certain wastepaper purchases via synthetic ceilings (call options). Additionally, we have entered into collars (combination of a put and call option) with financial institutions in which we receive the market price for our wastepaper and aluminum sales within a specified floor and ceiling. We record changes in the fair value of commodity derivatives not designated as hedges to earnings, as required. The fair value position of our commodity derivatives is not material to our financial position at December 31, 2007 and 2006.</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9"/>
        </w:trPr>
        <w:tc>
          <w:tcPr>
            <w:tcW w:w="1280" w:type="dxa"/>
            <w:vAlign w:val="bottom"/>
            <w:gridSpan w:val="2"/>
          </w:tcPr>
          <w:p>
            <w:pPr>
              <w:ind w:left="680"/>
              <w:spacing w:after="0"/>
              <w:rPr>
                <w:sz w:val="20"/>
                <w:szCs w:val="20"/>
                <w:color w:val="auto"/>
              </w:rPr>
            </w:pPr>
            <w:r>
              <w:rPr>
                <w:rFonts w:ascii="Arial" w:cs="Arial" w:eastAsia="Arial" w:hAnsi="Arial"/>
                <w:sz w:val="13"/>
                <w:szCs w:val="13"/>
                <w:b w:val="1"/>
                <w:bCs w:val="1"/>
                <w:color w:val="auto"/>
              </w:rPr>
              <w:t>Item 8.</w:t>
            </w:r>
          </w:p>
        </w:tc>
        <w:tc>
          <w:tcPr>
            <w:tcW w:w="9100" w:type="dxa"/>
            <w:vAlign w:val="bottom"/>
            <w:gridSpan w:val="8"/>
          </w:tcPr>
          <w:p>
            <w:pPr>
              <w:ind w:left="220"/>
              <w:spacing w:after="0"/>
              <w:rPr>
                <w:sz w:val="20"/>
                <w:szCs w:val="20"/>
                <w:color w:val="auto"/>
              </w:rPr>
            </w:pPr>
            <w:r>
              <w:rPr>
                <w:rFonts w:ascii="Arial" w:cs="Arial" w:eastAsia="Arial" w:hAnsi="Arial"/>
                <w:sz w:val="13"/>
                <w:szCs w:val="13"/>
                <w:b w:val="1"/>
                <w:bCs w:val="1"/>
                <w:i w:val="1"/>
                <w:iCs w:val="1"/>
                <w:color w:val="auto"/>
              </w:rPr>
              <w:t>Financial Statements and Supplementary Data.</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92"/>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20" w:type="dxa"/>
            <w:vAlign w:val="bottom"/>
            <w:gridSpan w:val="4"/>
          </w:tcPr>
          <w:p>
            <w:pPr>
              <w:jc w:val="center"/>
              <w:ind w:right="3280"/>
              <w:spacing w:after="0"/>
              <w:rPr>
                <w:sz w:val="20"/>
                <w:szCs w:val="20"/>
                <w:color w:val="auto"/>
              </w:rPr>
            </w:pPr>
            <w:r>
              <w:rPr>
                <w:rFonts w:ascii="Arial" w:cs="Arial" w:eastAsia="Arial" w:hAnsi="Arial"/>
                <w:sz w:val="13"/>
                <w:szCs w:val="13"/>
                <w:b w:val="1"/>
                <w:bCs w:val="1"/>
                <w:color w:val="auto"/>
              </w:rPr>
              <w:t>INDEX TO</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9"/>
        </w:trPr>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120" w:type="dxa"/>
            <w:vAlign w:val="bottom"/>
            <w:gridSpan w:val="4"/>
          </w:tcPr>
          <w:p>
            <w:pPr>
              <w:jc w:val="center"/>
              <w:ind w:right="3300"/>
              <w:spacing w:after="0"/>
              <w:rPr>
                <w:sz w:val="20"/>
                <w:szCs w:val="20"/>
                <w:color w:val="auto"/>
              </w:rPr>
            </w:pPr>
            <w:r>
              <w:rPr>
                <w:rFonts w:ascii="Arial" w:cs="Arial" w:eastAsia="Arial" w:hAnsi="Arial"/>
                <w:sz w:val="13"/>
                <w:szCs w:val="13"/>
                <w:b w:val="1"/>
                <w:bCs w:val="1"/>
                <w:color w:val="auto"/>
              </w:rPr>
              <w:t>CONSOLIDATED FINANCIAL STATEMENTS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86"/>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24"/>
                <w:szCs w:val="24"/>
                <w:color w:val="auto"/>
              </w:rPr>
            </w:pPr>
          </w:p>
        </w:tc>
      </w:tr>
      <w:tr>
        <w:trPr>
          <w:trHeight w:val="157"/>
        </w:trPr>
        <w:tc>
          <w:tcPr>
            <w:tcW w:w="680" w:type="dxa"/>
            <w:vAlign w:val="bottom"/>
          </w:tcPr>
          <w:p>
            <w:pPr>
              <w:spacing w:after="0"/>
              <w:rPr>
                <w:sz w:val="13"/>
                <w:szCs w:val="13"/>
                <w:color w:val="auto"/>
              </w:rPr>
            </w:pPr>
          </w:p>
        </w:tc>
        <w:tc>
          <w:tcPr>
            <w:tcW w:w="3580" w:type="dxa"/>
            <w:vAlign w:val="bottom"/>
            <w:tcBorders>
              <w:bottom w:val="single" w:sz="8" w:color="0000EE"/>
            </w:tcBorders>
            <w:gridSpan w:val="5"/>
          </w:tcPr>
          <w:p>
            <w:pPr>
              <w:spacing w:after="0"/>
              <w:rPr>
                <w:rFonts w:ascii="Arial" w:cs="Arial" w:eastAsia="Arial" w:hAnsi="Arial"/>
                <w:sz w:val="13"/>
                <w:szCs w:val="13"/>
                <w:color w:val="0000EE"/>
                <w:w w:val="92"/>
              </w:rPr>
            </w:pPr>
            <w:hyperlink w:anchor="page54">
              <w:r>
                <w:rPr>
                  <w:rFonts w:ascii="Arial" w:cs="Arial" w:eastAsia="Arial" w:hAnsi="Arial"/>
                  <w:sz w:val="13"/>
                  <w:szCs w:val="13"/>
                  <w:color w:val="0000EE"/>
                  <w:w w:val="92"/>
                </w:rPr>
                <w:t>Management’s Report on Internal Control Over Financial Reporting</w:t>
              </w:r>
            </w:hyperlink>
          </w:p>
        </w:tc>
        <w:tc>
          <w:tcPr>
            <w:tcW w:w="6120" w:type="dxa"/>
            <w:vAlign w:val="bottom"/>
            <w:gridSpan w:val="4"/>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51</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9700" w:type="dxa"/>
            <w:vAlign w:val="bottom"/>
            <w:gridSpan w:val="9"/>
          </w:tcPr>
          <w:p>
            <w:pPr>
              <w:spacing w:after="0" w:line="138" w:lineRule="exact"/>
              <w:rPr>
                <w:rFonts w:ascii="Arial" w:cs="Arial" w:eastAsia="Arial" w:hAnsi="Arial"/>
                <w:sz w:val="13"/>
                <w:szCs w:val="13"/>
                <w:color w:val="0000EE"/>
              </w:rPr>
            </w:pPr>
            <w:hyperlink w:anchor="page55">
              <w:r>
                <w:rPr>
                  <w:rFonts w:ascii="Arial" w:cs="Arial" w:eastAsia="Arial" w:hAnsi="Arial"/>
                  <w:sz w:val="13"/>
                  <w:szCs w:val="13"/>
                  <w:color w:val="0000EE"/>
                </w:rPr>
                <w:t>Reports of Independent Registered Public Accounting Firm</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52</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3400" w:type="dxa"/>
            <w:vAlign w:val="bottom"/>
            <w:tcBorders>
              <w:bottom w:val="single" w:sz="8" w:color="0000EE"/>
            </w:tcBorders>
            <w:gridSpan w:val="4"/>
          </w:tcPr>
          <w:p>
            <w:pPr>
              <w:spacing w:after="0" w:line="138" w:lineRule="exact"/>
              <w:rPr>
                <w:rFonts w:ascii="Arial" w:cs="Arial" w:eastAsia="Arial" w:hAnsi="Arial"/>
                <w:sz w:val="13"/>
                <w:szCs w:val="13"/>
                <w:color w:val="0000EE"/>
                <w:w w:val="89"/>
              </w:rPr>
            </w:pPr>
            <w:hyperlink w:anchor="page57">
              <w:r>
                <w:rPr>
                  <w:rFonts w:ascii="Arial" w:cs="Arial" w:eastAsia="Arial" w:hAnsi="Arial"/>
                  <w:sz w:val="13"/>
                  <w:szCs w:val="13"/>
                  <w:color w:val="0000EE"/>
                  <w:w w:val="89"/>
                </w:rPr>
                <w:t>Consolidated Balance Sheets as of December 31, 2007 and 2006</w:t>
              </w:r>
            </w:hyperlink>
          </w:p>
        </w:tc>
        <w:tc>
          <w:tcPr>
            <w:tcW w:w="6300" w:type="dxa"/>
            <w:vAlign w:val="bottom"/>
            <w:gridSpan w:val="5"/>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54</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5040" w:type="dxa"/>
            <w:vAlign w:val="bottom"/>
            <w:tcBorders>
              <w:bottom w:val="single" w:sz="8" w:color="0000EE"/>
            </w:tcBorders>
            <w:gridSpan w:val="6"/>
          </w:tcPr>
          <w:p>
            <w:pPr>
              <w:spacing w:after="0" w:line="138" w:lineRule="exact"/>
              <w:rPr>
                <w:rFonts w:ascii="Arial" w:cs="Arial" w:eastAsia="Arial" w:hAnsi="Arial"/>
                <w:sz w:val="13"/>
                <w:szCs w:val="13"/>
                <w:color w:val="0000EE"/>
                <w:w w:val="89"/>
              </w:rPr>
            </w:pPr>
            <w:hyperlink w:anchor="page58">
              <w:r>
                <w:rPr>
                  <w:rFonts w:ascii="Arial" w:cs="Arial" w:eastAsia="Arial" w:hAnsi="Arial"/>
                  <w:sz w:val="13"/>
                  <w:szCs w:val="13"/>
                  <w:color w:val="0000EE"/>
                  <w:w w:val="89"/>
                </w:rPr>
                <w:t>Consolidated Statements of Operations for the Years Ended December 31, 2007, 2006 and 2005</w:t>
              </w:r>
            </w:hyperlink>
          </w:p>
        </w:tc>
        <w:tc>
          <w:tcPr>
            <w:tcW w:w="4660" w:type="dxa"/>
            <w:vAlign w:val="bottom"/>
            <w:gridSpan w:val="3"/>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55</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5080" w:type="dxa"/>
            <w:vAlign w:val="bottom"/>
            <w:tcBorders>
              <w:bottom w:val="single" w:sz="8" w:color="0000EE"/>
            </w:tcBorders>
            <w:gridSpan w:val="7"/>
          </w:tcPr>
          <w:p>
            <w:pPr>
              <w:spacing w:after="0" w:line="138" w:lineRule="exact"/>
              <w:rPr>
                <w:rFonts w:ascii="Arial" w:cs="Arial" w:eastAsia="Arial" w:hAnsi="Arial"/>
                <w:sz w:val="13"/>
                <w:szCs w:val="13"/>
                <w:color w:val="0000EE"/>
                <w:w w:val="89"/>
              </w:rPr>
            </w:pPr>
            <w:hyperlink w:anchor="page59">
              <w:r>
                <w:rPr>
                  <w:rFonts w:ascii="Arial" w:cs="Arial" w:eastAsia="Arial" w:hAnsi="Arial"/>
                  <w:sz w:val="13"/>
                  <w:szCs w:val="13"/>
                  <w:color w:val="0000EE"/>
                  <w:w w:val="89"/>
                </w:rPr>
                <w:t>Consolidated Statements of Cash Flows for the Years Ended December 31, 2007, 2006 and 2005</w:t>
              </w:r>
            </w:hyperlink>
          </w:p>
        </w:tc>
        <w:tc>
          <w:tcPr>
            <w:tcW w:w="4620" w:type="dxa"/>
            <w:vAlign w:val="bottom"/>
            <w:gridSpan w:val="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56</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5560" w:type="dxa"/>
            <w:vAlign w:val="bottom"/>
            <w:tcBorders>
              <w:bottom w:val="single" w:sz="8" w:color="0000EE"/>
            </w:tcBorders>
            <w:gridSpan w:val="8"/>
          </w:tcPr>
          <w:p>
            <w:pPr>
              <w:spacing w:after="0" w:line="138" w:lineRule="exact"/>
              <w:rPr>
                <w:rFonts w:ascii="Arial" w:cs="Arial" w:eastAsia="Arial" w:hAnsi="Arial"/>
                <w:sz w:val="13"/>
                <w:szCs w:val="13"/>
                <w:color w:val="0000EE"/>
                <w:w w:val="90"/>
              </w:rPr>
            </w:pPr>
            <w:hyperlink w:anchor="page60">
              <w:r>
                <w:rPr>
                  <w:rFonts w:ascii="Arial" w:cs="Arial" w:eastAsia="Arial" w:hAnsi="Arial"/>
                  <w:sz w:val="13"/>
                  <w:szCs w:val="13"/>
                  <w:color w:val="0000EE"/>
                  <w:w w:val="90"/>
                </w:rPr>
                <w:t>Consolidated Statements of Stockholders’ Equity for the Years Ended December 31, 2007, 2006 and 2005</w:t>
              </w:r>
            </w:hyperlink>
          </w:p>
        </w:tc>
        <w:tc>
          <w:tcPr>
            <w:tcW w:w="4140" w:type="dxa"/>
            <w:vAlign w:val="bottom"/>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57</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700" w:type="dxa"/>
            <w:vAlign w:val="bottom"/>
            <w:gridSpan w:val="9"/>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Notes to Consolidated Financial Statements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58</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700" w:type="dxa"/>
            <w:vAlign w:val="bottom"/>
            <w:tcBorders>
              <w:top w:val="single" w:sz="8" w:color="0000EE"/>
            </w:tcBorders>
          </w:tcPr>
          <w:p>
            <w:pPr>
              <w:spacing w:after="0"/>
              <w:rPr>
                <w:sz w:val="24"/>
                <w:szCs w:val="24"/>
                <w:color w:val="auto"/>
              </w:rPr>
            </w:pPr>
          </w:p>
        </w:tc>
        <w:tc>
          <w:tcPr>
            <w:tcW w:w="2780" w:type="dxa"/>
            <w:vAlign w:val="bottom"/>
            <w:gridSpan w:val="5"/>
          </w:tcPr>
          <w:p>
            <w:pPr>
              <w:jc w:val="center"/>
              <w:ind w:left="2554"/>
              <w:spacing w:after="0"/>
              <w:rPr>
                <w:sz w:val="20"/>
                <w:szCs w:val="20"/>
                <w:color w:val="auto"/>
              </w:rPr>
            </w:pPr>
            <w:r>
              <w:rPr>
                <w:rFonts w:ascii="Arial" w:cs="Arial" w:eastAsia="Arial" w:hAnsi="Arial"/>
                <w:sz w:val="13"/>
                <w:szCs w:val="13"/>
                <w:color w:val="auto"/>
                <w:w w:val="82"/>
              </w:rPr>
              <w:t>50</w:t>
            </w:r>
          </w:p>
        </w:tc>
        <w:tc>
          <w:tcPr>
            <w:tcW w:w="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1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MANAGEMENT’S REPORT ON INTERNAL CONTROL</w:t>
      </w:r>
    </w:p>
    <w:p>
      <w:pPr>
        <w:spacing w:after="0" w:line="19"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OVER FINANCIAL REPORTING</w:t>
      </w:r>
    </w:p>
    <w:p>
      <w:pPr>
        <w:spacing w:after="0" w:line="8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Management of the Company, including the Chief Executive Officer and the Chief Financial Officer, is responsible for establishing and maintaining adequate internal control over financial reporting, as defined in Rules 13a-15(f) and 15d-15(f) of the Securities Exchange Act of 1934, as amended. Our internal controls were designed to provide reasonable assurance as to (i) the reliability of our financial reporting; (ii) the reliability of the preparation and presentation of the consolidated financial statements for external purposes in accordance with accounting principles generally accepted in the United States; and (iii) the safeguarding of assets from unauthorized use or disposition.</w:t>
      </w:r>
    </w:p>
    <w:p>
      <w:pPr>
        <w:spacing w:after="0" w:line="5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conducted an evaluation of the effectiveness of our internal control over financial reporting as of December 31, 2007 based on the framework in Internal Control — Integrated Framework issued by the Committee of Sponsoring Organizations of the Treadway Commission. Through this evaluation, we did not identify any material weaknesses in our internal controls. There are inherent limitations in the effectiveness of any system of internal control over financial reporting; however, based on our evaluation, we have concluded that our internal control over financial reporting was effective as of December 31, 2007.</w:t>
      </w:r>
    </w:p>
    <w:p>
      <w:pPr>
        <w:spacing w:after="0" w:line="7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effectiveness of our internal control over financial reporting has been audited by Ernst &amp; Young LLP, an independent registered public accounting firm, as stated in their report which is included herein.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680" w:right="2720" w:firstLine="2747"/>
        <w:spacing w:after="0" w:line="397" w:lineRule="auto"/>
        <w:rPr>
          <w:sz w:val="20"/>
          <w:szCs w:val="20"/>
          <w:color w:val="auto"/>
        </w:rPr>
      </w:pPr>
      <w:r>
        <w:rPr>
          <w:rFonts w:ascii="Arial" w:cs="Arial" w:eastAsia="Arial" w:hAnsi="Arial"/>
          <w:sz w:val="13"/>
          <w:szCs w:val="13"/>
          <w:b w:val="1"/>
          <w:bCs w:val="1"/>
          <w:color w:val="auto"/>
        </w:rPr>
        <w:t xml:space="preserve">REPORT OF INDEPENDENT REGISTERED PUBLIC ACCOUNTING FIRM </w:t>
      </w:r>
      <w:r>
        <w:rPr>
          <w:rFonts w:ascii="Arial" w:cs="Arial" w:eastAsia="Arial" w:hAnsi="Arial"/>
          <w:sz w:val="13"/>
          <w:szCs w:val="13"/>
          <w:color w:val="auto"/>
        </w:rPr>
        <w:t>The Board of Directors and Stockholders of Waste Management, Inc.</w:t>
      </w:r>
    </w:p>
    <w:p>
      <w:pPr>
        <w:spacing w:after="0" w:line="1"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We have audited the accompanying consolidated balance sheets of Waste Management, Inc. (the “Company”) as of December 31, 2007 and 2006, and the related consolidated statements of operations, stockholders’ equity, and cash flows for each of the three years in the period ended December 31, 2007. These financial statements are the responsibility of the Company’s management. Our responsibility is to express an opinion on these financial statements based on our audits.</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Waste Management, Inc. at December 31, 2007 and 2006, and the consolidated results of its operations and its cash flows for each of the three years in the period ended December 31, 2007, in conformity with U.S. generally accepted accounting principles.</w:t>
      </w:r>
    </w:p>
    <w:p>
      <w:pPr>
        <w:spacing w:after="0" w:line="67"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As discussed in Note 2 to the consolidated financial statements, effective January 1, 2007, the Company adopted Financial Accounting Standard Board (FASB) Interpretation No. 48 “Accounting for Uncertainty in Income Taxes (an interpretation of FASB Statement No. 109)” and FASB Staff Position No. FIN 48-1 “Definition of Settlement in FASB Interpretation No. 48.” Additionally, effective January 1, 2006, the Company adopted Statement of Financial Accounting Standards No. 123 (revised 2004), “Share-Based Payment.”</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Waste Management, Inc.’s internal control over financial reporting as of December 31, 2007, based on criteria established in Internal Control-Integrated Framework issued by the Committee of Sponsoring Organizations of the Treadway Commission and our report dated February 18, 2008 expressed an unqualified opinion thereon.</w:t>
      </w:r>
    </w:p>
    <w:p>
      <w:pPr>
        <w:spacing w:after="0" w:line="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18, 2008</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2740" w:firstLine="2747"/>
        <w:spacing w:after="0" w:line="397" w:lineRule="auto"/>
        <w:rPr>
          <w:sz w:val="20"/>
          <w:szCs w:val="20"/>
          <w:color w:val="auto"/>
        </w:rPr>
      </w:pPr>
      <w:r>
        <w:rPr>
          <w:rFonts w:ascii="Arial" w:cs="Arial" w:eastAsia="Arial" w:hAnsi="Arial"/>
          <w:sz w:val="13"/>
          <w:szCs w:val="13"/>
          <w:b w:val="1"/>
          <w:bCs w:val="1"/>
          <w:color w:val="auto"/>
        </w:rPr>
        <w:t xml:space="preserve">REPORT OF INDEPENDENT REGISTERED PUBLIC ACCOUNTING FIRM </w:t>
      </w:r>
      <w:r>
        <w:rPr>
          <w:rFonts w:ascii="Arial" w:cs="Arial" w:eastAsia="Arial" w:hAnsi="Arial"/>
          <w:sz w:val="13"/>
          <w:szCs w:val="13"/>
          <w:color w:val="auto"/>
        </w:rPr>
        <w:t>The Board of Directors and Stockholders of Waste Management, Inc.</w:t>
      </w:r>
    </w:p>
    <w:p>
      <w:pPr>
        <w:spacing w:after="0" w:line="1"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We have audited Waste Management, Inc.’s internal control over financial reporting as of December 31, 2007, based on criteria established in Internal Control-Integrated Framework issued by the Committee of Sponsoring Organizations of the Treadway Commission (the COSO criteria). Waste Management,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9"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our opinion, Waste Management, Inc. maintained, in all material respects, effective internal control over financial reporting as of December 31, 2007, based on the COSO criteria.</w:t>
      </w:r>
    </w:p>
    <w:p>
      <w:pPr>
        <w:spacing w:after="0" w:line="108"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Waste Management, Inc. as of December 31, 2007 and 2006, and the related consolidated statements of operations, stockholders’ equity and cash flows for each of the three years in the period ended December 31, 2007 and our report dated February 18, 2008 expressed an unqualified opinion thereon.</w:t>
      </w:r>
    </w:p>
    <w:p>
      <w:pPr>
        <w:spacing w:after="0" w:line="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18, 2008</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(In millions, except share and par value amounts)</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614</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Accounts receivable, net of allowance for doubtful accounts of $46 and $51, respectively</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1,674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1,650</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receivables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Parts and supplies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103</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2,480</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3,182</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Property and equipment, net of accumulated depreciation and amortization of $12,844 and $11,993, respectively</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11,351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11,179</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5,406</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5,292</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Other intangible assets, net</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826</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3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20,175</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20,600</w:t>
            </w: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3580"/>
              <w:spacing w:after="0"/>
              <w:rPr>
                <w:sz w:val="20"/>
                <w:szCs w:val="20"/>
                <w:color w:val="auto"/>
              </w:rPr>
            </w:pPr>
            <w:r>
              <w:rPr>
                <w:rFonts w:ascii="Arial" w:cs="Arial" w:eastAsia="Arial" w:hAnsi="Arial"/>
                <w:sz w:val="13"/>
                <w:szCs w:val="13"/>
                <w:b w:val="1"/>
                <w:bCs w:val="1"/>
                <w:color w:val="auto"/>
              </w:rPr>
              <w:t>LIABILITIES AND STOCKHOLDERS’ EQUITY</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693</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Accrued liabilities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1,151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1,298</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455</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822</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3,268</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Long-term debt, less current portion</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8,008</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7,495</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1,365</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Landfill and environmental remediation liabilities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1,312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1,234</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741</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14,073</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14,103</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Minority interest in subsidiaries and variable interest entities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color w:val="auto"/>
              </w:rPr>
              <w:t>Commitments and contingencies</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Common stock, $0.01 par value; 1,500,000,000 shares authorized; 630,282,461 shares issued</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4,542</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4,513</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Retained earnings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5,080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4,410</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Treasury stock at cost, 130,163,692 and 96,598,567 shares, respectively</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(4,065)</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(2,836)</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stockholders’ equity</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5,792</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6,222</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stockholders’ equity</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20,175</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20,600</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13,310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13,363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Costs and expenses:</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8,402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8,587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1,432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1,388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1,276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1,259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(47)</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11,056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11,334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11,364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2,254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Other income (expense):</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(521)</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(545)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47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net losses of unconsolidated entities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Minority interest</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(46)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(551)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(555)</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1,703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540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325</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1,163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300" w:type="dxa"/>
            <w:vAlign w:val="bottom"/>
            <w:vMerge w:val="restart"/>
          </w:tcPr>
          <w:p>
            <w:pPr>
              <w:spacing w:after="0"/>
              <w:rPr>
                <w:sz w:val="20"/>
                <w:szCs w:val="20"/>
                <w:color w:val="auto"/>
              </w:rPr>
            </w:pPr>
            <w:r>
              <w:rPr>
                <w:rFonts w:ascii="Arial" w:cs="Arial" w:eastAsia="Arial" w:hAnsi="Arial"/>
                <w:sz w:val="13"/>
                <w:szCs w:val="13"/>
                <w:color w:val="auto"/>
              </w:rPr>
              <w:t>Basic earnings per common share</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3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2.25</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2.13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2.11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300" w:type="dxa"/>
            <w:vAlign w:val="bottom"/>
            <w:vMerge w:val="restart"/>
          </w:tcPr>
          <w:p>
            <w:pPr>
              <w:spacing w:after="0"/>
              <w:rPr>
                <w:sz w:val="20"/>
                <w:szCs w:val="20"/>
                <w:color w:val="auto"/>
              </w:rPr>
            </w:pPr>
            <w:r>
              <w:rPr>
                <w:rFonts w:ascii="Arial" w:cs="Arial" w:eastAsia="Arial" w:hAnsi="Arial"/>
                <w:sz w:val="13"/>
                <w:szCs w:val="13"/>
                <w:color w:val="auto"/>
              </w:rPr>
              <w:t>Cash dividends declared per common share (2005 includes $0.22 paid in 2006)</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7300" w:type="dxa"/>
            <w:vAlign w:val="bottom"/>
            <w:vMerge w:val="continue"/>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0.96</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0.66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1.02</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7300" w:type="dxa"/>
            <w:vAlign w:val="bottom"/>
          </w:tcPr>
          <w:p>
            <w:pPr>
              <w:ind w:left="3740"/>
              <w:spacing w:after="0"/>
              <w:rPr>
                <w:sz w:val="20"/>
                <w:szCs w:val="20"/>
                <w:color w:val="auto"/>
              </w:rPr>
            </w:pPr>
            <w:r>
              <w:rPr>
                <w:rFonts w:ascii="Arial" w:cs="Arial" w:eastAsia="Arial" w:hAnsi="Arial"/>
                <w:sz w:val="13"/>
                <w:szCs w:val="13"/>
                <w:color w:val="auto"/>
              </w:rPr>
              <w:t>See notes to Consolidated Financial Statements.</w:t>
            </w: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7300" w:type="dxa"/>
            <w:vAlign w:val="bottom"/>
          </w:tcPr>
          <w:p>
            <w:pPr>
              <w:ind w:left="4940"/>
              <w:spacing w:after="0"/>
              <w:rPr>
                <w:sz w:val="20"/>
                <w:szCs w:val="20"/>
                <w:color w:val="auto"/>
              </w:rPr>
            </w:pPr>
            <w:r>
              <w:rPr>
                <w:rFonts w:ascii="Arial" w:cs="Arial" w:eastAsia="Arial" w:hAnsi="Arial"/>
                <w:sz w:val="13"/>
                <w:szCs w:val="13"/>
                <w:color w:val="auto"/>
              </w:rPr>
              <w:t>55</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(In millions)</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6"/>
          </w:tcPr>
          <w:p>
            <w:pPr>
              <w:jc w:val="center"/>
              <w:ind w:left="201"/>
              <w:spacing w:after="0"/>
              <w:rPr>
                <w:sz w:val="20"/>
                <w:szCs w:val="20"/>
                <w:color w:val="auto"/>
              </w:rPr>
            </w:pPr>
            <w:r>
              <w:rPr>
                <w:rFonts w:ascii="Arial" w:cs="Arial" w:eastAsia="Arial" w:hAnsi="Arial"/>
                <w:sz w:val="10"/>
                <w:szCs w:val="10"/>
                <w:b w:val="1"/>
                <w:bCs w:val="1"/>
                <w:color w:val="auto"/>
                <w:w w:val="94"/>
              </w:rPr>
              <w:t>Years Ended December 31,</w:t>
            </w: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w w:val="98"/>
              </w:rPr>
              <w:t>2007</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21"/>
              <w:spacing w:after="0" w:line="98" w:lineRule="exact"/>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1,163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1,149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1,182</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Provision for bad debts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43</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7"/>
        </w:trPr>
        <w:tc>
          <w:tcPr>
            <w:tcW w:w="788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1,259</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1,334</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1,361</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income tax provision</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47"/>
        </w:trPr>
        <w:tc>
          <w:tcPr>
            <w:tcW w:w="7880" w:type="dxa"/>
            <w:vAlign w:val="bottom"/>
          </w:tcPr>
          <w:p>
            <w:pPr>
              <w:ind w:left="240"/>
              <w:spacing w:after="0"/>
              <w:rPr>
                <w:sz w:val="20"/>
                <w:szCs w:val="20"/>
                <w:color w:val="auto"/>
              </w:rPr>
            </w:pPr>
            <w:r>
              <w:rPr>
                <w:rFonts w:ascii="Arial" w:cs="Arial" w:eastAsia="Arial" w:hAnsi="Arial"/>
                <w:sz w:val="12"/>
                <w:szCs w:val="12"/>
                <w:color w:val="auto"/>
              </w:rPr>
              <w:t>Minority interest</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46</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44</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Equity in net losses of unconsolidated entities, net of distributions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47</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47"/>
        </w:trPr>
        <w:tc>
          <w:tcPr>
            <w:tcW w:w="7880" w:type="dxa"/>
            <w:vAlign w:val="bottom"/>
          </w:tcPr>
          <w:p>
            <w:pPr>
              <w:ind w:left="240"/>
              <w:spacing w:after="0"/>
              <w:rPr>
                <w:sz w:val="20"/>
                <w:szCs w:val="20"/>
                <w:color w:val="auto"/>
              </w:rPr>
            </w:pPr>
            <w:r>
              <w:rPr>
                <w:rFonts w:ascii="Arial" w:cs="Arial" w:eastAsia="Arial" w:hAnsi="Arial"/>
                <w:sz w:val="12"/>
                <w:szCs w:val="12"/>
                <w:color w:val="auto"/>
              </w:rPr>
              <w:t>Net gain from disposal of assets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(27)</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Effect of (income) expense from divestitures, asset impairments and unusual items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47"/>
        </w:trPr>
        <w:tc>
          <w:tcPr>
            <w:tcW w:w="7880" w:type="dxa"/>
            <w:vAlign w:val="bottom"/>
          </w:tcPr>
          <w:p>
            <w:pPr>
              <w:ind w:left="240"/>
              <w:spacing w:after="0"/>
              <w:rPr>
                <w:sz w:val="20"/>
                <w:szCs w:val="20"/>
                <w:color w:val="auto"/>
              </w:rPr>
            </w:pPr>
            <w:r>
              <w:rPr>
                <w:rFonts w:ascii="Arial" w:cs="Arial" w:eastAsia="Arial" w:hAnsi="Arial"/>
                <w:sz w:val="12"/>
                <w:szCs w:val="12"/>
                <w:color w:val="auto"/>
              </w:rPr>
              <w:t>Excess tax benefits associated with equity-based compensation</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operating assets and liabilities, net of effects of acquisitions and divestitures: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tcPr>
          <w:p>
            <w:pPr>
              <w:ind w:left="360"/>
              <w:spacing w:after="0"/>
              <w:rPr>
                <w:sz w:val="20"/>
                <w:szCs w:val="20"/>
                <w:color w:val="auto"/>
              </w:rPr>
            </w:pPr>
            <w:r>
              <w:rPr>
                <w:rFonts w:ascii="Arial" w:cs="Arial" w:eastAsia="Arial" w:hAnsi="Arial"/>
                <w:sz w:val="12"/>
                <w:szCs w:val="12"/>
                <w:color w:val="auto"/>
              </w:rPr>
              <w:t>Receivables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Other current assets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47"/>
        </w:trPr>
        <w:tc>
          <w:tcPr>
            <w:tcW w:w="7880" w:type="dxa"/>
            <w:vAlign w:val="bottom"/>
          </w:tcPr>
          <w:p>
            <w:pPr>
              <w:ind w:left="360"/>
              <w:spacing w:after="0"/>
              <w:rPr>
                <w:sz w:val="20"/>
                <w:szCs w:val="20"/>
                <w:color w:val="auto"/>
              </w:rPr>
            </w:pPr>
            <w:r>
              <w:rPr>
                <w:rFonts w:ascii="Arial" w:cs="Arial" w:eastAsia="Arial" w:hAnsi="Arial"/>
                <w:sz w:val="12"/>
                <w:szCs w:val="12"/>
                <w:color w:val="auto"/>
              </w:rPr>
              <w:t>Other assets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Accounts payable and accrued liabilities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(51)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(187)</w:t>
            </w:r>
          </w:p>
        </w:tc>
        <w:tc>
          <w:tcPr>
            <w:tcW w:w="0" w:type="dxa"/>
            <w:vAlign w:val="bottom"/>
          </w:tcPr>
          <w:p>
            <w:pPr>
              <w:spacing w:after="0"/>
              <w:rPr>
                <w:sz w:val="1"/>
                <w:szCs w:val="1"/>
                <w:color w:val="auto"/>
              </w:rPr>
            </w:pPr>
          </w:p>
        </w:tc>
      </w:tr>
      <w:tr>
        <w:trPr>
          <w:trHeight w:val="147"/>
        </w:trPr>
        <w:tc>
          <w:tcPr>
            <w:tcW w:w="7880" w:type="dxa"/>
            <w:vAlign w:val="bottom"/>
          </w:tcPr>
          <w:p>
            <w:pPr>
              <w:ind w:left="360"/>
              <w:spacing w:after="0"/>
              <w:rPr>
                <w:sz w:val="20"/>
                <w:szCs w:val="20"/>
                <w:color w:val="auto"/>
              </w:rPr>
            </w:pPr>
            <w:r>
              <w:rPr>
                <w:rFonts w:ascii="Arial" w:cs="Arial" w:eastAsia="Arial" w:hAnsi="Arial"/>
                <w:sz w:val="12"/>
                <w:szCs w:val="12"/>
                <w:color w:val="auto"/>
              </w:rPr>
              <w:t>Deferred revenues and other liabilities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2,540</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2,391</w:t>
            </w:r>
          </w:p>
        </w:tc>
        <w:tc>
          <w:tcPr>
            <w:tcW w:w="0" w:type="dxa"/>
            <w:vAlign w:val="bottom"/>
          </w:tcPr>
          <w:p>
            <w:pPr>
              <w:spacing w:after="0"/>
              <w:rPr>
                <w:sz w:val="1"/>
                <w:szCs w:val="1"/>
                <w:color w:val="auto"/>
              </w:rPr>
            </w:pPr>
          </w:p>
        </w:tc>
      </w:tr>
      <w:tr>
        <w:trPr>
          <w:trHeight w:val="144"/>
        </w:trPr>
        <w:tc>
          <w:tcPr>
            <w:tcW w:w="788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(90)</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w w:val="94"/>
              </w:rPr>
              <w:t>(1,211)</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w w:val="89"/>
              </w:rPr>
              <w:t>(1,329)</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(1,180)</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divestitures of businesses (net of cash divested) and other sales of assets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278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240</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194</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Purchases of short-term investments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w w:val="94"/>
              </w:rPr>
              <w:t>(1,220)</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w w:val="89"/>
              </w:rPr>
              <w:t>(3,001)</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(1,079)</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sales of short-term investments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1,404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3,123</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784</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Net receipts from restricted trust and escrow accounts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120</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253</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395</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2"/>
                <w:szCs w:val="12"/>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(761)</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(788)</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(1,062)</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New borrowings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944</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432</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365</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Debt repayments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94"/>
              </w:rPr>
              <w:t>(1,200)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(932)</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(376)</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Common stock repurchases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w w:val="94"/>
              </w:rPr>
              <w:t>(1,421)</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w w:val="89"/>
              </w:rPr>
              <w:t>(1,072)</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(706)</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(495)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(476)</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(449)</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Exercise of common stock options and warrants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142</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295</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Excess tax benefits associated with equity-based transactions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Minority interest distributions paid</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(73)</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2"/>
                <w:szCs w:val="12"/>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w w:val="94"/>
              </w:rPr>
              <w:t>(1,946)</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w w:val="89"/>
              </w:rPr>
              <w:t>(1,803)</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(1,090)</w:t>
            </w:r>
          </w:p>
        </w:tc>
        <w:tc>
          <w:tcPr>
            <w:tcW w:w="0" w:type="dxa"/>
            <w:vAlign w:val="bottom"/>
          </w:tcPr>
          <w:p>
            <w:pPr>
              <w:spacing w:after="0"/>
              <w:rPr>
                <w:sz w:val="1"/>
                <w:szCs w:val="1"/>
                <w:color w:val="auto"/>
              </w:rPr>
            </w:pPr>
          </w:p>
        </w:tc>
      </w:tr>
      <w:tr>
        <w:trPr>
          <w:trHeight w:val="22"/>
        </w:trPr>
        <w:tc>
          <w:tcPr>
            <w:tcW w:w="7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2"/>
                <w:szCs w:val="12"/>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(266)</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150"/>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year</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666</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424</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year</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88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348</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614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666</w:t>
            </w:r>
          </w:p>
        </w:tc>
        <w:tc>
          <w:tcPr>
            <w:tcW w:w="0" w:type="dxa"/>
            <w:vAlign w:val="bottom"/>
          </w:tcPr>
          <w:p>
            <w:pPr>
              <w:spacing w:after="0"/>
              <w:rPr>
                <w:sz w:val="1"/>
                <w:szCs w:val="1"/>
                <w:color w:val="auto"/>
              </w:rPr>
            </w:pPr>
          </w:p>
        </w:tc>
      </w:tr>
      <w:tr>
        <w:trPr>
          <w:trHeight w:val="155"/>
        </w:trPr>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Supplemental cash flow information:</w:t>
            </w: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80" w:type="dxa"/>
            <w:vAlign w:val="bottom"/>
          </w:tcPr>
          <w:p>
            <w:pPr>
              <w:ind w:left="120"/>
              <w:spacing w:after="0"/>
              <w:rPr>
                <w:sz w:val="20"/>
                <w:szCs w:val="20"/>
                <w:color w:val="auto"/>
              </w:rPr>
            </w:pPr>
            <w:r>
              <w:rPr>
                <w:rFonts w:ascii="Arial" w:cs="Arial" w:eastAsia="Arial" w:hAnsi="Arial"/>
                <w:sz w:val="12"/>
                <w:szCs w:val="12"/>
                <w:color w:val="auto"/>
              </w:rPr>
              <w:t>Cash paid during the year for:</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net of capitalized interest and periodic settlements from interest rate swap agreements</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543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548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505</w:t>
            </w:r>
          </w:p>
        </w:tc>
        <w:tc>
          <w:tcPr>
            <w:tcW w:w="0" w:type="dxa"/>
            <w:vAlign w:val="bottom"/>
          </w:tcPr>
          <w:p>
            <w:pPr>
              <w:spacing w:after="0"/>
              <w:rPr>
                <w:sz w:val="1"/>
                <w:szCs w:val="1"/>
                <w:color w:val="auto"/>
              </w:rPr>
            </w:pPr>
          </w:p>
        </w:tc>
      </w:tr>
      <w:tr>
        <w:trPr>
          <w:trHeight w:val="149"/>
        </w:trPr>
        <w:tc>
          <w:tcPr>
            <w:tcW w:w="7880" w:type="dxa"/>
            <w:vAlign w:val="bottom"/>
          </w:tcPr>
          <w:p>
            <w:pPr>
              <w:ind w:left="240"/>
              <w:spacing w:after="0"/>
              <w:rPr>
                <w:sz w:val="20"/>
                <w:szCs w:val="20"/>
                <w:color w:val="auto"/>
              </w:rPr>
            </w:pPr>
            <w:r>
              <w:rPr>
                <w:rFonts w:ascii="Arial" w:cs="Arial" w:eastAsia="Arial" w:hAnsi="Arial"/>
                <w:sz w:val="12"/>
                <w:szCs w:val="12"/>
                <w:color w:val="auto"/>
              </w:rPr>
              <w:t>Income taxes</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416</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475</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720"/>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9"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1"/>
              </w:rPr>
              <w:t>Other</w:t>
            </w:r>
          </w:p>
        </w:tc>
        <w:tc>
          <w:tcPr>
            <w:tcW w:w="80" w:type="dxa"/>
            <w:vAlign w:val="bottom"/>
          </w:tcPr>
          <w:p>
            <w:pPr>
              <w:spacing w:after="0"/>
              <w:rPr>
                <w:sz w:val="8"/>
                <w:szCs w:val="8"/>
                <w:color w:val="auto"/>
              </w:rPr>
            </w:pPr>
          </w:p>
        </w:tc>
        <w:tc>
          <w:tcPr>
            <w:tcW w:w="92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0"/>
              </w:rPr>
              <w:t>Restricted</w:t>
            </w: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860" w:type="dxa"/>
            <w:vAlign w:val="bottom"/>
            <w:gridSpan w:val="3"/>
            <w:vMerge w:val="restart"/>
          </w:tcPr>
          <w:p>
            <w:pPr>
              <w:jc w:val="right"/>
              <w:ind w:right="32"/>
              <w:spacing w:after="0"/>
              <w:rPr>
                <w:sz w:val="20"/>
                <w:szCs w:val="20"/>
                <w:color w:val="auto"/>
              </w:rPr>
            </w:pPr>
            <w:r>
              <w:rPr>
                <w:rFonts w:ascii="Arial" w:cs="Arial" w:eastAsia="Arial" w:hAnsi="Arial"/>
                <w:sz w:val="9"/>
                <w:szCs w:val="9"/>
                <w:b w:val="1"/>
                <w:bCs w:val="1"/>
                <w:color w:val="auto"/>
              </w:rPr>
              <w:t>Common Stock</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9"/>
                <w:szCs w:val="9"/>
                <w:b w:val="1"/>
                <w:bCs w:val="1"/>
                <w:color w:val="auto"/>
                <w:w w:val="95"/>
              </w:rPr>
              <w:t>Additional</w:t>
            </w: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1"/>
              </w:rPr>
              <w:t>Comprehensive</w:t>
            </w:r>
          </w:p>
        </w:tc>
        <w:tc>
          <w:tcPr>
            <w:tcW w:w="80" w:type="dxa"/>
            <w:vAlign w:val="bottom"/>
          </w:tcPr>
          <w:p>
            <w:pPr>
              <w:spacing w:after="0"/>
              <w:rPr>
                <w:sz w:val="9"/>
                <w:szCs w:val="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89"/>
              </w:rPr>
              <w:t>Stock</w:t>
            </w:r>
          </w:p>
        </w:tc>
        <w:tc>
          <w:tcPr>
            <w:tcW w:w="1220" w:type="dxa"/>
            <w:vAlign w:val="bottom"/>
            <w:gridSpan w:val="5"/>
            <w:vMerge w:val="restart"/>
          </w:tcPr>
          <w:p>
            <w:pPr>
              <w:jc w:val="right"/>
              <w:ind w:right="420"/>
              <w:spacing w:after="0"/>
              <w:rPr>
                <w:sz w:val="20"/>
                <w:szCs w:val="20"/>
                <w:color w:val="auto"/>
              </w:rPr>
            </w:pPr>
            <w:r>
              <w:rPr>
                <w:rFonts w:ascii="Arial" w:cs="Arial" w:eastAsia="Arial" w:hAnsi="Arial"/>
                <w:sz w:val="9"/>
                <w:szCs w:val="9"/>
                <w:b w:val="1"/>
                <w:bCs w:val="1"/>
                <w:color w:val="auto"/>
              </w:rPr>
              <w:t>Treasury Stock</w:t>
            </w: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16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300"/>
              <w:spacing w:after="0" w:line="102" w:lineRule="exact"/>
              <w:rPr>
                <w:sz w:val="20"/>
                <w:szCs w:val="20"/>
                <w:color w:val="auto"/>
              </w:rPr>
            </w:pPr>
            <w:r>
              <w:rPr>
                <w:rFonts w:ascii="Arial" w:cs="Arial" w:eastAsia="Arial" w:hAnsi="Arial"/>
                <w:sz w:val="9"/>
                <w:szCs w:val="9"/>
                <w:b w:val="1"/>
                <w:bCs w:val="1"/>
                <w:color w:val="auto"/>
                <w:w w:val="99"/>
              </w:rPr>
              <w:t>Paid-In</w:t>
            </w:r>
          </w:p>
        </w:tc>
        <w:tc>
          <w:tcPr>
            <w:tcW w:w="580" w:type="dxa"/>
            <w:vAlign w:val="bottom"/>
            <w:gridSpan w:val="3"/>
          </w:tcPr>
          <w:p>
            <w:pPr>
              <w:jc w:val="right"/>
              <w:ind w:right="200"/>
              <w:spacing w:after="0" w:line="102" w:lineRule="exact"/>
              <w:rPr>
                <w:sz w:val="20"/>
                <w:szCs w:val="20"/>
                <w:color w:val="auto"/>
              </w:rPr>
            </w:pPr>
            <w:r>
              <w:rPr>
                <w:rFonts w:ascii="Arial" w:cs="Arial" w:eastAsia="Arial" w:hAnsi="Arial"/>
                <w:sz w:val="9"/>
                <w:szCs w:val="9"/>
                <w:b w:val="1"/>
                <w:bCs w:val="1"/>
                <w:color w:val="auto"/>
                <w:w w:val="94"/>
              </w:rPr>
              <w:t>Retained</w:t>
            </w:r>
          </w:p>
        </w:tc>
        <w:tc>
          <w:tcPr>
            <w:tcW w:w="80" w:type="dxa"/>
            <w:vAlign w:val="bottom"/>
          </w:tcPr>
          <w:p>
            <w:pPr>
              <w:spacing w:after="0"/>
              <w:rPr>
                <w:sz w:val="8"/>
                <w:szCs w:val="8"/>
                <w:color w:val="auto"/>
              </w:rPr>
            </w:pPr>
          </w:p>
        </w:tc>
        <w:tc>
          <w:tcPr>
            <w:tcW w:w="920" w:type="dxa"/>
            <w:vAlign w:val="bottom"/>
            <w:gridSpan w:val="2"/>
          </w:tcPr>
          <w:p>
            <w:pPr>
              <w:jc w:val="center"/>
              <w:ind w:right="260"/>
              <w:spacing w:after="0" w:line="102" w:lineRule="exact"/>
              <w:rPr>
                <w:sz w:val="20"/>
                <w:szCs w:val="20"/>
                <w:color w:val="auto"/>
              </w:rPr>
            </w:pPr>
            <w:r>
              <w:rPr>
                <w:rFonts w:ascii="Arial" w:cs="Arial" w:eastAsia="Arial" w:hAnsi="Arial"/>
                <w:sz w:val="9"/>
                <w:szCs w:val="9"/>
                <w:b w:val="1"/>
                <w:bCs w:val="1"/>
                <w:color w:val="auto"/>
                <w:w w:val="95"/>
              </w:rPr>
              <w:t>Income</w:t>
            </w:r>
          </w:p>
        </w:tc>
        <w:tc>
          <w:tcPr>
            <w:tcW w:w="80" w:type="dxa"/>
            <w:vAlign w:val="bottom"/>
          </w:tcPr>
          <w:p>
            <w:pPr>
              <w:spacing w:after="0"/>
              <w:rPr>
                <w:sz w:val="8"/>
                <w:szCs w:val="8"/>
                <w:color w:val="auto"/>
              </w:rPr>
            </w:pPr>
          </w:p>
        </w:tc>
        <w:tc>
          <w:tcPr>
            <w:tcW w:w="920" w:type="dxa"/>
            <w:vAlign w:val="bottom"/>
            <w:gridSpan w:val="2"/>
          </w:tcPr>
          <w:p>
            <w:pPr>
              <w:jc w:val="center"/>
              <w:ind w:right="280"/>
              <w:spacing w:after="0" w:line="102" w:lineRule="exact"/>
              <w:rPr>
                <w:sz w:val="20"/>
                <w:szCs w:val="20"/>
                <w:color w:val="auto"/>
              </w:rPr>
            </w:pPr>
            <w:r>
              <w:rPr>
                <w:rFonts w:ascii="Arial" w:cs="Arial" w:eastAsia="Arial" w:hAnsi="Arial"/>
                <w:sz w:val="9"/>
                <w:szCs w:val="9"/>
                <w:b w:val="1"/>
                <w:bCs w:val="1"/>
                <w:color w:val="auto"/>
                <w:w w:val="96"/>
              </w:rPr>
              <w:t>Unearned</w:t>
            </w:r>
          </w:p>
        </w:tc>
        <w:tc>
          <w:tcPr>
            <w:tcW w:w="122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tcPr>
          <w:p>
            <w:pPr>
              <w:jc w:val="right"/>
              <w:ind w:right="440"/>
              <w:spacing w:after="0" w:line="102" w:lineRule="exact"/>
              <w:rPr>
                <w:sz w:val="20"/>
                <w:szCs w:val="20"/>
                <w:color w:val="auto"/>
              </w:rPr>
            </w:pPr>
            <w:r>
              <w:rPr>
                <w:rFonts w:ascii="Arial" w:cs="Arial" w:eastAsia="Arial" w:hAnsi="Arial"/>
                <w:sz w:val="9"/>
                <w:szCs w:val="9"/>
                <w:b w:val="1"/>
                <w:bCs w:val="1"/>
                <w:color w:val="auto"/>
                <w:w w:val="91"/>
              </w:rPr>
              <w:t>Comprehensive</w:t>
            </w:r>
          </w:p>
        </w:tc>
        <w:tc>
          <w:tcPr>
            <w:tcW w:w="0" w:type="dxa"/>
            <w:vAlign w:val="bottom"/>
          </w:tcPr>
          <w:p>
            <w:pPr>
              <w:spacing w:after="0"/>
              <w:rPr>
                <w:sz w:val="1"/>
                <w:szCs w:val="1"/>
                <w:color w:val="auto"/>
              </w:rPr>
            </w:pPr>
          </w:p>
        </w:tc>
      </w:tr>
      <w:tr>
        <w:trPr>
          <w:trHeight w:val="88"/>
        </w:trPr>
        <w:tc>
          <w:tcPr>
            <w:tcW w:w="3160" w:type="dxa"/>
            <w:vAlign w:val="bottom"/>
          </w:tcPr>
          <w:p>
            <w:pPr>
              <w:spacing w:after="0"/>
              <w:rPr>
                <w:sz w:val="7"/>
                <w:szCs w:val="7"/>
                <w:color w:val="auto"/>
              </w:rPr>
            </w:pPr>
          </w:p>
        </w:tc>
        <w:tc>
          <w:tcPr>
            <w:tcW w:w="600" w:type="dxa"/>
            <w:vAlign w:val="bottom"/>
            <w:tcBorders>
              <w:top w:val="single" w:sz="8" w:color="auto"/>
            </w:tcBorders>
            <w:gridSpan w:val="2"/>
          </w:tcPr>
          <w:p>
            <w:pPr>
              <w:jc w:val="right"/>
              <w:ind w:right="260"/>
              <w:spacing w:after="0" w:line="88" w:lineRule="exact"/>
              <w:rPr>
                <w:sz w:val="20"/>
                <w:szCs w:val="20"/>
                <w:color w:val="auto"/>
              </w:rPr>
            </w:pPr>
            <w:r>
              <w:rPr>
                <w:rFonts w:ascii="Arial" w:cs="Arial" w:eastAsia="Arial" w:hAnsi="Arial"/>
                <w:sz w:val="9"/>
                <w:szCs w:val="9"/>
                <w:b w:val="1"/>
                <w:bCs w:val="1"/>
                <w:color w:val="auto"/>
              </w:rPr>
              <w:t>Shares</w:t>
            </w:r>
          </w:p>
        </w:tc>
        <w:tc>
          <w:tcPr>
            <w:tcW w:w="40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2"/>
              </w:rPr>
              <w:t>Amounts</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right"/>
              <w:ind w:right="300"/>
              <w:spacing w:after="0" w:line="88" w:lineRule="exact"/>
              <w:rPr>
                <w:sz w:val="20"/>
                <w:szCs w:val="20"/>
                <w:color w:val="auto"/>
              </w:rPr>
            </w:pPr>
            <w:r>
              <w:rPr>
                <w:rFonts w:ascii="Arial" w:cs="Arial" w:eastAsia="Arial" w:hAnsi="Arial"/>
                <w:sz w:val="9"/>
                <w:szCs w:val="9"/>
                <w:b w:val="1"/>
                <w:bCs w:val="1"/>
                <w:color w:val="auto"/>
                <w:w w:val="99"/>
              </w:rPr>
              <w:t>Capital</w:t>
            </w:r>
          </w:p>
        </w:tc>
        <w:tc>
          <w:tcPr>
            <w:tcW w:w="580" w:type="dxa"/>
            <w:vAlign w:val="bottom"/>
            <w:gridSpan w:val="3"/>
          </w:tcPr>
          <w:p>
            <w:pPr>
              <w:jc w:val="right"/>
              <w:ind w:right="200"/>
              <w:spacing w:after="0" w:line="88" w:lineRule="exact"/>
              <w:rPr>
                <w:sz w:val="20"/>
                <w:szCs w:val="20"/>
                <w:color w:val="auto"/>
              </w:rPr>
            </w:pPr>
            <w:r>
              <w:rPr>
                <w:rFonts w:ascii="Arial" w:cs="Arial" w:eastAsia="Arial" w:hAnsi="Arial"/>
                <w:sz w:val="9"/>
                <w:szCs w:val="9"/>
                <w:b w:val="1"/>
                <w:bCs w:val="1"/>
                <w:color w:val="auto"/>
                <w:w w:val="93"/>
              </w:rPr>
              <w:t>Earnings</w:t>
            </w:r>
          </w:p>
        </w:tc>
        <w:tc>
          <w:tcPr>
            <w:tcW w:w="80" w:type="dxa"/>
            <w:vAlign w:val="bottom"/>
          </w:tcPr>
          <w:p>
            <w:pPr>
              <w:spacing w:after="0"/>
              <w:rPr>
                <w:sz w:val="7"/>
                <w:szCs w:val="7"/>
                <w:color w:val="auto"/>
              </w:rPr>
            </w:pPr>
          </w:p>
        </w:tc>
        <w:tc>
          <w:tcPr>
            <w:tcW w:w="920" w:type="dxa"/>
            <w:vAlign w:val="bottom"/>
            <w:gridSpan w:val="2"/>
          </w:tcPr>
          <w:p>
            <w:pPr>
              <w:jc w:val="center"/>
              <w:ind w:right="280"/>
              <w:spacing w:after="0" w:line="88" w:lineRule="exact"/>
              <w:rPr>
                <w:sz w:val="20"/>
                <w:szCs w:val="20"/>
                <w:color w:val="auto"/>
              </w:rPr>
            </w:pPr>
            <w:r>
              <w:rPr>
                <w:rFonts w:ascii="Arial" w:cs="Arial" w:eastAsia="Arial" w:hAnsi="Arial"/>
                <w:sz w:val="9"/>
                <w:szCs w:val="9"/>
                <w:b w:val="1"/>
                <w:bCs w:val="1"/>
                <w:color w:val="auto"/>
                <w:w w:val="88"/>
              </w:rPr>
              <w:t>(Loss)</w:t>
            </w:r>
          </w:p>
        </w:tc>
        <w:tc>
          <w:tcPr>
            <w:tcW w:w="80" w:type="dxa"/>
            <w:vAlign w:val="bottom"/>
          </w:tcPr>
          <w:p>
            <w:pPr>
              <w:spacing w:after="0"/>
              <w:rPr>
                <w:sz w:val="7"/>
                <w:szCs w:val="7"/>
                <w:color w:val="auto"/>
              </w:rPr>
            </w:pPr>
          </w:p>
        </w:tc>
        <w:tc>
          <w:tcPr>
            <w:tcW w:w="920" w:type="dxa"/>
            <w:vAlign w:val="bottom"/>
            <w:gridSpan w:val="2"/>
          </w:tcPr>
          <w:p>
            <w:pPr>
              <w:jc w:val="center"/>
              <w:ind w:right="280"/>
              <w:spacing w:after="0" w:line="88" w:lineRule="exact"/>
              <w:rPr>
                <w:sz w:val="20"/>
                <w:szCs w:val="20"/>
                <w:color w:val="auto"/>
              </w:rPr>
            </w:pPr>
            <w:r>
              <w:rPr>
                <w:rFonts w:ascii="Arial" w:cs="Arial" w:eastAsia="Arial" w:hAnsi="Arial"/>
                <w:sz w:val="9"/>
                <w:szCs w:val="9"/>
                <w:b w:val="1"/>
                <w:bCs w:val="1"/>
                <w:color w:val="auto"/>
                <w:w w:val="89"/>
              </w:rPr>
              <w:t>Compensation</w:t>
            </w:r>
          </w:p>
        </w:tc>
        <w:tc>
          <w:tcPr>
            <w:tcW w:w="620" w:type="dxa"/>
            <w:vAlign w:val="bottom"/>
            <w:tcBorders>
              <w:top w:val="single" w:sz="8" w:color="auto"/>
            </w:tcBorders>
            <w:gridSpan w:val="2"/>
          </w:tcPr>
          <w:p>
            <w:pPr>
              <w:jc w:val="right"/>
              <w:ind w:right="280"/>
              <w:spacing w:after="0" w:line="88" w:lineRule="exact"/>
              <w:rPr>
                <w:sz w:val="20"/>
                <w:szCs w:val="20"/>
                <w:color w:val="auto"/>
              </w:rPr>
            </w:pPr>
            <w:r>
              <w:rPr>
                <w:rFonts w:ascii="Arial" w:cs="Arial" w:eastAsia="Arial" w:hAnsi="Arial"/>
                <w:sz w:val="9"/>
                <w:szCs w:val="9"/>
                <w:b w:val="1"/>
                <w:bCs w:val="1"/>
                <w:color w:val="auto"/>
              </w:rPr>
              <w:t>Shares</w:t>
            </w:r>
          </w:p>
        </w:tc>
        <w:tc>
          <w:tcPr>
            <w:tcW w:w="40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2"/>
              </w:rPr>
              <w:t>Amounts</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gridSpan w:val="2"/>
          </w:tcPr>
          <w:p>
            <w:pPr>
              <w:jc w:val="right"/>
              <w:ind w:right="600"/>
              <w:spacing w:after="0" w:line="88" w:lineRule="exact"/>
              <w:rPr>
                <w:sz w:val="20"/>
                <w:szCs w:val="20"/>
                <w:color w:val="auto"/>
              </w:rPr>
            </w:pPr>
            <w:r>
              <w:rPr>
                <w:rFonts w:ascii="Arial" w:cs="Arial" w:eastAsia="Arial" w:hAnsi="Arial"/>
                <w:sz w:val="9"/>
                <w:szCs w:val="9"/>
                <w:b w:val="1"/>
                <w:bCs w:val="1"/>
                <w:color w:val="auto"/>
              </w:rPr>
              <w:t>Income</w:t>
            </w:r>
          </w:p>
        </w:tc>
        <w:tc>
          <w:tcPr>
            <w:tcW w:w="0" w:type="dxa"/>
            <w:vAlign w:val="bottom"/>
          </w:tcPr>
          <w:p>
            <w:pPr>
              <w:spacing w:after="0"/>
              <w:rPr>
                <w:sz w:val="1"/>
                <w:szCs w:val="1"/>
                <w:color w:val="auto"/>
              </w:rPr>
            </w:pPr>
          </w:p>
        </w:tc>
      </w:tr>
      <w:tr>
        <w:trPr>
          <w:trHeight w:val="29"/>
        </w:trPr>
        <w:tc>
          <w:tcPr>
            <w:tcW w:w="31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31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2004</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630,282</w:t>
            </w:r>
          </w:p>
        </w:tc>
        <w:tc>
          <w:tcPr>
            <w:tcW w:w="260" w:type="dxa"/>
            <w:vAlign w:val="bottom"/>
            <w:shd w:val="clear" w:color="auto" w:fill="CCEEFF"/>
          </w:tcPr>
          <w:p>
            <w:pPr>
              <w:jc w:val="right"/>
              <w:ind w:right="192"/>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4,481</w:t>
            </w:r>
          </w:p>
        </w:tc>
        <w:tc>
          <w:tcPr>
            <w:tcW w:w="120" w:type="dxa"/>
            <w:vAlign w:val="bottom"/>
            <w:shd w:val="clear" w:color="auto" w:fill="CCEEFF"/>
          </w:tcPr>
          <w:p>
            <w:pPr>
              <w:jc w:val="right"/>
              <w:ind w:right="49"/>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3,004</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69</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w:t>
            </w: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(60,070)</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(1,585)</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160" w:type="dxa"/>
            <w:vAlign w:val="bottom"/>
          </w:tcPr>
          <w:p>
            <w:pPr>
              <w:spacing w:after="0" w:line="98" w:lineRule="exact"/>
              <w:rPr>
                <w:sz w:val="20"/>
                <w:szCs w:val="20"/>
                <w:color w:val="auto"/>
              </w:rPr>
            </w:pPr>
            <w:r>
              <w:rPr>
                <w:rFonts w:ascii="Arial" w:cs="Arial" w:eastAsia="Arial" w:hAnsi="Arial"/>
                <w:sz w:val="9"/>
                <w:szCs w:val="9"/>
                <w:color w:val="auto"/>
              </w:rPr>
              <w:t>Net income</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1,182</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080" w:type="dxa"/>
            <w:vAlign w:val="bottom"/>
            <w:gridSpan w:val="2"/>
          </w:tcPr>
          <w:p>
            <w:pPr>
              <w:jc w:val="right"/>
              <w:ind w:right="340"/>
              <w:spacing w:after="0" w:line="98" w:lineRule="exact"/>
              <w:rPr>
                <w:sz w:val="20"/>
                <w:szCs w:val="20"/>
                <w:color w:val="auto"/>
              </w:rPr>
            </w:pPr>
            <w:r>
              <w:rPr>
                <w:rFonts w:ascii="Arial" w:cs="Arial" w:eastAsia="Arial" w:hAnsi="Arial"/>
                <w:sz w:val="9"/>
                <w:szCs w:val="9"/>
                <w:color w:val="auto"/>
              </w:rPr>
              <w:t>1,182</w:t>
            </w:r>
          </w:p>
        </w:tc>
        <w:tc>
          <w:tcPr>
            <w:tcW w:w="0" w:type="dxa"/>
            <w:vAlign w:val="bottom"/>
          </w:tcPr>
          <w:p>
            <w:pPr>
              <w:spacing w:after="0"/>
              <w:rPr>
                <w:sz w:val="1"/>
                <w:szCs w:val="1"/>
                <w:color w:val="auto"/>
              </w:rPr>
            </w:pPr>
          </w:p>
        </w:tc>
      </w:tr>
      <w:tr>
        <w:trPr>
          <w:trHeight w:val="98"/>
        </w:trPr>
        <w:tc>
          <w:tcPr>
            <w:tcW w:w="31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Cash dividends declared</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(571)</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34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160" w:type="dxa"/>
            <w:vAlign w:val="bottom"/>
          </w:tcPr>
          <w:p>
            <w:pPr>
              <w:spacing w:after="0" w:line="98" w:lineRule="exact"/>
              <w:rPr>
                <w:sz w:val="20"/>
                <w:szCs w:val="20"/>
                <w:color w:val="auto"/>
              </w:rPr>
            </w:pPr>
            <w:r>
              <w:rPr>
                <w:rFonts w:ascii="Arial" w:cs="Arial" w:eastAsia="Arial" w:hAnsi="Arial"/>
                <w:sz w:val="9"/>
                <w:szCs w:val="9"/>
                <w:color w:val="auto"/>
              </w:rPr>
              <w:t>Equity-based compensation transactions, net of taxes</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w:t>
            </w:r>
          </w:p>
        </w:tc>
        <w:tc>
          <w:tcPr>
            <w:tcW w:w="120" w:type="dxa"/>
            <w:vAlign w:val="bottom"/>
          </w:tcPr>
          <w:p>
            <w:pPr>
              <w:spacing w:after="0"/>
              <w:rPr>
                <w:sz w:val="8"/>
                <w:szCs w:val="8"/>
                <w:color w:val="auto"/>
              </w:rPr>
            </w:pP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6,573</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176</w:t>
            </w:r>
          </w:p>
        </w:tc>
        <w:tc>
          <w:tcPr>
            <w:tcW w:w="60" w:type="dxa"/>
            <w:vAlign w:val="bottom"/>
          </w:tcPr>
          <w:p>
            <w:pPr>
              <w:spacing w:after="0"/>
              <w:rPr>
                <w:sz w:val="8"/>
                <w:szCs w:val="8"/>
                <w:color w:val="auto"/>
              </w:rPr>
            </w:pPr>
          </w:p>
        </w:tc>
        <w:tc>
          <w:tcPr>
            <w:tcW w:w="1080" w:type="dxa"/>
            <w:vAlign w:val="bottom"/>
            <w:gridSpan w:val="2"/>
          </w:tcPr>
          <w:p>
            <w:pPr>
              <w:jc w:val="right"/>
              <w:ind w:right="34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1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Common stock repurchases</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(24,727)</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(706)</w:t>
            </w:r>
          </w:p>
        </w:tc>
        <w:tc>
          <w:tcPr>
            <w:tcW w:w="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34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3160" w:type="dxa"/>
            <w:vAlign w:val="bottom"/>
          </w:tcPr>
          <w:p>
            <w:pPr>
              <w:spacing w:after="0" w:line="88" w:lineRule="exact"/>
              <w:rPr>
                <w:sz w:val="20"/>
                <w:szCs w:val="20"/>
                <w:color w:val="auto"/>
              </w:rPr>
            </w:pPr>
            <w:r>
              <w:rPr>
                <w:rFonts w:ascii="Arial" w:cs="Arial" w:eastAsia="Arial" w:hAnsi="Arial"/>
                <w:sz w:val="9"/>
                <w:szCs w:val="9"/>
                <w:color w:val="auto"/>
                <w:w w:val="96"/>
              </w:rPr>
              <w:t>Unrealized gain resulting from changes in fair values of derivative instruments, net</w:t>
            </w: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160" w:type="dxa"/>
            <w:vAlign w:val="bottom"/>
          </w:tcPr>
          <w:p>
            <w:pPr>
              <w:ind w:left="100"/>
              <w:spacing w:after="0"/>
              <w:rPr>
                <w:sz w:val="20"/>
                <w:szCs w:val="20"/>
                <w:color w:val="auto"/>
              </w:rPr>
            </w:pPr>
            <w:r>
              <w:rPr>
                <w:rFonts w:ascii="Arial" w:cs="Arial" w:eastAsia="Arial" w:hAnsi="Arial"/>
                <w:sz w:val="9"/>
                <w:szCs w:val="9"/>
                <w:color w:val="auto"/>
              </w:rPr>
              <w:t>of taxes of $11</w:t>
            </w:r>
          </w:p>
        </w:tc>
        <w:tc>
          <w:tcPr>
            <w:tcW w:w="6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9"/>
                <w:szCs w:val="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9"/>
                <w:szCs w:val="9"/>
                <w:color w:val="auto"/>
              </w:rPr>
              <w:t>16</w:t>
            </w:r>
          </w:p>
        </w:tc>
        <w:tc>
          <w:tcPr>
            <w:tcW w:w="80" w:type="dxa"/>
            <w:vAlign w:val="bottom"/>
          </w:tcPr>
          <w:p>
            <w:pPr>
              <w:spacing w:after="0"/>
              <w:rPr>
                <w:sz w:val="9"/>
                <w:szCs w:val="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9"/>
                <w:szCs w:val="9"/>
                <w:color w:val="auto"/>
              </w:rPr>
              <w:t>16</w:t>
            </w:r>
          </w:p>
        </w:tc>
        <w:tc>
          <w:tcPr>
            <w:tcW w:w="0" w:type="dxa"/>
            <w:vAlign w:val="bottom"/>
          </w:tcPr>
          <w:p>
            <w:pPr>
              <w:spacing w:after="0"/>
              <w:rPr>
                <w:sz w:val="1"/>
                <w:szCs w:val="1"/>
                <w:color w:val="auto"/>
              </w:rPr>
            </w:pPr>
          </w:p>
        </w:tc>
      </w:tr>
      <w:tr>
        <w:trPr>
          <w:trHeight w:val="87"/>
        </w:trPr>
        <w:tc>
          <w:tcPr>
            <w:tcW w:w="31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w w:val="95"/>
              </w:rPr>
              <w:t>Realized losses on derivative instruments reclassified into earnings, net of taxes of</w:t>
            </w: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160" w:type="dxa"/>
            <w:vAlign w:val="bottom"/>
            <w:shd w:val="clear" w:color="auto" w:fill="CCEEFF"/>
          </w:tcPr>
          <w:p>
            <w:pPr>
              <w:ind w:left="100"/>
              <w:spacing w:after="0"/>
              <w:rPr>
                <w:sz w:val="20"/>
                <w:szCs w:val="20"/>
                <w:color w:val="auto"/>
              </w:rPr>
            </w:pPr>
            <w:r>
              <w:rPr>
                <w:rFonts w:ascii="Arial" w:cs="Arial" w:eastAsia="Arial" w:hAnsi="Arial"/>
                <w:sz w:val="9"/>
                <w:szCs w:val="9"/>
                <w:color w:val="auto"/>
              </w:rPr>
              <w:t>$4</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6</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98"/>
        </w:trPr>
        <w:tc>
          <w:tcPr>
            <w:tcW w:w="3160" w:type="dxa"/>
            <w:vAlign w:val="bottom"/>
          </w:tcPr>
          <w:p>
            <w:pPr>
              <w:spacing w:after="0" w:line="98" w:lineRule="exact"/>
              <w:rPr>
                <w:sz w:val="20"/>
                <w:szCs w:val="20"/>
                <w:color w:val="auto"/>
              </w:rPr>
            </w:pPr>
            <w:r>
              <w:rPr>
                <w:rFonts w:ascii="Arial" w:cs="Arial" w:eastAsia="Arial" w:hAnsi="Arial"/>
                <w:sz w:val="9"/>
                <w:szCs w:val="9"/>
                <w:color w:val="auto"/>
              </w:rPr>
              <w:t>Unrealized gain on marketable securities, net of taxes of $1</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80" w:type="dxa"/>
            <w:vAlign w:val="bottom"/>
            <w:gridSpan w:val="2"/>
          </w:tcPr>
          <w:p>
            <w:pPr>
              <w:jc w:val="right"/>
              <w:ind w:right="340"/>
              <w:spacing w:after="0" w:line="98" w:lineRule="exact"/>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98"/>
        </w:trPr>
        <w:tc>
          <w:tcPr>
            <w:tcW w:w="31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Translation adjustment of foreign currency statements</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33</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340"/>
              <w:spacing w:after="0" w:line="98" w:lineRule="exact"/>
              <w:rPr>
                <w:sz w:val="20"/>
                <w:szCs w:val="20"/>
                <w:color w:val="auto"/>
              </w:rPr>
            </w:pPr>
            <w:r>
              <w:rPr>
                <w:rFonts w:ascii="Arial" w:cs="Arial" w:eastAsia="Arial" w:hAnsi="Arial"/>
                <w:sz w:val="9"/>
                <w:szCs w:val="9"/>
                <w:color w:val="auto"/>
              </w:rPr>
              <w:t>33</w:t>
            </w:r>
          </w:p>
        </w:tc>
        <w:tc>
          <w:tcPr>
            <w:tcW w:w="0" w:type="dxa"/>
            <w:vAlign w:val="bottom"/>
          </w:tcPr>
          <w:p>
            <w:pPr>
              <w:spacing w:after="0"/>
              <w:rPr>
                <w:sz w:val="1"/>
                <w:szCs w:val="1"/>
                <w:color w:val="auto"/>
              </w:rPr>
            </w:pPr>
          </w:p>
        </w:tc>
      </w:tr>
      <w:tr>
        <w:trPr>
          <w:trHeight w:val="98"/>
        </w:trPr>
        <w:tc>
          <w:tcPr>
            <w:tcW w:w="3160" w:type="dxa"/>
            <w:vAlign w:val="bottom"/>
          </w:tcPr>
          <w:p>
            <w:pPr>
              <w:spacing w:after="0" w:line="98" w:lineRule="exact"/>
              <w:rPr>
                <w:sz w:val="20"/>
                <w:szCs w:val="20"/>
                <w:color w:val="auto"/>
              </w:rPr>
            </w:pPr>
            <w:r>
              <w:rPr>
                <w:rFonts w:ascii="Arial" w:cs="Arial" w:eastAsia="Arial" w:hAnsi="Arial"/>
                <w:sz w:val="9"/>
                <w:szCs w:val="9"/>
                <w:color w:val="auto"/>
              </w:rPr>
              <w:t>Other</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w:t>
            </w:r>
          </w:p>
        </w:tc>
        <w:tc>
          <w:tcPr>
            <w:tcW w:w="120" w:type="dxa"/>
            <w:vAlign w:val="bottom"/>
          </w:tcPr>
          <w:p>
            <w:pPr>
              <w:spacing w:after="0"/>
              <w:rPr>
                <w:sz w:val="8"/>
                <w:szCs w:val="8"/>
                <w:color w:val="auto"/>
              </w:rPr>
            </w:pP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195</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w:t>
            </w:r>
          </w:p>
        </w:tc>
        <w:tc>
          <w:tcPr>
            <w:tcW w:w="60" w:type="dxa"/>
            <w:vAlign w:val="bottom"/>
          </w:tcPr>
          <w:p>
            <w:pPr>
              <w:spacing w:after="0"/>
              <w:rPr>
                <w:sz w:val="8"/>
                <w:szCs w:val="8"/>
                <w:color w:val="auto"/>
              </w:rPr>
            </w:pPr>
          </w:p>
        </w:tc>
        <w:tc>
          <w:tcPr>
            <w:tcW w:w="1080" w:type="dxa"/>
            <w:vAlign w:val="bottom"/>
            <w:gridSpan w:val="2"/>
          </w:tcPr>
          <w:p>
            <w:pPr>
              <w:jc w:val="right"/>
              <w:ind w:right="34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1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2005</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630,282</w:t>
            </w:r>
          </w:p>
        </w:tc>
        <w:tc>
          <w:tcPr>
            <w:tcW w:w="260" w:type="dxa"/>
            <w:vAlign w:val="bottom"/>
            <w:shd w:val="clear" w:color="auto" w:fill="CCEEFF"/>
          </w:tcPr>
          <w:p>
            <w:pPr>
              <w:jc w:val="right"/>
              <w:ind w:right="192"/>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4,486</w:t>
            </w:r>
          </w:p>
        </w:tc>
        <w:tc>
          <w:tcPr>
            <w:tcW w:w="120" w:type="dxa"/>
            <w:vAlign w:val="bottom"/>
            <w:shd w:val="clear" w:color="auto" w:fill="CCEEFF"/>
          </w:tcPr>
          <w:p>
            <w:pPr>
              <w:jc w:val="right"/>
              <w:ind w:right="49"/>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3,615</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126</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w:t>
            </w: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(78,029)</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(2,110)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080" w:type="dxa"/>
            <w:vAlign w:val="bottom"/>
            <w:gridSpan w:val="2"/>
            <w:shd w:val="clear" w:color="auto" w:fill="CCEEFF"/>
          </w:tcPr>
          <w:p>
            <w:pPr>
              <w:jc w:val="right"/>
              <w:ind w:right="340"/>
              <w:spacing w:after="0" w:line="98" w:lineRule="exact"/>
              <w:rPr>
                <w:sz w:val="20"/>
                <w:szCs w:val="20"/>
                <w:color w:val="auto"/>
              </w:rPr>
            </w:pPr>
            <w:r>
              <w:rPr>
                <w:rFonts w:ascii="Arial" w:cs="Arial" w:eastAsia="Arial" w:hAnsi="Arial"/>
                <w:sz w:val="9"/>
                <w:szCs w:val="9"/>
                <w:color w:val="auto"/>
              </w:rPr>
              <w:t>1,239</w:t>
            </w:r>
          </w:p>
        </w:tc>
        <w:tc>
          <w:tcPr>
            <w:tcW w:w="0" w:type="dxa"/>
            <w:vAlign w:val="bottom"/>
          </w:tcPr>
          <w:p>
            <w:pPr>
              <w:spacing w:after="0"/>
              <w:rPr>
                <w:sz w:val="1"/>
                <w:szCs w:val="1"/>
                <w:color w:val="auto"/>
              </w:rPr>
            </w:pPr>
          </w:p>
        </w:tc>
      </w:tr>
      <w:tr>
        <w:trPr>
          <w:trHeight w:val="108"/>
        </w:trPr>
        <w:tc>
          <w:tcPr>
            <w:tcW w:w="3160" w:type="dxa"/>
            <w:vAlign w:val="bottom"/>
          </w:tcPr>
          <w:p>
            <w:pPr>
              <w:spacing w:after="0"/>
              <w:rPr>
                <w:sz w:val="20"/>
                <w:szCs w:val="20"/>
                <w:color w:val="auto"/>
              </w:rPr>
            </w:pPr>
            <w:r>
              <w:rPr>
                <w:rFonts w:ascii="Arial" w:cs="Arial" w:eastAsia="Arial" w:hAnsi="Arial"/>
                <w:sz w:val="9"/>
                <w:szCs w:val="9"/>
                <w:color w:val="auto"/>
              </w:rPr>
              <w:t>Net income</w:t>
            </w:r>
          </w:p>
        </w:tc>
        <w:tc>
          <w:tcPr>
            <w:tcW w:w="6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9"/>
                <w:szCs w:val="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9"/>
                <w:szCs w:val="9"/>
                <w:color w:val="auto"/>
              </w:rPr>
              <w:t>1,149</w:t>
            </w:r>
          </w:p>
        </w:tc>
        <w:tc>
          <w:tcPr>
            <w:tcW w:w="80" w:type="dxa"/>
            <w:vAlign w:val="bottom"/>
          </w:tcPr>
          <w:p>
            <w:pPr>
              <w:spacing w:after="0"/>
              <w:rPr>
                <w:sz w:val="9"/>
                <w:szCs w:val="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1,149</w:t>
            </w: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1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Cash dividends declared</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(355)</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34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160" w:type="dxa"/>
            <w:vAlign w:val="bottom"/>
          </w:tcPr>
          <w:p>
            <w:pPr>
              <w:spacing w:after="0" w:line="98" w:lineRule="exact"/>
              <w:rPr>
                <w:sz w:val="20"/>
                <w:szCs w:val="20"/>
                <w:color w:val="auto"/>
              </w:rPr>
            </w:pPr>
            <w:r>
              <w:rPr>
                <w:rFonts w:ascii="Arial" w:cs="Arial" w:eastAsia="Arial" w:hAnsi="Arial"/>
                <w:sz w:val="9"/>
                <w:szCs w:val="9"/>
                <w:color w:val="auto"/>
              </w:rPr>
              <w:t>Cash dividends adjustment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80" w:type="dxa"/>
            <w:vAlign w:val="bottom"/>
            <w:gridSpan w:val="2"/>
          </w:tcPr>
          <w:p>
            <w:pPr>
              <w:jc w:val="right"/>
              <w:ind w:right="34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1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Equity-based compensation transactions, net of taxes</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24</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11,483</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321</w:t>
            </w:r>
          </w:p>
        </w:tc>
        <w:tc>
          <w:tcPr>
            <w:tcW w:w="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34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160" w:type="dxa"/>
            <w:vAlign w:val="bottom"/>
          </w:tcPr>
          <w:p>
            <w:pPr>
              <w:spacing w:after="0" w:line="98" w:lineRule="exact"/>
              <w:rPr>
                <w:sz w:val="20"/>
                <w:szCs w:val="20"/>
                <w:color w:val="auto"/>
              </w:rPr>
            </w:pPr>
            <w:r>
              <w:rPr>
                <w:rFonts w:ascii="Arial" w:cs="Arial" w:eastAsia="Arial" w:hAnsi="Arial"/>
                <w:sz w:val="9"/>
                <w:szCs w:val="9"/>
                <w:color w:val="auto"/>
              </w:rPr>
              <w:t>Common stock repurchases</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(30,965)</w:t>
            </w:r>
          </w:p>
        </w:tc>
        <w:tc>
          <w:tcPr>
            <w:tcW w:w="100" w:type="dxa"/>
            <w:vAlign w:val="bottom"/>
          </w:tcPr>
          <w:p>
            <w:pPr>
              <w:spacing w:after="0"/>
              <w:rPr>
                <w:sz w:val="8"/>
                <w:szCs w:val="8"/>
                <w:color w:val="auto"/>
              </w:rPr>
            </w:pPr>
          </w:p>
        </w:tc>
        <w:tc>
          <w:tcPr>
            <w:tcW w:w="5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(1,073)</w:t>
            </w:r>
          </w:p>
        </w:tc>
        <w:tc>
          <w:tcPr>
            <w:tcW w:w="60" w:type="dxa"/>
            <w:vAlign w:val="bottom"/>
          </w:tcPr>
          <w:p>
            <w:pPr>
              <w:spacing w:after="0"/>
              <w:rPr>
                <w:sz w:val="8"/>
                <w:szCs w:val="8"/>
                <w:color w:val="auto"/>
              </w:rPr>
            </w:pPr>
          </w:p>
        </w:tc>
        <w:tc>
          <w:tcPr>
            <w:tcW w:w="1080" w:type="dxa"/>
            <w:vAlign w:val="bottom"/>
            <w:gridSpan w:val="2"/>
          </w:tcPr>
          <w:p>
            <w:pPr>
              <w:jc w:val="right"/>
              <w:ind w:right="34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31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w w:val="96"/>
              </w:rPr>
              <w:t>Unrealized loss resulting from changes in fair values of derivative instruments, net</w:t>
            </w: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160" w:type="dxa"/>
            <w:vAlign w:val="bottom"/>
            <w:shd w:val="clear" w:color="auto" w:fill="CCEEFF"/>
          </w:tcPr>
          <w:p>
            <w:pPr>
              <w:ind w:left="100"/>
              <w:spacing w:after="0"/>
              <w:rPr>
                <w:sz w:val="20"/>
                <w:szCs w:val="20"/>
                <w:color w:val="auto"/>
              </w:rPr>
            </w:pPr>
            <w:r>
              <w:rPr>
                <w:rFonts w:ascii="Arial" w:cs="Arial" w:eastAsia="Arial" w:hAnsi="Arial"/>
                <w:sz w:val="9"/>
                <w:szCs w:val="9"/>
                <w:color w:val="auto"/>
              </w:rPr>
              <w:t>of taxes of $7</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(11)</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9"/>
                <w:szCs w:val="9"/>
                <w:color w:val="auto"/>
              </w:rPr>
              <w:t>(11)</w:t>
            </w:r>
          </w:p>
        </w:tc>
        <w:tc>
          <w:tcPr>
            <w:tcW w:w="0" w:type="dxa"/>
            <w:vAlign w:val="bottom"/>
          </w:tcPr>
          <w:p>
            <w:pPr>
              <w:spacing w:after="0"/>
              <w:rPr>
                <w:sz w:val="1"/>
                <w:szCs w:val="1"/>
                <w:color w:val="auto"/>
              </w:rPr>
            </w:pPr>
          </w:p>
        </w:tc>
      </w:tr>
      <w:tr>
        <w:trPr>
          <w:trHeight w:val="87"/>
        </w:trPr>
        <w:tc>
          <w:tcPr>
            <w:tcW w:w="3160" w:type="dxa"/>
            <w:vAlign w:val="bottom"/>
          </w:tcPr>
          <w:p>
            <w:pPr>
              <w:spacing w:after="0" w:line="88" w:lineRule="exact"/>
              <w:rPr>
                <w:sz w:val="20"/>
                <w:szCs w:val="20"/>
                <w:color w:val="auto"/>
              </w:rPr>
            </w:pPr>
            <w:r>
              <w:rPr>
                <w:rFonts w:ascii="Arial" w:cs="Arial" w:eastAsia="Arial" w:hAnsi="Arial"/>
                <w:sz w:val="9"/>
                <w:szCs w:val="9"/>
                <w:color w:val="auto"/>
                <w:w w:val="95"/>
              </w:rPr>
              <w:t>Realized losses on derivative instruments reclassified into earnings, net of taxes of</w:t>
            </w: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160" w:type="dxa"/>
            <w:vAlign w:val="bottom"/>
          </w:tcPr>
          <w:p>
            <w:pPr>
              <w:ind w:left="100"/>
              <w:spacing w:after="0"/>
              <w:rPr>
                <w:sz w:val="20"/>
                <w:szCs w:val="20"/>
                <w:color w:val="auto"/>
              </w:rPr>
            </w:pPr>
            <w:r>
              <w:rPr>
                <w:rFonts w:ascii="Arial" w:cs="Arial" w:eastAsia="Arial" w:hAnsi="Arial"/>
                <w:sz w:val="9"/>
                <w:szCs w:val="9"/>
                <w:color w:val="auto"/>
              </w:rPr>
              <w:t>$3</w:t>
            </w:r>
          </w:p>
        </w:tc>
        <w:tc>
          <w:tcPr>
            <w:tcW w:w="6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9"/>
                <w:szCs w:val="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9"/>
                <w:szCs w:val="9"/>
                <w:color w:val="auto"/>
              </w:rPr>
              <w:t>5</w:t>
            </w:r>
          </w:p>
        </w:tc>
        <w:tc>
          <w:tcPr>
            <w:tcW w:w="80" w:type="dxa"/>
            <w:vAlign w:val="bottom"/>
          </w:tcPr>
          <w:p>
            <w:pPr>
              <w:spacing w:after="0"/>
              <w:rPr>
                <w:sz w:val="9"/>
                <w:szCs w:val="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98"/>
        </w:trPr>
        <w:tc>
          <w:tcPr>
            <w:tcW w:w="31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Unrealized gain on marketable securities, net of taxes of $3</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340"/>
              <w:spacing w:after="0" w:line="98" w:lineRule="exact"/>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98"/>
        </w:trPr>
        <w:tc>
          <w:tcPr>
            <w:tcW w:w="3160" w:type="dxa"/>
            <w:vAlign w:val="bottom"/>
          </w:tcPr>
          <w:p>
            <w:pPr>
              <w:spacing w:after="0" w:line="98" w:lineRule="exact"/>
              <w:rPr>
                <w:sz w:val="20"/>
                <w:szCs w:val="20"/>
                <w:color w:val="auto"/>
              </w:rPr>
            </w:pPr>
            <w:r>
              <w:rPr>
                <w:rFonts w:ascii="Arial" w:cs="Arial" w:eastAsia="Arial" w:hAnsi="Arial"/>
                <w:sz w:val="9"/>
                <w:szCs w:val="9"/>
                <w:color w:val="auto"/>
              </w:rPr>
              <w:t>Translation adjustment of foreign currency statements</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80" w:type="dxa"/>
            <w:vAlign w:val="bottom"/>
            <w:gridSpan w:val="2"/>
          </w:tcPr>
          <w:p>
            <w:pPr>
              <w:jc w:val="right"/>
              <w:ind w:right="340"/>
              <w:spacing w:after="0" w:line="98" w:lineRule="exact"/>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98"/>
        </w:trPr>
        <w:tc>
          <w:tcPr>
            <w:tcW w:w="31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Underfunded post-retirement benefit obligations, net of taxes of $3</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34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160" w:type="dxa"/>
            <w:vAlign w:val="bottom"/>
          </w:tcPr>
          <w:p>
            <w:pPr>
              <w:spacing w:after="0" w:line="98" w:lineRule="exact"/>
              <w:rPr>
                <w:sz w:val="20"/>
                <w:szCs w:val="20"/>
                <w:color w:val="auto"/>
              </w:rPr>
            </w:pPr>
            <w:r>
              <w:rPr>
                <w:rFonts w:ascii="Arial" w:cs="Arial" w:eastAsia="Arial" w:hAnsi="Arial"/>
                <w:sz w:val="9"/>
                <w:szCs w:val="9"/>
                <w:color w:val="auto"/>
              </w:rPr>
              <w:t>Other</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w:t>
            </w:r>
          </w:p>
        </w:tc>
        <w:tc>
          <w:tcPr>
            <w:tcW w:w="120" w:type="dxa"/>
            <w:vAlign w:val="bottom"/>
          </w:tcPr>
          <w:p>
            <w:pPr>
              <w:spacing w:after="0"/>
              <w:rPr>
                <w:sz w:val="8"/>
                <w:szCs w:val="8"/>
                <w:color w:val="auto"/>
              </w:rPr>
            </w:pP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912</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26</w:t>
            </w:r>
          </w:p>
        </w:tc>
        <w:tc>
          <w:tcPr>
            <w:tcW w:w="60" w:type="dxa"/>
            <w:vAlign w:val="bottom"/>
          </w:tcPr>
          <w:p>
            <w:pPr>
              <w:spacing w:after="0"/>
              <w:rPr>
                <w:sz w:val="8"/>
                <w:szCs w:val="8"/>
                <w:color w:val="auto"/>
              </w:rPr>
            </w:pPr>
          </w:p>
        </w:tc>
        <w:tc>
          <w:tcPr>
            <w:tcW w:w="1080" w:type="dxa"/>
            <w:vAlign w:val="bottom"/>
            <w:gridSpan w:val="2"/>
          </w:tcPr>
          <w:p>
            <w:pPr>
              <w:jc w:val="right"/>
              <w:ind w:right="34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1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2006</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630,282</w:t>
            </w:r>
          </w:p>
        </w:tc>
        <w:tc>
          <w:tcPr>
            <w:tcW w:w="260" w:type="dxa"/>
            <w:vAlign w:val="bottom"/>
            <w:shd w:val="clear" w:color="auto" w:fill="CCEEFF"/>
          </w:tcPr>
          <w:p>
            <w:pPr>
              <w:jc w:val="right"/>
              <w:ind w:right="192"/>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4,513</w:t>
            </w:r>
          </w:p>
        </w:tc>
        <w:tc>
          <w:tcPr>
            <w:tcW w:w="120" w:type="dxa"/>
            <w:vAlign w:val="bottom"/>
            <w:shd w:val="clear" w:color="auto" w:fill="CCEEFF"/>
          </w:tcPr>
          <w:p>
            <w:pPr>
              <w:jc w:val="right"/>
              <w:ind w:right="49"/>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4,410</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129</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(96,599)</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(2,836)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080" w:type="dxa"/>
            <w:vAlign w:val="bottom"/>
            <w:gridSpan w:val="2"/>
            <w:shd w:val="clear" w:color="auto" w:fill="CCEEFF"/>
          </w:tcPr>
          <w:p>
            <w:pPr>
              <w:jc w:val="right"/>
              <w:ind w:right="340"/>
              <w:spacing w:after="0" w:line="98" w:lineRule="exact"/>
              <w:rPr>
                <w:sz w:val="20"/>
                <w:szCs w:val="20"/>
                <w:color w:val="auto"/>
              </w:rPr>
            </w:pPr>
            <w:r>
              <w:rPr>
                <w:rFonts w:ascii="Arial" w:cs="Arial" w:eastAsia="Arial" w:hAnsi="Arial"/>
                <w:sz w:val="9"/>
                <w:szCs w:val="9"/>
                <w:color w:val="auto"/>
              </w:rPr>
              <w:t>1,151</w:t>
            </w:r>
          </w:p>
        </w:tc>
        <w:tc>
          <w:tcPr>
            <w:tcW w:w="0" w:type="dxa"/>
            <w:vAlign w:val="bottom"/>
          </w:tcPr>
          <w:p>
            <w:pPr>
              <w:spacing w:after="0"/>
              <w:rPr>
                <w:sz w:val="1"/>
                <w:szCs w:val="1"/>
                <w:color w:val="auto"/>
              </w:rPr>
            </w:pPr>
          </w:p>
        </w:tc>
      </w:tr>
      <w:tr>
        <w:trPr>
          <w:trHeight w:val="108"/>
        </w:trPr>
        <w:tc>
          <w:tcPr>
            <w:tcW w:w="3160" w:type="dxa"/>
            <w:vAlign w:val="bottom"/>
          </w:tcPr>
          <w:p>
            <w:pPr>
              <w:spacing w:after="0"/>
              <w:rPr>
                <w:sz w:val="20"/>
                <w:szCs w:val="20"/>
                <w:color w:val="auto"/>
              </w:rPr>
            </w:pPr>
            <w:r>
              <w:rPr>
                <w:rFonts w:ascii="Arial" w:cs="Arial" w:eastAsia="Arial" w:hAnsi="Arial"/>
                <w:sz w:val="9"/>
                <w:szCs w:val="9"/>
                <w:color w:val="auto"/>
              </w:rPr>
              <w:t>Net income</w:t>
            </w:r>
          </w:p>
        </w:tc>
        <w:tc>
          <w:tcPr>
            <w:tcW w:w="6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9"/>
                <w:szCs w:val="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9"/>
                <w:szCs w:val="9"/>
                <w:color w:val="auto"/>
              </w:rPr>
              <w:t>1,163</w:t>
            </w:r>
          </w:p>
        </w:tc>
        <w:tc>
          <w:tcPr>
            <w:tcW w:w="80" w:type="dxa"/>
            <w:vAlign w:val="bottom"/>
          </w:tcPr>
          <w:p>
            <w:pPr>
              <w:spacing w:after="0"/>
              <w:rPr>
                <w:sz w:val="9"/>
                <w:szCs w:val="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1,163</w:t>
            </w: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1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Cash dividends declared</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(495)</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34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3160" w:type="dxa"/>
            <w:vAlign w:val="bottom"/>
          </w:tcPr>
          <w:p>
            <w:pPr>
              <w:spacing w:after="0" w:line="88" w:lineRule="exact"/>
              <w:rPr>
                <w:sz w:val="20"/>
                <w:szCs w:val="20"/>
                <w:color w:val="auto"/>
              </w:rPr>
            </w:pPr>
            <w:r>
              <w:rPr>
                <w:rFonts w:ascii="Arial" w:cs="Arial" w:eastAsia="Arial" w:hAnsi="Arial"/>
                <w:sz w:val="9"/>
                <w:szCs w:val="9"/>
                <w:color w:val="auto"/>
                <w:w w:val="99"/>
              </w:rPr>
              <w:t>Equity-based compensation transactions, including dividend equivalents, net of</w:t>
            </w: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160" w:type="dxa"/>
            <w:vAlign w:val="bottom"/>
          </w:tcPr>
          <w:p>
            <w:pPr>
              <w:ind w:left="100"/>
              <w:spacing w:after="0"/>
              <w:rPr>
                <w:sz w:val="20"/>
                <w:szCs w:val="20"/>
                <w:color w:val="auto"/>
              </w:rPr>
            </w:pPr>
            <w:r>
              <w:rPr>
                <w:rFonts w:ascii="Arial" w:cs="Arial" w:eastAsia="Arial" w:hAnsi="Arial"/>
                <w:sz w:val="9"/>
                <w:szCs w:val="9"/>
                <w:color w:val="auto"/>
              </w:rPr>
              <w:t>taxes</w:t>
            </w:r>
          </w:p>
        </w:tc>
        <w:tc>
          <w:tcPr>
            <w:tcW w:w="6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9"/>
                <w:szCs w:val="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30</w:t>
            </w:r>
          </w:p>
        </w:tc>
        <w:tc>
          <w:tcPr>
            <w:tcW w:w="120" w:type="dxa"/>
            <w:vAlign w:val="bottom"/>
          </w:tcPr>
          <w:p>
            <w:pPr>
              <w:spacing w:after="0"/>
              <w:rPr>
                <w:sz w:val="9"/>
                <w:szCs w:val="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9"/>
                <w:szCs w:val="9"/>
                <w:color w:val="auto"/>
              </w:rPr>
              <w:t>(2)</w:t>
            </w:r>
          </w:p>
        </w:tc>
        <w:tc>
          <w:tcPr>
            <w:tcW w:w="80" w:type="dxa"/>
            <w:vAlign w:val="bottom"/>
          </w:tcPr>
          <w:p>
            <w:pPr>
              <w:spacing w:after="0"/>
              <w:rPr>
                <w:sz w:val="9"/>
                <w:szCs w:val="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6,067</w:t>
            </w:r>
          </w:p>
        </w:tc>
        <w:tc>
          <w:tcPr>
            <w:tcW w:w="100" w:type="dxa"/>
            <w:vAlign w:val="bottom"/>
          </w:tcPr>
          <w:p>
            <w:pPr>
              <w:spacing w:after="0"/>
              <w:rPr>
                <w:sz w:val="9"/>
                <w:szCs w:val="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9"/>
                <w:szCs w:val="9"/>
                <w:color w:val="auto"/>
              </w:rPr>
              <w:t>182</w:t>
            </w:r>
          </w:p>
        </w:tc>
        <w:tc>
          <w:tcPr>
            <w:tcW w:w="60" w:type="dxa"/>
            <w:vAlign w:val="bottom"/>
          </w:tcPr>
          <w:p>
            <w:pPr>
              <w:spacing w:after="0"/>
              <w:rPr>
                <w:sz w:val="9"/>
                <w:szCs w:val="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1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Common stock repurchases</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(39,946)</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(1,421)</w:t>
            </w:r>
          </w:p>
        </w:tc>
        <w:tc>
          <w:tcPr>
            <w:tcW w:w="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34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3160" w:type="dxa"/>
            <w:vAlign w:val="bottom"/>
          </w:tcPr>
          <w:p>
            <w:pPr>
              <w:spacing w:after="0" w:line="88" w:lineRule="exact"/>
              <w:rPr>
                <w:sz w:val="20"/>
                <w:szCs w:val="20"/>
                <w:color w:val="auto"/>
              </w:rPr>
            </w:pPr>
            <w:r>
              <w:rPr>
                <w:rFonts w:ascii="Arial" w:cs="Arial" w:eastAsia="Arial" w:hAnsi="Arial"/>
                <w:sz w:val="9"/>
                <w:szCs w:val="9"/>
                <w:color w:val="auto"/>
                <w:w w:val="96"/>
              </w:rPr>
              <w:t>Unrealized loss resulting from changes in fair values of derivative instruments, net</w:t>
            </w: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160" w:type="dxa"/>
            <w:vAlign w:val="bottom"/>
          </w:tcPr>
          <w:p>
            <w:pPr>
              <w:ind w:left="100"/>
              <w:spacing w:after="0"/>
              <w:rPr>
                <w:sz w:val="20"/>
                <w:szCs w:val="20"/>
                <w:color w:val="auto"/>
              </w:rPr>
            </w:pPr>
            <w:r>
              <w:rPr>
                <w:rFonts w:ascii="Arial" w:cs="Arial" w:eastAsia="Arial" w:hAnsi="Arial"/>
                <w:sz w:val="9"/>
                <w:szCs w:val="9"/>
                <w:color w:val="auto"/>
              </w:rPr>
              <w:t>of taxes of $22</w:t>
            </w:r>
          </w:p>
        </w:tc>
        <w:tc>
          <w:tcPr>
            <w:tcW w:w="6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9"/>
                <w:szCs w:val="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9"/>
                <w:szCs w:val="9"/>
                <w:color w:val="auto"/>
              </w:rPr>
              <w:t>(34)</w:t>
            </w:r>
          </w:p>
        </w:tc>
        <w:tc>
          <w:tcPr>
            <w:tcW w:w="80" w:type="dxa"/>
            <w:vAlign w:val="bottom"/>
          </w:tcPr>
          <w:p>
            <w:pPr>
              <w:spacing w:after="0"/>
              <w:rPr>
                <w:sz w:val="9"/>
                <w:szCs w:val="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9"/>
                <w:szCs w:val="9"/>
                <w:color w:val="auto"/>
              </w:rPr>
              <w:t>(34)</w:t>
            </w:r>
          </w:p>
        </w:tc>
        <w:tc>
          <w:tcPr>
            <w:tcW w:w="0" w:type="dxa"/>
            <w:vAlign w:val="bottom"/>
          </w:tcPr>
          <w:p>
            <w:pPr>
              <w:spacing w:after="0"/>
              <w:rPr>
                <w:sz w:val="1"/>
                <w:szCs w:val="1"/>
                <w:color w:val="auto"/>
              </w:rPr>
            </w:pPr>
          </w:p>
        </w:tc>
      </w:tr>
      <w:tr>
        <w:trPr>
          <w:trHeight w:val="87"/>
        </w:trPr>
        <w:tc>
          <w:tcPr>
            <w:tcW w:w="31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w w:val="95"/>
              </w:rPr>
              <w:t>Realized losses on derivative instruments reclassified into earnings, net of taxes of</w:t>
            </w: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160" w:type="dxa"/>
            <w:vAlign w:val="bottom"/>
            <w:shd w:val="clear" w:color="auto" w:fill="CCEEFF"/>
          </w:tcPr>
          <w:p>
            <w:pPr>
              <w:ind w:left="100"/>
              <w:spacing w:after="0"/>
              <w:rPr>
                <w:sz w:val="20"/>
                <w:szCs w:val="20"/>
                <w:color w:val="auto"/>
              </w:rPr>
            </w:pPr>
            <w:r>
              <w:rPr>
                <w:rFonts w:ascii="Arial" w:cs="Arial" w:eastAsia="Arial" w:hAnsi="Arial"/>
                <w:sz w:val="9"/>
                <w:szCs w:val="9"/>
                <w:color w:val="auto"/>
              </w:rPr>
              <w:t>$30</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47</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9"/>
                <w:szCs w:val="9"/>
                <w:color w:val="auto"/>
              </w:rPr>
              <w:t>47</w:t>
            </w:r>
          </w:p>
        </w:tc>
        <w:tc>
          <w:tcPr>
            <w:tcW w:w="0" w:type="dxa"/>
            <w:vAlign w:val="bottom"/>
          </w:tcPr>
          <w:p>
            <w:pPr>
              <w:spacing w:after="0"/>
              <w:rPr>
                <w:sz w:val="1"/>
                <w:szCs w:val="1"/>
                <w:color w:val="auto"/>
              </w:rPr>
            </w:pPr>
          </w:p>
        </w:tc>
      </w:tr>
      <w:tr>
        <w:trPr>
          <w:trHeight w:val="98"/>
        </w:trPr>
        <w:tc>
          <w:tcPr>
            <w:tcW w:w="3160" w:type="dxa"/>
            <w:vAlign w:val="bottom"/>
          </w:tcPr>
          <w:p>
            <w:pPr>
              <w:spacing w:after="0" w:line="98" w:lineRule="exact"/>
              <w:rPr>
                <w:sz w:val="20"/>
                <w:szCs w:val="20"/>
                <w:color w:val="auto"/>
              </w:rPr>
            </w:pPr>
            <w:r>
              <w:rPr>
                <w:rFonts w:ascii="Arial" w:cs="Arial" w:eastAsia="Arial" w:hAnsi="Arial"/>
                <w:sz w:val="9"/>
                <w:szCs w:val="9"/>
                <w:color w:val="auto"/>
              </w:rPr>
              <w:t>Unrealized gain on marketable securities, net of taxes of $3</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(5)</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80" w:type="dxa"/>
            <w:vAlign w:val="bottom"/>
            <w:gridSpan w:val="2"/>
          </w:tcPr>
          <w:p>
            <w:pPr>
              <w:jc w:val="right"/>
              <w:ind w:right="320"/>
              <w:spacing w:after="0" w:line="98" w:lineRule="exact"/>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98"/>
        </w:trPr>
        <w:tc>
          <w:tcPr>
            <w:tcW w:w="31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Translation adjustment of foreign currency statements</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89</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340"/>
              <w:spacing w:after="0" w:line="98" w:lineRule="exact"/>
              <w:rPr>
                <w:sz w:val="20"/>
                <w:szCs w:val="20"/>
                <w:color w:val="auto"/>
              </w:rPr>
            </w:pPr>
            <w:r>
              <w:rPr>
                <w:rFonts w:ascii="Arial" w:cs="Arial" w:eastAsia="Arial" w:hAnsi="Arial"/>
                <w:sz w:val="9"/>
                <w:szCs w:val="9"/>
                <w:color w:val="auto"/>
              </w:rPr>
              <w:t>89</w:t>
            </w:r>
          </w:p>
        </w:tc>
        <w:tc>
          <w:tcPr>
            <w:tcW w:w="0" w:type="dxa"/>
            <w:vAlign w:val="bottom"/>
          </w:tcPr>
          <w:p>
            <w:pPr>
              <w:spacing w:after="0"/>
              <w:rPr>
                <w:sz w:val="1"/>
                <w:szCs w:val="1"/>
                <w:color w:val="auto"/>
              </w:rPr>
            </w:pPr>
          </w:p>
        </w:tc>
      </w:tr>
      <w:tr>
        <w:trPr>
          <w:trHeight w:val="98"/>
        </w:trPr>
        <w:tc>
          <w:tcPr>
            <w:tcW w:w="3160" w:type="dxa"/>
            <w:vAlign w:val="bottom"/>
          </w:tcPr>
          <w:p>
            <w:pPr>
              <w:spacing w:after="0" w:line="98" w:lineRule="exact"/>
              <w:rPr>
                <w:sz w:val="20"/>
                <w:szCs w:val="20"/>
                <w:color w:val="auto"/>
              </w:rPr>
            </w:pPr>
            <w:r>
              <w:rPr>
                <w:rFonts w:ascii="Arial" w:cs="Arial" w:eastAsia="Arial" w:hAnsi="Arial"/>
                <w:sz w:val="9"/>
                <w:szCs w:val="9"/>
                <w:color w:val="auto"/>
              </w:rPr>
              <w:t>Change in funded status of defined benefit plan liabilities, net of taxes of $3</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80" w:type="dxa"/>
            <w:vAlign w:val="bottom"/>
            <w:gridSpan w:val="2"/>
          </w:tcPr>
          <w:p>
            <w:pPr>
              <w:jc w:val="right"/>
              <w:ind w:right="340"/>
              <w:spacing w:after="0" w:line="98" w:lineRule="exact"/>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98"/>
        </w:trPr>
        <w:tc>
          <w:tcPr>
            <w:tcW w:w="31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Cumulative effect of change in accounting principle</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34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160" w:type="dxa"/>
            <w:vAlign w:val="bottom"/>
          </w:tcPr>
          <w:p>
            <w:pPr>
              <w:spacing w:after="0" w:line="98" w:lineRule="exact"/>
              <w:rPr>
                <w:sz w:val="20"/>
                <w:szCs w:val="20"/>
                <w:color w:val="auto"/>
              </w:rPr>
            </w:pPr>
            <w:r>
              <w:rPr>
                <w:rFonts w:ascii="Arial" w:cs="Arial" w:eastAsia="Arial" w:hAnsi="Arial"/>
                <w:sz w:val="9"/>
                <w:szCs w:val="9"/>
                <w:color w:val="auto"/>
              </w:rPr>
              <w:t>Other</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w:t>
            </w:r>
          </w:p>
        </w:tc>
        <w:tc>
          <w:tcPr>
            <w:tcW w:w="120" w:type="dxa"/>
            <w:vAlign w:val="bottom"/>
          </w:tcPr>
          <w:p>
            <w:pPr>
              <w:spacing w:after="0"/>
              <w:rPr>
                <w:sz w:val="8"/>
                <w:szCs w:val="8"/>
                <w:color w:val="auto"/>
              </w:rPr>
            </w:pPr>
          </w:p>
        </w:tc>
        <w:tc>
          <w:tcPr>
            <w:tcW w:w="4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314</w:t>
            </w: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10</w:t>
            </w:r>
          </w:p>
        </w:tc>
        <w:tc>
          <w:tcPr>
            <w:tcW w:w="60" w:type="dxa"/>
            <w:vAlign w:val="bottom"/>
          </w:tcPr>
          <w:p>
            <w:pPr>
              <w:spacing w:after="0"/>
              <w:rPr>
                <w:sz w:val="8"/>
                <w:szCs w:val="8"/>
                <w:color w:val="auto"/>
              </w:rPr>
            </w:pPr>
          </w:p>
        </w:tc>
        <w:tc>
          <w:tcPr>
            <w:tcW w:w="1080" w:type="dxa"/>
            <w:vAlign w:val="bottom"/>
            <w:gridSpan w:val="2"/>
          </w:tcPr>
          <w:p>
            <w:pPr>
              <w:jc w:val="right"/>
              <w:ind w:right="34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1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2007</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630,282</w:t>
            </w:r>
          </w:p>
        </w:tc>
        <w:tc>
          <w:tcPr>
            <w:tcW w:w="260" w:type="dxa"/>
            <w:vAlign w:val="bottom"/>
            <w:shd w:val="clear" w:color="auto" w:fill="CCEEFF"/>
          </w:tcPr>
          <w:p>
            <w:pPr>
              <w:jc w:val="right"/>
              <w:ind w:right="192"/>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4,542</w:t>
            </w:r>
          </w:p>
        </w:tc>
        <w:tc>
          <w:tcPr>
            <w:tcW w:w="120" w:type="dxa"/>
            <w:vAlign w:val="bottom"/>
            <w:shd w:val="clear" w:color="auto" w:fill="CCEEFF"/>
          </w:tcPr>
          <w:p>
            <w:pPr>
              <w:jc w:val="right"/>
              <w:ind w:right="49"/>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5,080</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229</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(130,164)</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(4,065)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080" w:type="dxa"/>
            <w:vAlign w:val="bottom"/>
            <w:gridSpan w:val="2"/>
            <w:shd w:val="clear" w:color="auto" w:fill="CCEEFF"/>
          </w:tcPr>
          <w:p>
            <w:pPr>
              <w:jc w:val="right"/>
              <w:ind w:right="340"/>
              <w:spacing w:after="0" w:line="98" w:lineRule="exact"/>
              <w:rPr>
                <w:sz w:val="20"/>
                <w:szCs w:val="20"/>
                <w:color w:val="auto"/>
              </w:rPr>
            </w:pPr>
            <w:r>
              <w:rPr>
                <w:rFonts w:ascii="Arial" w:cs="Arial" w:eastAsia="Arial" w:hAnsi="Arial"/>
                <w:sz w:val="9"/>
                <w:szCs w:val="9"/>
                <w:color w:val="auto"/>
              </w:rPr>
              <w:t>1,263</w:t>
            </w:r>
          </w:p>
        </w:tc>
        <w:tc>
          <w:tcPr>
            <w:tcW w:w="0" w:type="dxa"/>
            <w:vAlign w:val="bottom"/>
          </w:tcPr>
          <w:p>
            <w:pPr>
              <w:spacing w:after="0"/>
              <w:rPr>
                <w:sz w:val="1"/>
                <w:szCs w:val="1"/>
                <w:color w:val="auto"/>
              </w:rPr>
            </w:pPr>
          </w:p>
        </w:tc>
      </w:tr>
      <w:tr>
        <w:trPr>
          <w:trHeight w:val="29"/>
        </w:trPr>
        <w:tc>
          <w:tcPr>
            <w:tcW w:w="3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Years ended December 31, 2007, 2006 and 2005</w:t>
      </w:r>
    </w:p>
    <w:p>
      <w:pPr>
        <w:spacing w:after="0" w:line="163" w:lineRule="exact"/>
        <w:rPr>
          <w:sz w:val="20"/>
          <w:szCs w:val="20"/>
          <w:color w:val="auto"/>
        </w:rPr>
      </w:pPr>
    </w:p>
    <w:p>
      <w:pPr>
        <w:ind w:left="1000" w:hanging="313"/>
        <w:spacing w:after="0"/>
        <w:tabs>
          <w:tab w:leader="none" w:pos="100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Business</w:t>
      </w:r>
    </w:p>
    <w:p>
      <w:pPr>
        <w:spacing w:after="0" w:line="10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financial statements presented in this report represent the consolidation of Waste Management, Inc., a Delaware corporation, our wholly-owned and majority-owned subsidiaries and certain variable interest entities for which we have determined that we are the primary beneficiary (See Note 19). Waste Management, Inc. is a holding company and all operations are conducted by subsidiaries. When the terms “the Company,” “we,” “us” or “our” are used in this document, those terms refer to Waste Management, Inc., its consolidated subsidiaries and consolidated variable interest entities. When we use the term “WMI,” we are referring only to the parent holding company.</w:t>
      </w:r>
    </w:p>
    <w:p>
      <w:pPr>
        <w:spacing w:after="0" w:line="53"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53"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manage and evaluate our principal operations through six operating Groups, of which four are organized by geographic area and two are organized by function. The geographic Groups include our Eastern, Midwest, Southern and Western Groups, and the two functional Groups are our Wheelabrator Group, which provides waste-to-energy services, and our WM Recycle America, or WMRA, Group, which provides recycling services not managed by our geographic Groups. We also provide additional waste management services that are not managed through our six Groups, which are presented in this report as “Other.” Refer to Note 20 for additional information related to our segments.</w:t>
      </w:r>
    </w:p>
    <w:p>
      <w:pPr>
        <w:spacing w:after="0" w:line="128" w:lineRule="exact"/>
        <w:rPr>
          <w:sz w:val="20"/>
          <w:szCs w:val="20"/>
          <w:color w:val="auto"/>
        </w:rPr>
      </w:pPr>
    </w:p>
    <w:p>
      <w:pPr>
        <w:ind w:left="1000" w:hanging="313"/>
        <w:spacing w:after="0"/>
        <w:tabs>
          <w:tab w:leader="none" w:pos="100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Accounting Changes and Reclassifications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Changes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 48, Accounting for Uncertainty in Income Taxes</w:t>
      </w:r>
    </w:p>
    <w:p>
      <w:pPr>
        <w:spacing w:after="0" w:line="96" w:lineRule="exact"/>
        <w:rPr>
          <w:sz w:val="20"/>
          <w:szCs w:val="20"/>
          <w:color w:val="auto"/>
        </w:rPr>
      </w:pPr>
    </w:p>
    <w:p>
      <w:pPr>
        <w:ind w:left="680" w:right="240" w:firstLine="399"/>
        <w:spacing w:after="0" w:line="258" w:lineRule="auto"/>
        <w:rPr>
          <w:sz w:val="20"/>
          <w:szCs w:val="20"/>
          <w:color w:val="auto"/>
        </w:rPr>
      </w:pPr>
      <w:r>
        <w:rPr>
          <w:rFonts w:ascii="Arial" w:cs="Arial" w:eastAsia="Arial" w:hAnsi="Arial"/>
          <w:sz w:val="13"/>
          <w:szCs w:val="13"/>
          <w:color w:val="auto"/>
        </w:rPr>
        <w:t xml:space="preserve">In June 2006, the Financial Accounting Standards Board issued Interpretation No. 48, </w:t>
      </w:r>
      <w:r>
        <w:rPr>
          <w:rFonts w:ascii="Arial" w:cs="Arial" w:eastAsia="Arial" w:hAnsi="Arial"/>
          <w:sz w:val="13"/>
          <w:szCs w:val="13"/>
          <w:i w:val="1"/>
          <w:iCs w:val="1"/>
          <w:color w:val="auto"/>
        </w:rPr>
        <w:t>Accounting for Uncertainty in Income Taxes (an interpretation of FASB Statement No. 109)</w:t>
      </w:r>
      <w:r>
        <w:rPr>
          <w:rFonts w:ascii="Arial" w:cs="Arial" w:eastAsia="Arial" w:hAnsi="Arial"/>
          <w:sz w:val="13"/>
          <w:szCs w:val="13"/>
          <w:color w:val="auto"/>
        </w:rPr>
        <w:t xml:space="preserve">. FIN 48 prescribes a recognition threshold and measurement attribute for financial statement recognition and measurement of tax positions taken or expected to be taken in tax returns. In addition, FIN 48 provides guidance on the de-recognition, classification and disclosure of tax positions, as well as the accounting for related interest and penalties. On May 2, 2007, the FASB issued FSP No. FIN 48-1, </w:t>
      </w:r>
      <w:r>
        <w:rPr>
          <w:rFonts w:ascii="Arial" w:cs="Arial" w:eastAsia="Arial" w:hAnsi="Arial"/>
          <w:sz w:val="13"/>
          <w:szCs w:val="13"/>
          <w:i w:val="1"/>
          <w:iCs w:val="1"/>
          <w:color w:val="auto"/>
        </w:rPr>
        <w:t>Definition of</w:t>
      </w:r>
      <w:r>
        <w:rPr>
          <w:rFonts w:ascii="Arial" w:cs="Arial" w:eastAsia="Arial" w:hAnsi="Arial"/>
          <w:sz w:val="13"/>
          <w:szCs w:val="13"/>
          <w:color w:val="auto"/>
        </w:rPr>
        <w:t xml:space="preserve"> Settlement </w:t>
      </w:r>
      <w:r>
        <w:rPr>
          <w:rFonts w:ascii="Arial" w:cs="Arial" w:eastAsia="Arial" w:hAnsi="Arial"/>
          <w:sz w:val="13"/>
          <w:szCs w:val="13"/>
          <w:i w:val="1"/>
          <w:iCs w:val="1"/>
          <w:color w:val="auto"/>
        </w:rPr>
        <w:t>in FASB Interpretation No. 48</w:t>
      </w:r>
      <w:r>
        <w:rPr>
          <w:rFonts w:ascii="Arial" w:cs="Arial" w:eastAsia="Arial" w:hAnsi="Arial"/>
          <w:sz w:val="13"/>
          <w:szCs w:val="13"/>
          <w:color w:val="auto"/>
        </w:rPr>
        <w:t>, to provide guidance associated with the criteria that must be evaluated in determining if a tax position has been effectively settled and should be recognized as a tax benefit.</w:t>
      </w:r>
    </w:p>
    <w:p>
      <w:pPr>
        <w:spacing w:after="0" w:line="71"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Our adoption of FIN 48 and FSP No. 48-1 effective January 1, 2007 resulted in the recognition of a $28 million increase in our liabilities for unrecognized tax benefits, a $32 million increase in our non-current deferred tax assets and a $4 million increase in our beginning retained earnings as a cumulative effect of change in accounting principle.</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Refer to Note 8 for additional information about our unrecognized tax benefits.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158 — Employers’ Accounting for Defined Benefit Pension and Other Postretirement Plans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 xml:space="preserve">In September 2006, the FASB issued SFAS No. 158, </w:t>
      </w:r>
      <w:r>
        <w:rPr>
          <w:rFonts w:ascii="Arial" w:cs="Arial" w:eastAsia="Arial" w:hAnsi="Arial"/>
          <w:sz w:val="12"/>
          <w:szCs w:val="12"/>
          <w:i w:val="1"/>
          <w:iCs w:val="1"/>
          <w:color w:val="auto"/>
        </w:rPr>
        <w:t>Employers’ Accounting for Defined Benefit Pension and Other Postretirement Plans — an amendment of FASB Statements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i w:val="1"/>
          <w:iCs w:val="1"/>
          <w:color w:val="auto"/>
        </w:rPr>
        <w:t>No. 87, 88, 106, and 132(R)</w:t>
      </w:r>
      <w:r>
        <w:rPr>
          <w:rFonts w:ascii="Arial" w:cs="Arial" w:eastAsia="Arial" w:hAnsi="Arial"/>
          <w:sz w:val="11"/>
          <w:szCs w:val="11"/>
          <w:color w:val="auto"/>
        </w:rPr>
        <w:t>. SFAS No. 158 requires companies to recognize the overfunded or underfunded status of their defined benefit pension and other post-retirement plans as an asset</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or liability and to recognize changes in that funded status through comprehensive</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income in the year in which the changes occur. As required, the Company adopted SFAS No. 158 on December 31, 2006.</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With the adoption of SFAS No. 158 on December 31, 2006, we recorded a liability and a corresponding deferred loss adjustment to “Accumulated other comprehensive income”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$2 million related to the previously unaccrued liability balance associated with our defined benefit pension and other post-retirement plans. The December 31, 2006 net increase of $1 million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 “Accumulated other comprehensive income” attributable to the underfunded status of our post-retirement plans is associated with the net impact of adjustments to increase deferred tax</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assets by $3 million, partially offset by the additional $2 million related to liabilities recorded.</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123(R) — Share-Based Payment</w:t>
      </w:r>
    </w:p>
    <w:p>
      <w:pPr>
        <w:spacing w:after="0" w:line="9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 xml:space="preserve">On January 1, 2006, we adopted SFAS No. 123 (revised 2004), </w:t>
      </w:r>
      <w:r>
        <w:rPr>
          <w:rFonts w:ascii="Arial" w:cs="Arial" w:eastAsia="Arial" w:hAnsi="Arial"/>
          <w:sz w:val="12"/>
          <w:szCs w:val="12"/>
          <w:i w:val="1"/>
          <w:iCs w:val="1"/>
          <w:color w:val="auto"/>
        </w:rPr>
        <w:t>Share-Based Payment</w:t>
      </w:r>
      <w:r>
        <w:rPr>
          <w:rFonts w:ascii="Arial" w:cs="Arial" w:eastAsia="Arial" w:hAnsi="Arial"/>
          <w:sz w:val="12"/>
          <w:szCs w:val="12"/>
          <w:color w:val="auto"/>
        </w:rPr>
        <w:t xml:space="preserve">, which requires compensation expense to be recognized for all share-based payments made to employees based on the fair value of the award at the date of grant. We adopted SFAS No. 123(R) using the modified prospective method, which results in (i) the recognition of compensation expense using the provisions of SFAS No. 123(R) for all share-based awards granted or modified after December 31, 2005 and (ii) the recognition of compensation expense using the provisions of SFAS No. 123, </w:t>
      </w:r>
      <w:r>
        <w:rPr>
          <w:rFonts w:ascii="Arial" w:cs="Arial" w:eastAsia="Arial" w:hAnsi="Arial"/>
          <w:sz w:val="12"/>
          <w:szCs w:val="12"/>
          <w:i w:val="1"/>
          <w:iCs w:val="1"/>
          <w:color w:val="auto"/>
        </w:rPr>
        <w:t>Accounting for Stock-Based Compensation</w:t>
      </w:r>
      <w:r>
        <w:rPr>
          <w:rFonts w:ascii="Arial" w:cs="Arial" w:eastAsia="Arial" w:hAnsi="Arial"/>
          <w:sz w:val="12"/>
          <w:szCs w:val="12"/>
          <w:color w:val="auto"/>
        </w:rPr>
        <w:t xml:space="preserve"> for all unvested awards outstanding at the date of adoption. Under this transition method, the results of operations of prior periods have not been restated. Accordingly, we will continue to provide pro forma financial information for periods prior to January 1, 2006 to illustrate the effect on net income and earnings per share of applying the fair value recognition provisions of SFAS No. 123.</w:t>
      </w:r>
    </w:p>
    <w:p>
      <w:pPr>
        <w:spacing w:after="0" w:line="59"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 xml:space="preserve">Through December 31, 2005, as permitted by SFAS No. 123, we accounted for equity-based compensation in accordance with Accounting Principles Board Opinion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as amended. Under APB No. 25, we recognized compensation expense based on an award’s intrinsic value. For stock options, which were the</w:t>
      </w:r>
      <w:r>
        <w:rPr>
          <w:rFonts w:ascii="Arial" w:cs="Arial" w:eastAsia="Arial" w:hAnsi="Arial"/>
          <w:sz w:val="12"/>
          <w:szCs w:val="12"/>
          <w:i w:val="1"/>
          <w:iCs w:val="1"/>
          <w:color w:val="auto"/>
        </w:rPr>
        <w:t xml:space="preserve"> </w:t>
      </w:r>
      <w:r>
        <w:rPr>
          <w:rFonts w:ascii="Arial" w:cs="Arial" w:eastAsia="Arial" w:hAnsi="Arial"/>
          <w:sz w:val="12"/>
          <w:szCs w:val="12"/>
          <w:color w:val="auto"/>
        </w:rPr>
        <w:t>primary form of equity-based awards we granted through December 31, 2004, this meant we recognized no compensation expense in connection with the grants, as the exercise price of the options was equal to the fair market value of our common stock on the date of grant and all other provisions were fixed. As discussed below, beginning in 2005, restricted stock units and performance share units became the primary form of equity-based compensation awarded under our long-term incentive plans. For restricted stock units, intrinsic value is equal to the market value of our common stock on the date of grant. For performance share units, APB No. 25 required “variable accounting,” which resulted in the recognition of compensation expense based on the intrinsic value of each award at the end of each reporting period until such time that the number of shares to be issued and all other provisions are fixed.</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most significant difference between the fair value approaches prescribed by SFAS No. 123 and SFAS No. 123(R) and the intrinsic value method prescribed by APB No. 25 relates to the recognition of compensation expense for stock option awards based on their grant date fair value. Under SFAS No. 123, we estimated the fair value of stock option grants using the Black-Scholes-Merton option-pricing model. The following table reflects the pro forma impact on net income and earnings per common share for the year ended December 31, 2005 of accounting for our equity-based compensation using SFAS No. 123 (in millions, except per share amounts):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Reported net income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1,182</w:t>
            </w:r>
          </w:p>
        </w:tc>
        <w:tc>
          <w:tcPr>
            <w:tcW w:w="0" w:type="dxa"/>
            <w:vAlign w:val="bottom"/>
          </w:tcPr>
          <w:p>
            <w:pPr>
              <w:spacing w:after="0"/>
              <w:rPr>
                <w:sz w:val="1"/>
                <w:szCs w:val="1"/>
                <w:color w:val="auto"/>
              </w:rPr>
            </w:pP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Add: Equity-based compensation expense included in reported net income, net of tax benefit</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Less: Total equity-based compensation expense per SFAS No. 123, net of tax benefit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20"/>
        </w:trPr>
        <w:tc>
          <w:tcPr>
            <w:tcW w:w="9400" w:type="dxa"/>
            <w:vAlign w:val="bottom"/>
            <w:vMerge w:val="restart"/>
          </w:tcPr>
          <w:p>
            <w:pPr>
              <w:spacing w:after="0"/>
              <w:rPr>
                <w:sz w:val="20"/>
                <w:szCs w:val="20"/>
                <w:color w:val="auto"/>
              </w:rPr>
            </w:pPr>
            <w:r>
              <w:rPr>
                <w:rFonts w:ascii="Arial" w:cs="Arial" w:eastAsia="Arial" w:hAnsi="Arial"/>
                <w:sz w:val="13"/>
                <w:szCs w:val="13"/>
                <w:color w:val="auto"/>
              </w:rPr>
              <w:t>Pro forma net income</w:t>
            </w: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0" w:type="dxa"/>
            <w:vAlign w:val="bottom"/>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1,095</w:t>
            </w:r>
          </w:p>
        </w:tc>
        <w:tc>
          <w:tcPr>
            <w:tcW w:w="0" w:type="dxa"/>
            <w:vAlign w:val="bottom"/>
          </w:tcPr>
          <w:p>
            <w:pPr>
              <w:spacing w:after="0"/>
              <w:rPr>
                <w:sz w:val="1"/>
                <w:szCs w:val="1"/>
                <w:color w:val="auto"/>
              </w:rPr>
            </w:pPr>
          </w:p>
        </w:tc>
      </w:tr>
      <w:tr>
        <w:trPr>
          <w:trHeight w:val="165"/>
        </w:trPr>
        <w:tc>
          <w:tcPr>
            <w:tcW w:w="9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earnings per common share:</w:t>
            </w:r>
          </w:p>
        </w:tc>
        <w:tc>
          <w:tcPr>
            <w:tcW w:w="1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Reported net income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Add: Equity-based compensation expense included in reported net income, net of tax benefit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Less: Total equity-based compensation expense per SFAS No. 123, net of tax benefit</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(0.17)</w:t>
            </w: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Pro forma net income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r>
              <w:rPr>
                <w:rFonts w:ascii="Arial" w:cs="Arial" w:eastAsia="Arial" w:hAnsi="Arial"/>
                <w:sz w:val="13"/>
                <w:szCs w:val="13"/>
                <w:u w:val="single" w:color="auto"/>
                <w:color w:val="auto"/>
              </w:rPr>
              <w:t>96</w:t>
            </w:r>
          </w:p>
        </w:tc>
        <w:tc>
          <w:tcPr>
            <w:tcW w:w="0" w:type="dxa"/>
            <w:vAlign w:val="bottom"/>
          </w:tcPr>
          <w:p>
            <w:pPr>
              <w:spacing w:after="0"/>
              <w:rPr>
                <w:sz w:val="1"/>
                <w:szCs w:val="1"/>
                <w:color w:val="auto"/>
              </w:rPr>
            </w:pPr>
          </w:p>
        </w:tc>
      </w:tr>
      <w:tr>
        <w:trPr>
          <w:trHeight w:val="166"/>
        </w:trPr>
        <w:tc>
          <w:tcPr>
            <w:tcW w:w="9400" w:type="dxa"/>
            <w:vAlign w:val="bottom"/>
          </w:tcPr>
          <w:p>
            <w:pPr>
              <w:spacing w:after="0"/>
              <w:rPr>
                <w:sz w:val="20"/>
                <w:szCs w:val="20"/>
                <w:color w:val="auto"/>
              </w:rPr>
            </w:pPr>
            <w:r>
              <w:rPr>
                <w:rFonts w:ascii="Arial" w:cs="Arial" w:eastAsia="Arial" w:hAnsi="Arial"/>
                <w:sz w:val="13"/>
                <w:szCs w:val="13"/>
                <w:b w:val="1"/>
                <w:bCs w:val="1"/>
                <w:color w:val="auto"/>
              </w:rPr>
              <w:t>Diluted earnings per common share:</w:t>
            </w: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Reported net income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Add: Equity-based compensation expense included in reported net income, net of tax benefit</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Less: Total equity-based compensation expense per SFAS No. 123, net of tax benefit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(0.17)</w:t>
            </w:r>
          </w:p>
        </w:tc>
        <w:tc>
          <w:tcPr>
            <w:tcW w:w="0" w:type="dxa"/>
            <w:vAlign w:val="bottom"/>
          </w:tcPr>
          <w:p>
            <w:pPr>
              <w:spacing w:after="0"/>
              <w:rPr>
                <w:sz w:val="1"/>
                <w:szCs w:val="1"/>
                <w:color w:val="auto"/>
              </w:rPr>
            </w:pPr>
          </w:p>
        </w:tc>
      </w:tr>
      <w:tr>
        <w:trPr>
          <w:trHeight w:val="20"/>
        </w:trPr>
        <w:tc>
          <w:tcPr>
            <w:tcW w:w="9400" w:type="dxa"/>
            <w:vAlign w:val="bottom"/>
            <w:vMerge w:val="restart"/>
          </w:tcPr>
          <w:p>
            <w:pPr>
              <w:spacing w:after="0"/>
              <w:rPr>
                <w:sz w:val="20"/>
                <w:szCs w:val="20"/>
                <w:color w:val="auto"/>
              </w:rPr>
            </w:pPr>
            <w:r>
              <w:rPr>
                <w:rFonts w:ascii="Arial" w:cs="Arial" w:eastAsia="Arial" w:hAnsi="Arial"/>
                <w:sz w:val="13"/>
                <w:szCs w:val="13"/>
                <w:color w:val="auto"/>
              </w:rPr>
              <w:t>Pro forma net income</w:t>
            </w: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33"/>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fair value per share of stock options granted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6.26</w:t>
            </w:r>
          </w:p>
        </w:tc>
        <w:tc>
          <w:tcPr>
            <w:tcW w:w="0" w:type="dxa"/>
            <w:vAlign w:val="bottom"/>
          </w:tcPr>
          <w:p>
            <w:pPr>
              <w:spacing w:after="0"/>
              <w:rPr>
                <w:sz w:val="1"/>
                <w:szCs w:val="1"/>
                <w:color w:val="auto"/>
              </w:rPr>
            </w:pPr>
          </w:p>
        </w:tc>
      </w:tr>
      <w:tr>
        <w:trPr>
          <w:trHeight w:val="29"/>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December 2005, the Management Development and Compensation Committee of our Board of Directors approved the acceleration of the vesting of all unvested stock options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awarded under our stock incentive plans, effective December 28, 2005. The decision to accelerate the vesting of outstanding stock options was made primarily to reduce the non-cash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compensation expense that we would have otherwise recorded in future periods as a result of adopting SFAS No. 123(R). We estimated that the acceleration eliminated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$55 million of cumulative pre-tax compensation charges that would have been recognized during 2006, 2007 and 2008 as the stock options would have continued to vest. We recognized a</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 million pre-tax charge to compensation expense during the fourth quarter of 2005 as a result of the acceleration, but do not expect to recognize future compensation expense for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accelerated options under SFAS No. 123(R). Total equity-based compensation expense per SFAS No. 123, net of tax benefit as presented in the table above, includes a pro forma charge of</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$41 million, net of tax benefit, for the December 2005 accelerated vesting of outstanding stock options.</w:t>
      </w:r>
    </w:p>
    <w:p>
      <w:pPr>
        <w:spacing w:after="0" w:line="89"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Additionally, as a result of changes in accounting required by SFAS No. 123(R) and a desire to design our long-term incentive plans in a manner that creates a stronger link to operating and market performance, the Management Development and Compensation Committee approved a substantial change in the form of awards that we grant. Beginning in 2005, annual stock option grants were eliminated and, for key members of our management and operations personnel, replaced with grants of restricted stock units and performance share units. Stock option grants in connection with new hires and promotions were replaced with grants of restricted stock units. The terms of our restricted stock units and performance share units are summarized in Note 15.</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a result of the acceleration of the vesting of stock options and the replacement of future awards of stock options with other forms of equity awards, the adoption of</w:t>
      </w:r>
    </w:p>
    <w:p>
      <w:pPr>
        <w:spacing w:after="0" w:line="15"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SFAS No. 123(R) on January 1, 2006 did not significantly affect our accounting for equity-based compensation or our net income for the years ended December 31, 2007 or 2006. We do not currently expect this change in accounting to significantly impact our future results of operations. However, we do expect equity-based compensation expense to increase over the next two years because of the incremental expense that will be recognized each year as additional awards are granted.</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Prior to the adoption of SFAS No. 123(R), we included all tax benefits associated with equity-based compensation as operating cash flows in the Statement of Cash Flows.</w:t>
      </w:r>
    </w:p>
    <w:p>
      <w:pPr>
        <w:spacing w:after="0" w:line="27" w:lineRule="exact"/>
        <w:rPr>
          <w:sz w:val="20"/>
          <w:szCs w:val="20"/>
          <w:color w:val="auto"/>
        </w:rPr>
      </w:pPr>
    </w:p>
    <w:p>
      <w:pPr>
        <w:ind w:left="680" w:right="80"/>
        <w:spacing w:after="0" w:line="256" w:lineRule="auto"/>
        <w:rPr>
          <w:sz w:val="20"/>
          <w:szCs w:val="20"/>
          <w:color w:val="auto"/>
        </w:rPr>
      </w:pPr>
      <w:r>
        <w:rPr>
          <w:rFonts w:ascii="Arial" w:cs="Arial" w:eastAsia="Arial" w:hAnsi="Arial"/>
          <w:sz w:val="13"/>
          <w:szCs w:val="13"/>
          <w:color w:val="auto"/>
        </w:rPr>
        <w:t>SFAS No. 123(R) requires any reduction in taxes payable resulting from tax deductions that exceed the recognized tax benefit associated with compensation expense (excess tax benefits) to be classified as financing cash flows. We included $26 million and $45 million of excess tax benefits in our cash flows from financing activities for the years ended December 31, 2007 and 2006, respectively that would have been classified as an operating cash flow if we had not been required to adopt SFAS No. 123(R). During the year ended December 31, 2005, excess tax benefits improved our operating cash flows by approximately $17 million.</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680" w:right="280" w:firstLine="399"/>
        <w:spacing w:after="0" w:line="258" w:lineRule="auto"/>
        <w:rPr>
          <w:sz w:val="20"/>
          <w:szCs w:val="20"/>
          <w:color w:val="auto"/>
        </w:rPr>
      </w:pPr>
      <w:r>
        <w:rPr>
          <w:rFonts w:ascii="Arial" w:cs="Arial" w:eastAsia="Arial" w:hAnsi="Arial"/>
          <w:sz w:val="13"/>
          <w:szCs w:val="13"/>
          <w:color w:val="auto"/>
        </w:rPr>
        <w:t>In the first quarter of 2007, we realigned our Eastern, Midwest and Western Group organizations to facilitate improved business execution. We reassigned responsibility for the management of certain market areas in the Eastern and Midwest Groups to the Midwest and Western Groups, respectively. In addition, in early 2007 we moved certain of our WMRA operations to our Western Group to more closely align their recycling operations with the related collection, transfer and disposal operations. We have reflected the impact of these realignments for all periods presented to provide financial information that consistently reflects our current approach to managing our operations. Refer to Note 20 for further discussion about our reportable segments.</w:t>
      </w:r>
    </w:p>
    <w:p>
      <w:pPr>
        <w:spacing w:after="0" w:line="146" w:lineRule="exact"/>
        <w:rPr>
          <w:sz w:val="20"/>
          <w:szCs w:val="20"/>
          <w:color w:val="auto"/>
        </w:rPr>
      </w:pPr>
    </w:p>
    <w:p>
      <w:pPr>
        <w:ind w:left="1000" w:hanging="313"/>
        <w:spacing w:after="0"/>
        <w:tabs>
          <w:tab w:leader="none" w:pos="100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accompanying Consolidated Financial Statements include the accounts of WMI, its wholly-owned and majority-owned subsidiaries and certain variable interest entities for which we have determined that we are the primary beneficiary. All material intercompany balances and transactions have been eliminated. Investments in entities in which we do not have a controlling financial interest are accounted for under either the equity method or cost method of accounting, as appropriate.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Estimates and assumptions</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and disclosure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Each of these items is discussed in additional detail below. Actual results could differ materially from the estimates and assumptions that we use in the preparation of our financial statements.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Cash and cash equivalents consist primarily of cash on deposit, certificates of deposit, money market accounts, and investment grade commercial paper purchased with original maturities of three months or less.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Short-term investments available for use</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Periodically, we invest in auction rate securities and variable rate demand notes, which are debt instruments with long-term scheduled maturities and periodic interest rate reset dates. The interest rate reset mechanism for these instruments results in a periodic remarketing of the underlying securities through an auction process. Due to the liquidity provided by the interest rate reset mechanism and the short-term nature of our investment in these securities, they have been classified as current assets in our Consolidated Balance Sheets. As of December 31, 2006, $184 million of investments in auction rate securities and variable rate demand notes have been included as a component of current “Other assets.” We did not have any investments in this type of securities as of December 31, 2007. Gross purchases and sales of these investments are presented within “Cash flows from investing activities” in our Consolidated Statements of Cash Flows.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Concentrations of credit risk</w:t>
      </w:r>
    </w:p>
    <w:p>
      <w:pPr>
        <w:spacing w:after="0" w:line="96" w:lineRule="exact"/>
        <w:rPr>
          <w:sz w:val="20"/>
          <w:szCs w:val="20"/>
          <w:color w:val="auto"/>
        </w:rPr>
      </w:pPr>
    </w:p>
    <w:p>
      <w:pPr>
        <w:jc w:val="both"/>
        <w:ind w:left="680" w:right="120" w:firstLine="399"/>
        <w:spacing w:after="0" w:line="277" w:lineRule="auto"/>
        <w:rPr>
          <w:sz w:val="20"/>
          <w:szCs w:val="20"/>
          <w:color w:val="auto"/>
        </w:rPr>
      </w:pPr>
      <w:r>
        <w:rPr>
          <w:rFonts w:ascii="Arial" w:cs="Arial" w:eastAsia="Arial" w:hAnsi="Arial"/>
          <w:sz w:val="12"/>
          <w:szCs w:val="12"/>
          <w:color w:val="auto"/>
        </w:rPr>
        <w:t>Financial instruments that potentially subject us to concentrations of credit risk consist primarily of cash and cash equivalents, short-term investments, investments held within our trust funds and escrow accounts, accounts receivable and derivative instruments. We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w:t>
      </w:r>
    </w:p>
    <w:p>
      <w:pPr>
        <w:spacing w:after="0" w:line="1" w:lineRule="exact"/>
        <w:rPr>
          <w:sz w:val="20"/>
          <w:szCs w:val="20"/>
          <w:color w:val="auto"/>
        </w:rPr>
      </w:pPr>
    </w:p>
    <w:p>
      <w:pPr>
        <w:ind w:left="680" w:right="200" w:firstLine="7"/>
        <w:spacing w:after="0" w:line="258" w:lineRule="auto"/>
        <w:tabs>
          <w:tab w:leader="none" w:pos="909" w:val="left"/>
        </w:tabs>
        <w:numPr>
          <w:ilvl w:val="0"/>
          <w:numId w:val="42"/>
        </w:numPr>
        <w:rPr>
          <w:rFonts w:ascii="Arial" w:cs="Arial" w:eastAsia="Arial" w:hAnsi="Arial"/>
          <w:sz w:val="13"/>
          <w:szCs w:val="13"/>
          <w:color w:val="auto"/>
        </w:rPr>
      </w:pPr>
      <w:r>
        <w:rPr>
          <w:rFonts w:ascii="Arial" w:cs="Arial" w:eastAsia="Arial" w:hAnsi="Arial"/>
          <w:sz w:val="13"/>
          <w:szCs w:val="13"/>
          <w:color w:val="auto"/>
        </w:rPr>
        <w:t>maintaining strict policies over credit extension that include credit evaluations, credit limits and monitoring procedures, although generally we do not have collateral requirements. In addition, our overall credit risk associated with trade receivables is limited due to the large number of geographically diverse customers we service. At December 31, 2007 and 2006, no single customer represented greater than 5% of total accounts receivable.</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Trade and other receivables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receivables are recorded when billed or advanced and represent claims against third parties that will be settled in cash. The carrying value of our receivables, net of the allowance for doubtful accounts, represents their estimated net realizable value. We estimate our allowance for doubtful accounts based on historical collection trends, type of customer, such as municipal or non-municipal, the age of outstanding receivables and existing economic conditions. If events or changes in circumstances indicate that specific receivable balances may be impaired, further consideration is given to the collectibility of those balances and the allowance is adjusted accordingly. Past-due receivable balances are written-off when our internal collection efforts have been unsuccessful in collecting the amount due. Also, we recognize interest income on long-term interest-bearing notes receivable as the interest accrues under the terms of the notes.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Landfill accounting</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i w:val="1"/>
          <w:iCs w:val="1"/>
          <w:color w:val="auto"/>
        </w:rPr>
        <w:t xml:space="preserve">Cost Basis of Landfill Assets </w:t>
      </w:r>
      <w:r>
        <w:rPr>
          <w:rFonts w:ascii="Arial" w:cs="Arial" w:eastAsia="Arial" w:hAnsi="Arial"/>
          <w:sz w:val="13"/>
          <w:szCs w:val="13"/>
          <w:color w:val="auto"/>
        </w:rPr>
        <w:t>— We capitalize various costs that we incur to make a landfill ready to accept waste. These costs generally include expenditures for land (including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in accordance with SFAS No. 143, </w:t>
      </w:r>
      <w:r>
        <w:rPr>
          <w:rFonts w:ascii="Arial" w:cs="Arial" w:eastAsia="Arial" w:hAnsi="Arial"/>
          <w:sz w:val="13"/>
          <w:szCs w:val="13"/>
          <w:i w:val="1"/>
          <w:iCs w:val="1"/>
          <w:color w:val="auto"/>
        </w:rPr>
        <w:t xml:space="preserve">Accounting for Asset Retirement Obligations </w:t>
      </w:r>
      <w:r>
        <w:rPr>
          <w:rFonts w:ascii="Arial" w:cs="Arial" w:eastAsia="Arial" w:hAnsi="Arial"/>
          <w:sz w:val="13"/>
          <w:szCs w:val="13"/>
          <w:color w:val="auto"/>
        </w:rPr>
        <w:t>and its Interpretations. These costs are discussed below.</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Final Capping, Closure and Post-Closure Costs </w:t>
      </w:r>
      <w:r>
        <w:rPr>
          <w:rFonts w:ascii="Arial" w:cs="Arial" w:eastAsia="Arial" w:hAnsi="Arial"/>
          <w:sz w:val="13"/>
          <w:szCs w:val="13"/>
          <w:color w:val="auto"/>
        </w:rPr>
        <w:t>— Following is a description of our asset retirement activities and our related accounting:</w:t>
      </w:r>
    </w:p>
    <w:p>
      <w:pPr>
        <w:spacing w:after="0" w:line="96" w:lineRule="exact"/>
        <w:rPr>
          <w:sz w:val="20"/>
          <w:szCs w:val="20"/>
          <w:color w:val="auto"/>
        </w:rPr>
      </w:pPr>
    </w:p>
    <w:p>
      <w:pPr>
        <w:ind w:left="1280" w:right="20" w:hanging="190"/>
        <w:spacing w:after="0" w:line="260"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Final Capping </w:t>
      </w:r>
      <w:r>
        <w:rPr>
          <w:rFonts w:ascii="Arial" w:cs="Arial" w:eastAsia="Arial" w:hAnsi="Arial"/>
          <w:sz w:val="13"/>
          <w:szCs w:val="13"/>
          <w:color w:val="auto"/>
        </w:rPr>
        <w:t>— Involves the installation of flexible membrane liners and geosynthetic clay liners, drainage and compacted soil layers and topsoil over areas of a landfill where</w:t>
      </w:r>
      <w:r>
        <w:rPr>
          <w:rFonts w:ascii="Arial" w:cs="Arial" w:eastAsia="Arial" w:hAnsi="Arial"/>
          <w:sz w:val="13"/>
          <w:szCs w:val="13"/>
          <w:i w:val="1"/>
          <w:iCs w:val="1"/>
          <w:color w:val="auto"/>
        </w:rPr>
        <w:t xml:space="preserve"> </w:t>
      </w:r>
      <w:r>
        <w:rPr>
          <w:rFonts w:ascii="Arial" w:cs="Arial" w:eastAsia="Arial" w:hAnsi="Arial"/>
          <w:sz w:val="13"/>
          <w:szCs w:val="13"/>
          <w:color w:val="auto"/>
        </w:rPr>
        <w:t>total airspace capacity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and capacity associated with each final capping event.</w:t>
      </w:r>
    </w:p>
    <w:p>
      <w:pPr>
        <w:spacing w:after="0" w:line="59" w:lineRule="exact"/>
        <w:rPr>
          <w:rFonts w:ascii="Arial" w:cs="Arial" w:eastAsia="Arial" w:hAnsi="Arial"/>
          <w:sz w:val="13"/>
          <w:szCs w:val="13"/>
          <w:color w:val="auto"/>
        </w:rPr>
      </w:pPr>
    </w:p>
    <w:p>
      <w:pPr>
        <w:ind w:left="1280" w:right="20" w:hanging="190"/>
        <w:spacing w:after="0" w:line="260"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Closure </w:t>
      </w:r>
      <w:r>
        <w:rPr>
          <w:rFonts w:ascii="Arial" w:cs="Arial" w:eastAsia="Arial" w:hAnsi="Arial"/>
          <w:sz w:val="13"/>
          <w:szCs w:val="13"/>
          <w:color w:val="auto"/>
        </w:rPr>
        <w:t>— Includes the construction of the final portion of methane gas collection systems (when required), demobilization and routine maintenance costs. These are costs</w:t>
      </w:r>
      <w:r>
        <w:rPr>
          <w:rFonts w:ascii="Arial" w:cs="Arial" w:eastAsia="Arial" w:hAnsi="Arial"/>
          <w:sz w:val="13"/>
          <w:szCs w:val="13"/>
          <w:i w:val="1"/>
          <w:iCs w:val="1"/>
          <w:color w:val="auto"/>
        </w:rPr>
        <w:t xml:space="preserve"> </w:t>
      </w:r>
      <w:r>
        <w:rPr>
          <w:rFonts w:ascii="Arial" w:cs="Arial" w:eastAsia="Arial" w:hAnsi="Arial"/>
          <w:sz w:val="13"/>
          <w:szCs w:val="13"/>
          <w:color w:val="auto"/>
        </w:rPr>
        <w:t>incurred after the site ceases to accept waste, but before the landfill is certified as closed by the applicable state regulatory agency. These costs are accrued as an asset retirement obligation as airspace is consumed over the life of the landfill with a corresponding increase in the landfill asset. Closure obligations are accrued over the life of the landfill based on estimates of the discounted cash flows associated with performing closure activities.</w:t>
      </w:r>
    </w:p>
    <w:p>
      <w:pPr>
        <w:spacing w:after="0" w:line="59" w:lineRule="exact"/>
        <w:rPr>
          <w:rFonts w:ascii="Arial" w:cs="Arial" w:eastAsia="Arial" w:hAnsi="Arial"/>
          <w:sz w:val="13"/>
          <w:szCs w:val="13"/>
          <w:color w:val="auto"/>
        </w:rPr>
      </w:pPr>
    </w:p>
    <w:p>
      <w:pPr>
        <w:ind w:left="1280" w:right="140" w:hanging="190"/>
        <w:spacing w:after="0" w:line="260"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Post-Closure </w:t>
      </w:r>
      <w:r>
        <w:rPr>
          <w:rFonts w:ascii="Arial" w:cs="Arial" w:eastAsia="Arial" w:hAnsi="Arial"/>
          <w:sz w:val="13"/>
          <w:szCs w:val="13"/>
          <w:color w:val="auto"/>
        </w:rPr>
        <w:t>— Involves the maintenance and monitoring of a landfill site that has been certified closed by the applicable regulatory agency. Generally, we are required to</w:t>
      </w:r>
      <w:r>
        <w:rPr>
          <w:rFonts w:ascii="Arial" w:cs="Arial" w:eastAsia="Arial" w:hAnsi="Arial"/>
          <w:sz w:val="13"/>
          <w:szCs w:val="13"/>
          <w:i w:val="1"/>
          <w:iCs w:val="1"/>
          <w:color w:val="auto"/>
        </w:rPr>
        <w:t xml:space="preserve"> </w:t>
      </w:r>
      <w:r>
        <w:rPr>
          <w:rFonts w:ascii="Arial" w:cs="Arial" w:eastAsia="Arial" w:hAnsi="Arial"/>
          <w:sz w:val="13"/>
          <w:szCs w:val="13"/>
          <w:color w:val="auto"/>
        </w:rPr>
        <w:t>maintain and monitor landfill sites for a 30-year period. These maintenance and monitoring costs are accrued as an asset retirement obligation as airspace is consumed over the life of the landfill with a corresponding increase in the landfill asset. Post-closure obligations are accrued over the life of the landfill based on estimates of the discounted cash flows associated with performing post-closure activities.</w:t>
      </w:r>
    </w:p>
    <w:p>
      <w:pPr>
        <w:spacing w:after="0" w:line="7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under the provisions of SFAS No. 143. Absent quoted market prices, the estimate of fair value should be based on the best available information, including the results of present value techniques. In many cases, we contract with third parties to fulfill our obligations for final capping, closure and post-closure. We use historical experience, professional engineering judgment and quoted and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performed.</w:t>
      </w:r>
    </w:p>
    <w:p>
      <w:pPr>
        <w:spacing w:after="0" w:line="59"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Additionally, an estimate of fair value should also include the price that marketplace participants are able to receive for bearing the uncertainties inherent in these cash flows. However, when using discounted cash flow techniques, reliable estimates of market premiums may not be obtainable. In the waste industry, there is generally not a market for selling the responsibility for final capping, closure and post-closure obligations independent of selling the landfill in its entirety. Accordingly, we do not believe that it is possible to develop a methodology to reliably estimate a market risk premium. We have excluded any such market risk premium from our determination of expected cash flows for landfill asset retirement obligations.</w:t>
      </w:r>
    </w:p>
    <w:p>
      <w:pPr>
        <w:spacing w:after="0" w:line="71"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Once we have determined the final capping, closure and post-closure costs, we inflate those costs to the expected time of payment and discount those expected future costs back to present value. During the years ended December 31, 2007 and 2006, we inflated these costs in current dollars until the expected time of payment using an inflation rate of 2.5%. We discount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weighted-average rate of the recorded obligation. As a result, the credit-adjusted, risk-free discount rate used to calculate the present value of an obligation is specific to</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each individual asset retirement obligation. The weighted-average rate applicable to our asset retirement obligations at December 31, 2007 is between 6.00% and 7.25%, the range of the credit-adjusted, risk-free discount rates effective since adopting SFAS No. 143 in 2003.</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record the estimated fair value of final capping, closure and post-closure liabilities for our landfills based on the capacity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72"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Changes in inflation rates or the estimated costs, timing or extent of future final capping and closure and post-closure activities typically result in both (i) a current adjustment to the recorded liability and landfill asset; and (ii) a change in liability and asset amounts to be recorded prospectively over either the remaining capacity of the related discrete final capping event or the remaining permitted and expansion airspace (as defined below) of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remaining permitted and expansion airspace of the landfill, as appropriate. Changes in such estimates associated with airspace that has been fully utilized result in an adjustment to the recorded liability and landfill assets with an immediate corresponding adjustment to landfill airspace amortization expense.</w:t>
      </w:r>
    </w:p>
    <w:p>
      <w:pPr>
        <w:spacing w:after="0" w:line="5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During the years ended December 31, 2007, 2006 and 2005, adjustments associated with changes in our expectations for the timing and cost of future final capping, closure and post-closure of fully utilized airspace resulted in $17 million, $1 million and $13 million in net credits to landfill airspace amortization expense, respectively, with the majority of these credits resulting from revised estimates associated with final capping changes. In managing our landfills, our engineers look for ways to reduce or defer our construction costs, including final capping costs. Most of the benefit recognized in these years was the result of concerted efforts to improve the operating efficiencies of our landfills allowing us to delay spending for final capping activities, landfill expansions that resulted in reduced or deferred final capping costs, or completed final capping construction that cost less than anticipated.</w:t>
      </w:r>
    </w:p>
    <w:p>
      <w:pPr>
        <w:spacing w:after="0" w:line="55"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Interest accretion on final capping, closure and post-closure liabilities is recorded using the effective interest method and is recorded as final capping, closure and post-closure expense, which is included in “Operating” costs and expenses within our Consolidated Statements of Operations.</w:t>
      </w:r>
    </w:p>
    <w:p>
      <w:pPr>
        <w:spacing w:after="0" w:line="5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Amortization of Landfill Assets </w:t>
      </w:r>
      <w:r>
        <w:rPr>
          <w:rFonts w:ascii="Arial" w:cs="Arial" w:eastAsia="Arial" w:hAnsi="Arial"/>
          <w:sz w:val="13"/>
          <w:szCs w:val="13"/>
          <w:color w:val="auto"/>
        </w:rPr>
        <w:t>— The amortizable basis of a landfill includes (i) amounts previously expended and capitalized; (ii) capitalized landfill final capping, closure and</w:t>
      </w:r>
      <w:r>
        <w:rPr>
          <w:rFonts w:ascii="Arial" w:cs="Arial" w:eastAsia="Arial" w:hAnsi="Arial"/>
          <w:sz w:val="13"/>
          <w:szCs w:val="13"/>
          <w:i w:val="1"/>
          <w:iCs w:val="1"/>
          <w:color w:val="auto"/>
        </w:rPr>
        <w:t xml:space="preserve"> </w:t>
      </w:r>
      <w:r>
        <w:rPr>
          <w:rFonts w:ascii="Arial" w:cs="Arial" w:eastAsia="Arial" w:hAnsi="Arial"/>
          <w:sz w:val="13"/>
          <w:szCs w:val="13"/>
          <w:color w:val="auto"/>
        </w:rPr>
        <w:t>post-closure costs; (iii) projections of future purchase and development costs required to develop the landfill site to its remaining permitted and expansion capacity; and (iv) projected asset retirement costs related to landfill final capping, closure and post-closure activities.</w:t>
      </w:r>
    </w:p>
    <w:p>
      <w:pPr>
        <w:spacing w:after="0" w:line="67" w:lineRule="exact"/>
        <w:rPr>
          <w:sz w:val="20"/>
          <w:szCs w:val="20"/>
          <w:color w:val="auto"/>
        </w:rPr>
      </w:pPr>
    </w:p>
    <w:p>
      <w:pPr>
        <w:jc w:val="both"/>
        <w:ind w:left="680" w:right="300" w:firstLine="399"/>
        <w:spacing w:after="0" w:line="264" w:lineRule="auto"/>
        <w:rPr>
          <w:sz w:val="20"/>
          <w:szCs w:val="20"/>
          <w:color w:val="auto"/>
        </w:rPr>
      </w:pPr>
      <w:r>
        <w:rPr>
          <w:rFonts w:ascii="Arial" w:cs="Arial" w:eastAsia="Arial" w:hAnsi="Arial"/>
          <w:sz w:val="13"/>
          <w:szCs w:val="13"/>
          <w:color w:val="auto"/>
        </w:rPr>
        <w:t>Amortization is recorded on a units-of-consumption basis, applying cost as a rate per ton. The rate per ton is calculated by dividing each component of the amortizable basis of a landfill by the number of tons needed to fill the corresponding asset’s airspace. For landfills that we do not own, but operate through operating or lease arrangements, the rate per ton is calculated based on the lesser of the contractual term of the underlying agreement or the life of the landfill.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apply the following guidelines in determining a landfill’s remaining permitted and expansion airspace:</w:t>
      </w:r>
    </w:p>
    <w:p>
      <w:pPr>
        <w:spacing w:after="0" w:line="96" w:lineRule="exact"/>
        <w:rPr>
          <w:sz w:val="20"/>
          <w:szCs w:val="20"/>
          <w:color w:val="auto"/>
        </w:rPr>
      </w:pPr>
    </w:p>
    <w:p>
      <w:pPr>
        <w:ind w:left="1280" w:right="20" w:hanging="190"/>
        <w:spacing w:after="0" w:line="264" w:lineRule="auto"/>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i w:val="1"/>
          <w:iCs w:val="1"/>
          <w:color w:val="auto"/>
        </w:rPr>
        <w:t xml:space="preserve">Remaining Permitted Airspace </w:t>
      </w:r>
      <w:r>
        <w:rPr>
          <w:rFonts w:ascii="Arial" w:cs="Arial" w:eastAsia="Arial" w:hAnsi="Arial"/>
          <w:sz w:val="13"/>
          <w:szCs w:val="13"/>
          <w:color w:val="auto"/>
        </w:rPr>
        <w:t>— Our engineers, in consultation with third-party engineering consultants and surveyors, are responsible for determining remaining permitted</w:t>
      </w:r>
      <w:r>
        <w:rPr>
          <w:rFonts w:ascii="Arial" w:cs="Arial" w:eastAsia="Arial" w:hAnsi="Arial"/>
          <w:sz w:val="13"/>
          <w:szCs w:val="13"/>
          <w:i w:val="1"/>
          <w:iCs w:val="1"/>
          <w:color w:val="auto"/>
        </w:rPr>
        <w:t xml:space="preserve"> </w:t>
      </w:r>
      <w:r>
        <w:rPr>
          <w:rFonts w:ascii="Arial" w:cs="Arial" w:eastAsia="Arial" w:hAnsi="Arial"/>
          <w:sz w:val="13"/>
          <w:szCs w:val="13"/>
          <w:color w:val="auto"/>
        </w:rPr>
        <w:t>airspace at our landfills. The remaining permitted airspace is determined by an annual survey, which is then used to compare the existing landfill topography to the expected final landfill topography.</w:t>
      </w:r>
    </w:p>
    <w:p>
      <w:pPr>
        <w:spacing w:after="0" w:line="57" w:lineRule="exact"/>
        <w:rPr>
          <w:rFonts w:ascii="Arial" w:cs="Arial" w:eastAsia="Arial" w:hAnsi="Arial"/>
          <w:sz w:val="13"/>
          <w:szCs w:val="13"/>
          <w:color w:val="auto"/>
        </w:rPr>
      </w:pPr>
    </w:p>
    <w:p>
      <w:pPr>
        <w:ind w:left="1280" w:right="60" w:hanging="190"/>
        <w:spacing w:after="0" w:line="296" w:lineRule="auto"/>
        <w:tabs>
          <w:tab w:leader="none" w:pos="1280" w:val="left"/>
        </w:tabs>
        <w:numPr>
          <w:ilvl w:val="0"/>
          <w:numId w:val="44"/>
        </w:numPr>
        <w:rPr>
          <w:rFonts w:ascii="Arial" w:cs="Arial" w:eastAsia="Arial" w:hAnsi="Arial"/>
          <w:sz w:val="12"/>
          <w:szCs w:val="12"/>
          <w:color w:val="auto"/>
        </w:rPr>
      </w:pPr>
      <w:r>
        <w:rPr>
          <w:rFonts w:ascii="Arial" w:cs="Arial" w:eastAsia="Arial" w:hAnsi="Arial"/>
          <w:sz w:val="12"/>
          <w:szCs w:val="12"/>
          <w:i w:val="1"/>
          <w:iCs w:val="1"/>
          <w:color w:val="auto"/>
        </w:rPr>
        <w:t xml:space="preserve">Expansion Airspace </w:t>
      </w:r>
      <w:r>
        <w:rPr>
          <w:rFonts w:ascii="Arial" w:cs="Arial" w:eastAsia="Arial" w:hAnsi="Arial"/>
          <w:sz w:val="12"/>
          <w:szCs w:val="12"/>
          <w:color w:val="auto"/>
        </w:rPr>
        <w:t>— We also include currently unpermitted airspace in our estimate of remaining permitted and expansion airspace in certain circumstances. First, to include</w:t>
      </w:r>
      <w:r>
        <w:rPr>
          <w:rFonts w:ascii="Arial" w:cs="Arial" w:eastAsia="Arial" w:hAnsi="Arial"/>
          <w:sz w:val="12"/>
          <w:szCs w:val="12"/>
          <w:i w:val="1"/>
          <w:iCs w:val="1"/>
          <w:color w:val="auto"/>
        </w:rPr>
        <w:t xml:space="preserve"> </w:t>
      </w:r>
      <w:r>
        <w:rPr>
          <w:rFonts w:ascii="Arial" w:cs="Arial" w:eastAsia="Arial" w:hAnsi="Arial"/>
          <w:sz w:val="12"/>
          <w:szCs w:val="12"/>
          <w:color w:val="auto"/>
        </w:rPr>
        <w:t>airspace associated with an expansion effort, we must generally expect the initial expansion permit application to be submitted within one year, and the final expansion permit to be received within five years. Second, we must believe the success of obtaining the expansion permit is likely, considering the following criteria:</w:t>
      </w:r>
    </w:p>
    <w:p>
      <w:pPr>
        <w:spacing w:after="0" w:line="49" w:lineRule="exact"/>
        <w:rPr>
          <w:rFonts w:ascii="Arial" w:cs="Arial" w:eastAsia="Arial" w:hAnsi="Arial"/>
          <w:sz w:val="12"/>
          <w:szCs w:val="12"/>
          <w:color w:val="auto"/>
        </w:rPr>
      </w:pPr>
    </w:p>
    <w:p>
      <w:pPr>
        <w:ind w:left="1500" w:hanging="214"/>
        <w:spacing w:after="0"/>
        <w:tabs>
          <w:tab w:leader="none" w:pos="1500" w:val="left"/>
        </w:tabs>
        <w:numPr>
          <w:ilvl w:val="1"/>
          <w:numId w:val="44"/>
        </w:numPr>
        <w:rPr>
          <w:rFonts w:ascii="Arial" w:cs="Arial" w:eastAsia="Arial" w:hAnsi="Arial"/>
          <w:sz w:val="13"/>
          <w:szCs w:val="13"/>
          <w:color w:val="auto"/>
        </w:rPr>
      </w:pPr>
      <w:r>
        <w:rPr>
          <w:rFonts w:ascii="Arial" w:cs="Arial" w:eastAsia="Arial" w:hAnsi="Arial"/>
          <w:sz w:val="13"/>
          <w:szCs w:val="13"/>
          <w:color w:val="auto"/>
        </w:rPr>
        <w:t>Personnel are actively working to obtain land use and local, state or provincial approvals for an expansion of an existing landfill;</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44"/>
        </w:numPr>
        <w:rPr>
          <w:rFonts w:ascii="Arial" w:cs="Arial" w:eastAsia="Arial" w:hAnsi="Arial"/>
          <w:sz w:val="12"/>
          <w:szCs w:val="12"/>
          <w:color w:val="auto"/>
        </w:rPr>
      </w:pPr>
      <w:r>
        <w:rPr>
          <w:rFonts w:ascii="Arial" w:cs="Arial" w:eastAsia="Arial" w:hAnsi="Arial"/>
          <w:sz w:val="12"/>
          <w:szCs w:val="12"/>
          <w:color w:val="auto"/>
        </w:rPr>
        <w:t>It is likely that the approvals will be received within the normal application and processing time periods for approvals in the jurisdiction in which the landfill is located;</w:t>
      </w:r>
    </w:p>
    <w:p>
      <w:pPr>
        <w:spacing w:after="0" w:line="97" w:lineRule="exact"/>
        <w:rPr>
          <w:rFonts w:ascii="Arial" w:cs="Arial" w:eastAsia="Arial" w:hAnsi="Arial"/>
          <w:sz w:val="12"/>
          <w:szCs w:val="12"/>
          <w:color w:val="auto"/>
        </w:rPr>
      </w:pPr>
    </w:p>
    <w:p>
      <w:pPr>
        <w:ind w:left="1500" w:hanging="214"/>
        <w:spacing w:after="0"/>
        <w:tabs>
          <w:tab w:leader="none" w:pos="1500" w:val="left"/>
        </w:tabs>
        <w:numPr>
          <w:ilvl w:val="1"/>
          <w:numId w:val="44"/>
        </w:numPr>
        <w:rPr>
          <w:rFonts w:ascii="Arial" w:cs="Arial" w:eastAsia="Arial" w:hAnsi="Arial"/>
          <w:sz w:val="13"/>
          <w:szCs w:val="13"/>
          <w:color w:val="auto"/>
        </w:rPr>
      </w:pPr>
      <w:r>
        <w:rPr>
          <w:rFonts w:ascii="Arial" w:cs="Arial" w:eastAsia="Arial" w:hAnsi="Arial"/>
          <w:sz w:val="13"/>
          <w:szCs w:val="13"/>
          <w:color w:val="auto"/>
        </w:rPr>
        <w:t>We have a legal right to use or obtain land to be included in the expansion plan;</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44"/>
        </w:numPr>
        <w:rPr>
          <w:rFonts w:ascii="Arial" w:cs="Arial" w:eastAsia="Arial" w:hAnsi="Arial"/>
          <w:sz w:val="13"/>
          <w:szCs w:val="13"/>
          <w:color w:val="auto"/>
        </w:rPr>
      </w:pPr>
      <w:r>
        <w:rPr>
          <w:rFonts w:ascii="Arial" w:cs="Arial" w:eastAsia="Arial" w:hAnsi="Arial"/>
          <w:sz w:val="13"/>
          <w:szCs w:val="13"/>
          <w:color w:val="auto"/>
        </w:rPr>
        <w:t>There are no significant known technical, legal, community, business, or political restrictions or similar issues that could impair the success of such expansion;</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44"/>
        </w:numPr>
        <w:rPr>
          <w:rFonts w:ascii="Arial" w:cs="Arial" w:eastAsia="Arial" w:hAnsi="Arial"/>
          <w:sz w:val="13"/>
          <w:szCs w:val="13"/>
          <w:color w:val="auto"/>
        </w:rPr>
      </w:pPr>
      <w:r>
        <w:rPr>
          <w:rFonts w:ascii="Arial" w:cs="Arial" w:eastAsia="Arial" w:hAnsi="Arial"/>
          <w:sz w:val="13"/>
          <w:szCs w:val="13"/>
          <w:color w:val="auto"/>
        </w:rPr>
        <w:t>Financial analysis has been completed, and the results demonstrate that the expansion has a positive financial and operational impact; and</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44"/>
        </w:numPr>
        <w:rPr>
          <w:rFonts w:ascii="Arial" w:cs="Arial" w:eastAsia="Arial" w:hAnsi="Arial"/>
          <w:sz w:val="13"/>
          <w:szCs w:val="13"/>
          <w:color w:val="auto"/>
        </w:rPr>
      </w:pPr>
      <w:r>
        <w:rPr>
          <w:rFonts w:ascii="Arial" w:cs="Arial" w:eastAsia="Arial" w:hAnsi="Arial"/>
          <w:sz w:val="13"/>
          <w:szCs w:val="13"/>
          <w:color w:val="auto"/>
        </w:rPr>
        <w:t>Airspace and related costs, including additional closure and post-closure costs, have been estimated based on conceptual design.</w:t>
      </w:r>
    </w:p>
    <w:p>
      <w:pPr>
        <w:spacing w:after="0" w:line="96"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these criteria are no longer met, based on the facts and circumstances of a specific landfill. In these circumstances, continued inclusion must be approved through a landfill-specific review process that includes approval of the Chief Financial Officer and a review by the Audit Committee of the Board of Directors on a quarterly basis. Of the 54 landfill sites with expansions at December 31, 2007, 18 landfills required the Chief Financial Officer to approve the inclusion of the unpermitted airspace. Eight of these landfills required approval by the Chief Financial Officer because of a lack of community or political support that could impede the expansion process. The remaining ten landfills required approval primarily due to the permit application processes not meeting the one- or five-year requirements, as a result of state-specific permitting procedures.</w:t>
      </w:r>
    </w:p>
    <w:p>
      <w:pPr>
        <w:spacing w:after="0" w:line="7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Once the remaining permitted and expansion airspace is determined, an airspace utilization factor, or AUF, is established to calculate the remaining permitted and expansion capacity in tons. The AUF is established using the measured density obtained from previous annual surveys and then adjusted to account for settlement. The amount of settlement that is forecasted will take into account several site-specific factors including current and projected mix of waste type, initial and projected waste density, estimated number of years of life remaining, depth of underlying waste, and anticipated access to moisture through precipitation or recirculation of landfill leachate.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When we include the expansion airspace in our calculations of remaining permitted and expansion airspace, we also include the projected costs for development, as well as the projected asset retirement costs related to final capping, and closure and post-closure of the expansion in the amortization basis of the landfill.</w:t>
      </w:r>
    </w:p>
    <w:p>
      <w:pPr>
        <w:spacing w:after="0" w:line="35"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After determining the costs and remaining permitted and expansion capacity at each of our landfills, we determine the per ton rates that will be expensed through landfill amortization. We look at factors such as the waste stream, geography and rate of compaction, among others, to determine the number of tons necessary to fill the remaining permitted and expansion airspace relating to these costs and activities. We then divide costs by the corresponding number of tons, giving us the rate per ton to expense for each activity as waste is received and deposited at the landfill.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55" w:lineRule="exact"/>
        <w:rPr>
          <w:sz w:val="20"/>
          <w:szCs w:val="20"/>
          <w:color w:val="auto"/>
        </w:rPr>
      </w:pPr>
    </w:p>
    <w:p>
      <w:pPr>
        <w:ind w:left="680" w:right="160" w:firstLine="399"/>
        <w:spacing w:after="0" w:line="282" w:lineRule="auto"/>
        <w:rPr>
          <w:sz w:val="20"/>
          <w:szCs w:val="20"/>
          <w:color w:val="auto"/>
        </w:rPr>
      </w:pPr>
      <w:r>
        <w:rPr>
          <w:rFonts w:ascii="Arial" w:cs="Arial" w:eastAsia="Arial" w:hAnsi="Arial"/>
          <w:sz w:val="12"/>
          <w:szCs w:val="12"/>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or higher profitability may result if the opposite occurs. Most significantly, if our belief that we will receive an expansion permit changes adversely and it is determined that the expansion capacity should no longer be considered in calculating the recoverability of the landfill asset, we may be required to recognize an asset impairment. If it is determined that the likelihood of receiving the expansion permit has become remote, the capitalized costs related to the expansion effort are expensed immediately.</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Environmental Remediation Liabilities </w:t>
      </w:r>
      <w:r>
        <w:rPr>
          <w:rFonts w:ascii="Arial" w:cs="Arial" w:eastAsia="Arial" w:hAnsi="Arial"/>
          <w:sz w:val="12"/>
          <w:szCs w:val="12"/>
          <w:color w:val="auto"/>
        </w:rPr>
        <w:t>— We are subject to an array of laws and regulations relating to the protection of the environment. Under current laws and regulations, we may</w:t>
      </w:r>
      <w:r>
        <w:rPr>
          <w:rFonts w:ascii="Arial" w:cs="Arial" w:eastAsia="Arial" w:hAnsi="Arial"/>
          <w:sz w:val="12"/>
          <w:szCs w:val="12"/>
          <w:i w:val="1"/>
          <w:iCs w:val="1"/>
          <w:color w:val="auto"/>
        </w:rPr>
        <w:t xml:space="preserve"> </w:t>
      </w:r>
      <w:r>
        <w:rPr>
          <w:rFonts w:ascii="Arial" w:cs="Arial" w:eastAsia="Arial" w:hAnsi="Arial"/>
          <w:sz w:val="12"/>
          <w:szCs w:val="12"/>
          <w:color w:val="auto"/>
        </w:rPr>
        <w:t>have liabilities for environmental damage caused by operations, or for damage caused by conditions that existed before we acquired a site. Such liabilities include potentially responsible party (“PRP”)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several estimates and assumptions.</w:t>
      </w:r>
    </w:p>
    <w:p>
      <w:pPr>
        <w:spacing w:after="0" w:line="55" w:lineRule="exact"/>
        <w:rPr>
          <w:sz w:val="20"/>
          <w:szCs w:val="20"/>
          <w:color w:val="auto"/>
        </w:rPr>
      </w:pPr>
    </w:p>
    <w:p>
      <w:pPr>
        <w:jc w:val="both"/>
        <w:ind w:left="680" w:right="140" w:firstLine="399"/>
        <w:spacing w:after="0" w:line="289" w:lineRule="auto"/>
        <w:rPr>
          <w:sz w:val="20"/>
          <w:szCs w:val="20"/>
          <w:color w:val="auto"/>
        </w:rPr>
      </w:pPr>
      <w:r>
        <w:rPr>
          <w:rFonts w:ascii="Arial" w:cs="Arial" w:eastAsia="Arial" w:hAnsi="Arial"/>
          <w:sz w:val="12"/>
          <w:szCs w:val="12"/>
          <w:color w:val="auto"/>
        </w:rPr>
        <w:t>We estimate costs required to remediate sites where it is probable that a liability has been incurred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 for the likely remedy are then either developed using our internal resources or by third-party environmental engineers or other service providers. Internally developed estimates are based on:</w:t>
      </w:r>
    </w:p>
    <w:p>
      <w:pPr>
        <w:spacing w:after="0" w:line="53" w:lineRule="exact"/>
        <w:rPr>
          <w:sz w:val="20"/>
          <w:szCs w:val="20"/>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Management’s judgment and experience in remediating our own and unrelated parties’ sites;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Information available from regulatory agencies as to costs of remediation;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number, financial resources and relative degree of responsibility of other PRPs who may be liable for remediation of a specific site;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typical allocation of costs among PRPs unless the actual allocation has been determined.</w:t>
      </w:r>
    </w:p>
    <w:p>
      <w:pPr>
        <w:spacing w:after="0" w:line="96"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There can sometimes be a range of reasonable estimates of the costs associated with the likely remedy of a site. In these cases, we use the amount within the range that constitutes our best estimate. If no amount within the range appears to be a better estimate than any other, we use the amounts that are the low ends of such ranges in accordance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 xml:space="preserve">with SFAS No. 5, </w:t>
      </w:r>
      <w:r>
        <w:rPr>
          <w:rFonts w:ascii="Arial" w:cs="Arial" w:eastAsia="Arial" w:hAnsi="Arial"/>
          <w:sz w:val="13"/>
          <w:szCs w:val="13"/>
          <w:i w:val="1"/>
          <w:iCs w:val="1"/>
          <w:color w:val="auto"/>
        </w:rPr>
        <w:t>Accounting for Contingencies</w:t>
      </w:r>
      <w:r>
        <w:rPr>
          <w:rFonts w:ascii="Arial" w:cs="Arial" w:eastAsia="Arial" w:hAnsi="Arial"/>
          <w:sz w:val="13"/>
          <w:szCs w:val="13"/>
          <w:color w:val="auto"/>
        </w:rPr>
        <w:t xml:space="preserve"> and its Interpretations. If we used the high ends of such ranges, our aggregate potential liability would be approximately $190 million higher on a discounted basis than the $284 million recorded in the Consolidated Financial Statements as of December 31, 2007.</w:t>
      </w:r>
    </w:p>
    <w:p>
      <w:pPr>
        <w:spacing w:after="0" w:line="59"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Estimating our degree of responsibility for remediation of a particular site is inherently difficult and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that could be material. Additionally, our ongoing review of our remediation liabilities could result in revisions that could cause upward or downward adjustments to income from operations. These adjustments could also be material in any given period.</w:t>
      </w:r>
    </w:p>
    <w:p>
      <w:pPr>
        <w:spacing w:after="0" w:line="71" w:lineRule="exact"/>
        <w:rPr>
          <w:sz w:val="20"/>
          <w:szCs w:val="20"/>
          <w:color w:val="auto"/>
        </w:rPr>
      </w:pPr>
    </w:p>
    <w:p>
      <w:pPr>
        <w:ind w:left="680" w:right="20" w:firstLine="399"/>
        <w:spacing w:after="0" w:line="306" w:lineRule="auto"/>
        <w:rPr>
          <w:sz w:val="20"/>
          <w:szCs w:val="20"/>
          <w:color w:val="auto"/>
        </w:rPr>
      </w:pPr>
      <w:r>
        <w:rPr>
          <w:rFonts w:ascii="Arial" w:cs="Arial" w:eastAsia="Arial" w:hAnsi="Arial"/>
          <w:sz w:val="11"/>
          <w:szCs w:val="11"/>
          <w:color w:val="auto"/>
        </w:rPr>
        <w:t>Where we believe that both the amount of a particular environmental remediation liability and the timing of the payments are reliably determinable, we inflate the cost in current dollars (by 2.5% at both December 31, 2007 and December 31, 2006) until the expected time of payment and discount the cost to present value using a risk-free discount rate, which is based on the rate for United States treasury bonds with a term approximating the weighted average period until settlement of the underlying obligation. We determine the risk-free discount rate and the inflation rate on an annual basis unless interim changes would significantly impact our results of operations. As a result of an increase in our risk-free discount rate, from 4.25% for 2005 to 4.75% for 2006, we recorded a $6 million reduction in “Operating” expenses during the first quarter of 2006 and a corresponding decrease in environmental remediation liabilities. As a result of a decrease in our risk-free discount rate, from 4.75% for 2006 to 4.00% for 2007, we recorded an $8 million charge to “Operating” expenses during the fourth quarter of 2007 and a corresponding increase in environmental remediation liabilities. For remedial liabilities that have been discounted, we include interest accretion, based on the effective interest method, in “Operating” costs and expenses in our Consolidated Statements of Operations. The portion of our recorded environmental remediation liabilities that has never been subject to inflation or discounting as the amounts and timing of payments are not readily determinable was $47 million and $55 million at December 31, 2007 and 2006, respectively. Had we not discounted any portion of our environmental remediation liability, the amount recorded would have been increased by $28 million at December 31, 2007 and $41 million at December 31, 2006.</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 (Exclusive of landfills discussed above)</w:t>
      </w:r>
    </w:p>
    <w:p>
      <w:pPr>
        <w:spacing w:after="0" w:line="96" w:lineRule="exact"/>
        <w:rPr>
          <w:sz w:val="20"/>
          <w:szCs w:val="20"/>
          <w:color w:val="auto"/>
        </w:rPr>
      </w:pPr>
    </w:p>
    <w:p>
      <w:pPr>
        <w:ind w:left="680" w:right="460" w:firstLine="399"/>
        <w:spacing w:after="0" w:line="264" w:lineRule="auto"/>
        <w:rPr>
          <w:sz w:val="20"/>
          <w:szCs w:val="20"/>
          <w:color w:val="auto"/>
        </w:rPr>
      </w:pPr>
      <w:r>
        <w:rPr>
          <w:rFonts w:ascii="Arial" w:cs="Arial" w:eastAsia="Arial" w:hAnsi="Arial"/>
          <w:sz w:val="13"/>
          <w:szCs w:val="13"/>
          <w:color w:val="auto"/>
        </w:rPr>
        <w:t>Property and equipment are recorded at cost. Expenditures for major additions and improvements are capitalized while major maintenance activities are expensed as incurred. Depreciation is provided over the estimated useful lives of these assets using the straight-line method. We assume no salvage value for our depreciable property and equipment. The estimated useful lives for significant property and equipment categories are as follows (in years):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9000" w:type="dxa"/>
            <w:vAlign w:val="bottom"/>
          </w:tcPr>
          <w:p>
            <w:pPr>
              <w:spacing w:after="0"/>
              <w:rPr>
                <w:sz w:val="10"/>
                <w:szCs w:val="1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Useful Lives</w:t>
            </w:r>
          </w:p>
        </w:tc>
      </w:tr>
      <w:tr>
        <w:trPr>
          <w:trHeight w:val="29"/>
        </w:trPr>
        <w:tc>
          <w:tcPr>
            <w:tcW w:w="90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Vehicles — excluding rail haul cars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 to 10</w:t>
            </w: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Vehicles — rail haul cars</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 to 20</w:t>
            </w: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Machinery and equipment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 to 30</w:t>
            </w: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Buildings and improvements — excluding waste-to-energy facilities</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 to 40</w:t>
            </w: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Waste-to-energy facilities and related equipment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up to 50</w:t>
            </w:r>
          </w:p>
        </w:tc>
      </w:tr>
      <w:tr>
        <w:trPr>
          <w:trHeight w:val="165"/>
        </w:trPr>
        <w:tc>
          <w:tcPr>
            <w:tcW w:w="9000" w:type="dxa"/>
            <w:vAlign w:val="bottom"/>
          </w:tcPr>
          <w:p>
            <w:pPr>
              <w:spacing w:after="0"/>
              <w:rPr>
                <w:sz w:val="20"/>
                <w:szCs w:val="20"/>
                <w:color w:val="auto"/>
              </w:rPr>
            </w:pPr>
            <w:r>
              <w:rPr>
                <w:rFonts w:ascii="Arial" w:cs="Arial" w:eastAsia="Arial" w:hAnsi="Arial"/>
                <w:sz w:val="13"/>
                <w:szCs w:val="13"/>
                <w:color w:val="auto"/>
              </w:rPr>
              <w:t>Furniture, fixtures and office equipment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 to 10</w:t>
            </w:r>
          </w:p>
        </w:tc>
      </w:tr>
    </w:tbl>
    <w:p>
      <w:pPr>
        <w:spacing w:after="0" w:line="72"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include capitalized costs associated with developing or obtaining internal-use software within furniture, fixtures and office equipment. These costs include external direct costs of materials and services used in developing or obtaining the software and payroll and payroll-related costs for employees directly associated with the software development project. As of December 31, 2007, capitalized costs for software placed in service, net of accumulated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depreciation, were $40 million. In addition, our furniture, fixtures and office equipment includes $81 million as of December 31, 2007 and $68 million as of December 31, 2006 for costs incurred for software under development. This includes $70 million of costs associated with the development of our revenue management system. Our implementation processes associated with this software identified issues with the software that have delayed the development and implementation of the system. Based on this information, we are currently evaluating the overall effectiveness of the software portion of the system and re-examining our implementation plan. No impairment of this asset has been required through December 31, 2007, although there can be no assurances that an impairment may not be required in future periods.</w:t>
      </w:r>
    </w:p>
    <w:p>
      <w:pPr>
        <w:spacing w:after="0" w:line="71"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When property and equipment are retired, sold or otherwise disposed of, the cost and accumulated depreciation are removed from our accounts and any resulting gain or loss is included in results of operations as offsets or increases to operating expense for the period.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color w:val="auto"/>
        </w:rPr>
        <w:t>We lease property and equipment in the ordinary course of our business. Our most significant lease obligations are for property and equipment specific to our industry, including real property operated as a landfill, transfer station or waste-to-energy facility and equipment such as compactors. Our leases have varying terms. Some may include renewal or purchase options, escalation clauses, restrictions, penalties or other obligations that we consider in determining minimum lease payments. The leases are classified as either operating leases or capital leases, as appropriate.</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Operating leases </w:t>
      </w:r>
      <w:r>
        <w:rPr>
          <w:rFonts w:ascii="Arial" w:cs="Arial" w:eastAsia="Arial" w:hAnsi="Arial"/>
          <w:sz w:val="13"/>
          <w:szCs w:val="13"/>
          <w:color w:val="auto"/>
        </w:rPr>
        <w:t>— The majority of our leases are operating leases. This classification generally can be attributed to either (i) relatively low fixed minimum lease payments as a</w:t>
      </w:r>
      <w:r>
        <w:rPr>
          <w:rFonts w:ascii="Arial" w:cs="Arial" w:eastAsia="Arial" w:hAnsi="Arial"/>
          <w:sz w:val="13"/>
          <w:szCs w:val="13"/>
          <w:i w:val="1"/>
          <w:iCs w:val="1"/>
          <w:color w:val="auto"/>
        </w:rPr>
        <w:t xml:space="preserve"> </w:t>
      </w:r>
      <w:r>
        <w:rPr>
          <w:rFonts w:ascii="Arial" w:cs="Arial" w:eastAsia="Arial" w:hAnsi="Arial"/>
          <w:sz w:val="13"/>
          <w:szCs w:val="13"/>
          <w:color w:val="auto"/>
        </w:rPr>
        <w:t>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 Our rent expense during each of the last three years and our future minimum operating lease payments for each of the next five years, for which we are contractually obligated as of December 31, 2007, are disclosed in Note 10.</w:t>
      </w:r>
    </w:p>
    <w:p>
      <w:pPr>
        <w:spacing w:after="0" w:line="71"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Capital leases </w:t>
      </w:r>
      <w:r>
        <w:rPr>
          <w:rFonts w:ascii="Arial" w:cs="Arial" w:eastAsia="Arial" w:hAnsi="Arial"/>
          <w:sz w:val="13"/>
          <w:szCs w:val="13"/>
          <w:color w:val="auto"/>
        </w:rPr>
        <w:t>— Assets under capital leases are capitalized using interest rates appropriate at the inception of each lease and are amortized over either the useful life of the asset or</w:t>
      </w:r>
      <w:r>
        <w:rPr>
          <w:rFonts w:ascii="Arial" w:cs="Arial" w:eastAsia="Arial" w:hAnsi="Arial"/>
          <w:sz w:val="13"/>
          <w:szCs w:val="13"/>
          <w:i w:val="1"/>
          <w:iCs w:val="1"/>
          <w:color w:val="auto"/>
        </w:rPr>
        <w:t xml:space="preserve"> </w:t>
      </w:r>
      <w:r>
        <w:rPr>
          <w:rFonts w:ascii="Arial" w:cs="Arial" w:eastAsia="Arial" w:hAnsi="Arial"/>
          <w:sz w:val="13"/>
          <w:szCs w:val="13"/>
          <w:color w:val="auto"/>
        </w:rPr>
        <w:t>the lease term, as appropriate, on a straight-line basis. The present value of the related lease payments is recorded as a debt obligation. Our future minimum annual capital lease payments are included in our total future debt obligations as disclosed in Note 7.</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account for the assets acquired and liabilities assumed in a business combination based on fair value estimates as of the date of acquisition. These estimates are revised during the allocation period as necessary if, and when, information regarding contingencies becomes available to further define and quantify assets acquired and liabilities assumed. The allocation period generally does not exceed one year. To the extent contingencies such as preacquisition environmental matters, litigation and related legal fees are resolved or settled during the allocation period, such items are included in the revised allocation of the purchase price. After the allocation period, the effect of changes in such contingencies is included in results of operations in the periods in which the adjustments are determined.</w:t>
      </w:r>
    </w:p>
    <w:p>
      <w:pPr>
        <w:spacing w:after="0" w:line="71"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 xml:space="preserve">In certain business combinations, we agree to pay additional amounts to sellers contingent upon achievement by the acquired businesses of certain negotiated goals, such as targeted revenue levels, targeted disposal volumes or the issuance of permits for expanded landfill airspace. Contingent payments, when incurred, are recorded as purchase price adjustments or compensation expense, as appropriate, based on the nature of each contingent payment. Refer to the </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section of Note 10 for additional information related to these contingent obligations.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Assets held-for-sale</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During our operations review processes, we, from time to time, identify under-performing operations. We assess these operations for opportunities to improve their performance. A possible conclusion of this review may be that offering the related assets for sale to others is in our best interests. Additionally, we continually review our real estate portfolio and identify any surplus property.</w:t>
      </w:r>
    </w:p>
    <w:p>
      <w:pPr>
        <w:spacing w:after="0" w:line="67" w:lineRule="exact"/>
        <w:rPr>
          <w:sz w:val="20"/>
          <w:szCs w:val="20"/>
          <w:color w:val="auto"/>
        </w:rPr>
      </w:pPr>
    </w:p>
    <w:p>
      <w:pPr>
        <w:jc w:val="both"/>
        <w:ind w:left="680" w:right="40" w:firstLine="399"/>
        <w:spacing w:after="0" w:line="305" w:lineRule="auto"/>
        <w:rPr>
          <w:sz w:val="20"/>
          <w:szCs w:val="20"/>
          <w:color w:val="auto"/>
        </w:rPr>
      </w:pPr>
      <w:r>
        <w:rPr>
          <w:rFonts w:ascii="Arial" w:cs="Arial" w:eastAsia="Arial" w:hAnsi="Arial"/>
          <w:sz w:val="11"/>
          <w:szCs w:val="11"/>
          <w:color w:val="auto"/>
        </w:rPr>
        <w:t>We classify these assets as held-for-sale when they meet the following criteria: (i) management, having the authority to approve the action, commits to a plan to sell the assets; (ii) the assets are available for immediate sale in their present condition, subject only to conditions that are usual and customary for the sale of such assets; (iii) we are actively searching for a buyer;</w:t>
      </w:r>
    </w:p>
    <w:p>
      <w:pPr>
        <w:spacing w:after="0" w:line="1" w:lineRule="exact"/>
        <w:rPr>
          <w:sz w:val="20"/>
          <w:szCs w:val="20"/>
          <w:color w:val="auto"/>
        </w:rPr>
      </w:pPr>
    </w:p>
    <w:p>
      <w:pPr>
        <w:jc w:val="both"/>
        <w:ind w:left="680" w:right="400" w:firstLine="7"/>
        <w:spacing w:after="0" w:line="356" w:lineRule="auto"/>
        <w:tabs>
          <w:tab w:leader="none" w:pos="902" w:val="left"/>
        </w:tabs>
        <w:numPr>
          <w:ilvl w:val="0"/>
          <w:numId w:val="46"/>
        </w:numPr>
        <w:rPr>
          <w:rFonts w:ascii="Arial" w:cs="Arial" w:eastAsia="Arial" w:hAnsi="Arial"/>
          <w:sz w:val="11"/>
          <w:szCs w:val="11"/>
          <w:color w:val="auto"/>
        </w:rPr>
      </w:pPr>
      <w:r>
        <w:rPr>
          <w:rFonts w:ascii="Arial" w:cs="Arial" w:eastAsia="Arial" w:hAnsi="Arial"/>
          <w:sz w:val="11"/>
          <w:szCs w:val="11"/>
          <w:color w:val="auto"/>
        </w:rPr>
        <w:t>the assets are being marketed at a price that is reasonable in relation to their current fair value; (v) actions necessary to complete the plan indicate that it is unlikely that significant changes to the plan will be made or the plan will be withdrawn; and (vi) the sale is probable and the transfer is expected to qualify for recognition as a completed sale within one year.</w:t>
      </w:r>
    </w:p>
    <w:p>
      <w:pPr>
        <w:spacing w:after="0" w:line="2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These assets are recorded at the lower of their carrying amount or their fair value less the estimated cost to sell and are included within current “Other assets” within our Consolidated Balance Sheets. We continue to review our classification of assets held-for-sale to ensure they meet our held-for-sale criteria.</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Discontinued operations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analyze our operations that have been divested or classified as held-for-sale in order to determine if they qualify for discontinued operations accounting. Only operations that qualify as a component of an entity (“Component”) under generally accepted accounting principles can be included in discontinued operations. Only Components where we do not have significant continuing involvement with the divested operations would qualify for discontinued operations accounting. For our purposes, continuing involvement would include continuing to receive waste at our landfill, waste-to-energy facility or recycling facility from a divested hauling operation or transfer station or continuing to dispose of waste at a divested landfill or transfer station. After completing our analysis at December 31, 2007, we determined that the operations that qualify for discontinued operations accounting are not material to our Consolidated Statements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 xml:space="preserve">Goodwill is the excess of our purchase cost over the fair value of the net assets of acquired businesses. In accordance with SFAS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 xml:space="preserve">, we do not amortize goodwill. As discussed in the </w:t>
      </w:r>
      <w:r>
        <w:rPr>
          <w:rFonts w:ascii="Arial" w:cs="Arial" w:eastAsia="Arial" w:hAnsi="Arial"/>
          <w:sz w:val="13"/>
          <w:szCs w:val="13"/>
          <w:i w:val="1"/>
          <w:iCs w:val="1"/>
          <w:color w:val="auto"/>
        </w:rPr>
        <w:t>Asset impairments</w:t>
      </w:r>
      <w:r>
        <w:rPr>
          <w:rFonts w:ascii="Arial" w:cs="Arial" w:eastAsia="Arial" w:hAnsi="Arial"/>
          <w:sz w:val="13"/>
          <w:szCs w:val="13"/>
          <w:color w:val="auto"/>
        </w:rPr>
        <w:t xml:space="preserve"> section below, we assess our goodwill for impairment at least annually.</w:t>
      </w:r>
    </w:p>
    <w:p>
      <w:pPr>
        <w:spacing w:after="0" w:line="59" w:lineRule="exact"/>
        <w:rPr>
          <w:sz w:val="20"/>
          <w:szCs w:val="20"/>
          <w:color w:val="auto"/>
        </w:rPr>
      </w:pPr>
    </w:p>
    <w:p>
      <w:pPr>
        <w:jc w:val="both"/>
        <w:ind w:left="680" w:right="20" w:firstLine="399"/>
        <w:spacing w:after="0" w:line="303" w:lineRule="auto"/>
        <w:rPr>
          <w:sz w:val="20"/>
          <w:szCs w:val="20"/>
          <w:color w:val="auto"/>
        </w:rPr>
      </w:pPr>
      <w:r>
        <w:rPr>
          <w:rFonts w:ascii="Arial" w:cs="Arial" w:eastAsia="Arial" w:hAnsi="Arial"/>
          <w:sz w:val="11"/>
          <w:szCs w:val="11"/>
          <w:color w:val="auto"/>
        </w:rPr>
        <w:t>Other intangible assets consist primarily of customer contracts, customer lists, covenants not-to-compete, licenses, permits (other than landfill permits, as all landfill related intangible assets are combined with landfill tangible assets and amortized using our landfill amortization policy) and other contracts. Other intangible assets are recorded at cost and are amortized using either a 150% declining balance approach or on a straight-line basis as we determine appropriate. Customer contracts and customer lists are generally amortized over seven to ten years.</w:t>
      </w:r>
    </w:p>
    <w:p>
      <w:pPr>
        <w:ind w:left="680" w:right="400"/>
        <w:spacing w:after="0" w:line="356" w:lineRule="auto"/>
        <w:rPr>
          <w:sz w:val="20"/>
          <w:szCs w:val="20"/>
          <w:color w:val="auto"/>
        </w:rPr>
      </w:pPr>
      <w:r>
        <w:rPr>
          <w:rFonts w:ascii="Arial" w:cs="Arial" w:eastAsia="Arial" w:hAnsi="Arial"/>
          <w:sz w:val="11"/>
          <w:szCs w:val="11"/>
          <w:color w:val="auto"/>
        </w:rPr>
        <w:t>Covenants not-to-compete are amortized over the term of the non-compete covenant, which is generally two to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Asset impairments</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We monitor the carrying value of our long-lived assets for potential impairment and test the recoverability of such assets whenever events or changes in circumstances indicate that their carrying amounts may not be recoverable. If an indication of impairment occurs, the asset is reviewed to determine whether there has been an impairment. An impairment loss is recorded as the difference between the carrying amount and fair value of the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asset. If significant events or changes in circumstances indicate that the carrying value of an asset or asset group may not be recoverable,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 If the carrying values are in excess of undiscounted expected future cash flows, we measure any impairment by comparing the fair value of the asset or asset group to its carrying value. Fair value is determined by either an internally developed discounted projected cash flow analysis of the asset or asset group or an actual third-party valuation. If the fair value of an asset or asset group is determined to be less than the carrying amount of the asset or asset group, an impairment in the amount of the difference is recorded in the period that the impairment indicator occurs and is included in the “(Income) expense from divestitures, asset impairments and unusual items” line item in our Consolidated Statement of Operations. Estimating future cash flows requires significant judgment and projections may vary from cash flows eventually realized. There are other considerations for impairments of landfills and goodwill, as described below.</w:t>
      </w:r>
    </w:p>
    <w:p>
      <w:pPr>
        <w:spacing w:after="0" w:line="59" w:lineRule="exact"/>
        <w:rPr>
          <w:sz w:val="20"/>
          <w:szCs w:val="20"/>
          <w:color w:val="auto"/>
        </w:rPr>
      </w:pPr>
    </w:p>
    <w:p>
      <w:pPr>
        <w:jc w:val="both"/>
        <w:ind w:left="680" w:right="260" w:firstLine="399"/>
        <w:spacing w:after="0" w:line="260" w:lineRule="auto"/>
        <w:rPr>
          <w:sz w:val="20"/>
          <w:szCs w:val="20"/>
          <w:color w:val="auto"/>
        </w:rPr>
      </w:pPr>
      <w:r>
        <w:rPr>
          <w:rFonts w:ascii="Arial" w:cs="Arial" w:eastAsia="Arial" w:hAnsi="Arial"/>
          <w:sz w:val="13"/>
          <w:szCs w:val="13"/>
          <w:i w:val="1"/>
          <w:iCs w:val="1"/>
          <w:color w:val="auto"/>
        </w:rPr>
        <w:t xml:space="preserve">Landfills </w:t>
      </w:r>
      <w:r>
        <w:rPr>
          <w:rFonts w:ascii="Arial" w:cs="Arial" w:eastAsia="Arial" w:hAnsi="Arial"/>
          <w:sz w:val="13"/>
          <w:szCs w:val="13"/>
          <w:color w:val="auto"/>
        </w:rPr>
        <w:t>— Certain impairment indicators require significant judgment and understanding of the waste industry when applied to landfill development or expansion projects. For</w:t>
      </w:r>
      <w:r>
        <w:rPr>
          <w:rFonts w:ascii="Arial" w:cs="Arial" w:eastAsia="Arial" w:hAnsi="Arial"/>
          <w:sz w:val="13"/>
          <w:szCs w:val="13"/>
          <w:i w:val="1"/>
          <w:iCs w:val="1"/>
          <w:color w:val="auto"/>
        </w:rPr>
        <w:t xml:space="preserve"> </w:t>
      </w:r>
      <w:r>
        <w:rPr>
          <w:rFonts w:ascii="Arial" w:cs="Arial" w:eastAsia="Arial" w:hAnsi="Arial"/>
          <w:sz w:val="13"/>
          <w:szCs w:val="13"/>
          <w:color w:val="auto"/>
        </w:rPr>
        <w:t>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of our landfill assets due to the unique nature of the waste industry.</w:t>
      </w:r>
    </w:p>
    <w:p>
      <w:pPr>
        <w:spacing w:after="0" w:line="7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Goodwill </w:t>
      </w:r>
      <w:r>
        <w:rPr>
          <w:rFonts w:ascii="Arial" w:cs="Arial" w:eastAsia="Arial" w:hAnsi="Arial"/>
          <w:sz w:val="13"/>
          <w:szCs w:val="13"/>
          <w:color w:val="auto"/>
        </w:rPr>
        <w:t>— At least annually, we assess whether goodwill is impaired. We assess whether an impairment exists by comparing the carrying value of each Group’s goodwill to its</w:t>
      </w:r>
      <w:r>
        <w:rPr>
          <w:rFonts w:ascii="Arial" w:cs="Arial" w:eastAsia="Arial" w:hAnsi="Arial"/>
          <w:sz w:val="13"/>
          <w:szCs w:val="13"/>
          <w:i w:val="1"/>
          <w:iCs w:val="1"/>
          <w:color w:val="auto"/>
        </w:rPr>
        <w:t xml:space="preserve"> </w:t>
      </w:r>
      <w:r>
        <w:rPr>
          <w:rFonts w:ascii="Arial" w:cs="Arial" w:eastAsia="Arial" w:hAnsi="Arial"/>
          <w:sz w:val="13"/>
          <w:szCs w:val="13"/>
          <w:color w:val="auto"/>
        </w:rPr>
        <w:t>implied fair value. The implied fair value of goodwill is determined by deducting the fair value of each Group’s identifiable assets and liabilities from the fair value of the Group as a whole. We rely on discounted cash flow analysis, which requires significant judgments and estimates about the future operations of each Group, to develop our estimates of fair value. Additional impairment assessments may be performed on an interim basis if we encounter events or changes in circumstances that would indicate that, more likely than not, the carrying value of goodwill has been impaired.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trust and escrow accounts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As of December 31, 2007, our restricted trust and escrow accounts consist principally of (i) funds deposited for purposes of settling landfill closure, post-closure and environmental remediation obligations; (ii) funds held in trust for the construction of various facilities; and (iii) funds held in trust for the repayment of our debt obligations. As of December 31, 2007 and 2006, we had $418 million and $377 million, respectively, of restricted trust and escrow accounts, which are primarily included in long-term “Other assets” in our Consolidated Balance Sheets.</w:t>
      </w:r>
    </w:p>
    <w:p>
      <w:pPr>
        <w:spacing w:after="0" w:line="70" w:lineRule="exact"/>
        <w:rPr>
          <w:sz w:val="20"/>
          <w:szCs w:val="20"/>
          <w:color w:val="auto"/>
        </w:rPr>
      </w:pPr>
    </w:p>
    <w:p>
      <w:pPr>
        <w:ind w:left="680" w:right="340" w:firstLine="399"/>
        <w:spacing w:after="0" w:line="305" w:lineRule="auto"/>
        <w:rPr>
          <w:sz w:val="20"/>
          <w:szCs w:val="20"/>
          <w:color w:val="auto"/>
        </w:rPr>
      </w:pPr>
      <w:r>
        <w:rPr>
          <w:rFonts w:ascii="Arial" w:cs="Arial" w:eastAsia="Arial" w:hAnsi="Arial"/>
          <w:sz w:val="11"/>
          <w:szCs w:val="11"/>
          <w:i w:val="1"/>
          <w:iCs w:val="1"/>
          <w:color w:val="auto"/>
        </w:rPr>
        <w:t xml:space="preserve">Closure, post-closure and environmental remediation funds </w:t>
      </w:r>
      <w:r>
        <w:rPr>
          <w:rFonts w:ascii="Arial" w:cs="Arial" w:eastAsia="Arial" w:hAnsi="Arial"/>
          <w:sz w:val="11"/>
          <w:szCs w:val="11"/>
          <w:color w:val="auto"/>
        </w:rPr>
        <w:t>— At several of our landfills, we provide financial assurance by depositing cash into restricted trust funds or escrow</w:t>
      </w:r>
      <w:r>
        <w:rPr>
          <w:rFonts w:ascii="Arial" w:cs="Arial" w:eastAsia="Arial" w:hAnsi="Arial"/>
          <w:sz w:val="11"/>
          <w:szCs w:val="11"/>
          <w:i w:val="1"/>
          <w:iCs w:val="1"/>
          <w:color w:val="auto"/>
        </w:rPr>
        <w:t xml:space="preserve"> </w:t>
      </w:r>
      <w:r>
        <w:rPr>
          <w:rFonts w:ascii="Arial" w:cs="Arial" w:eastAsia="Arial" w:hAnsi="Arial"/>
          <w:sz w:val="11"/>
          <w:szCs w:val="11"/>
          <w:color w:val="auto"/>
        </w:rPr>
        <w:t>accounts for purposes of settling closure, post-closure and environmental remediation obligations. Balances maintained in these trust funds and escrow accounts will fluctuate based on</w:t>
      </w:r>
    </w:p>
    <w:p>
      <w:pPr>
        <w:spacing w:after="0" w:line="1" w:lineRule="exact"/>
        <w:rPr>
          <w:sz w:val="20"/>
          <w:szCs w:val="20"/>
          <w:color w:val="auto"/>
        </w:rPr>
      </w:pPr>
    </w:p>
    <w:p>
      <w:pPr>
        <w:ind w:left="680" w:right="40" w:firstLine="7"/>
        <w:spacing w:after="0" w:line="307" w:lineRule="auto"/>
        <w:tabs>
          <w:tab w:leader="none" w:pos="836" w:val="left"/>
        </w:tabs>
        <w:numPr>
          <w:ilvl w:val="0"/>
          <w:numId w:val="47"/>
        </w:numPr>
        <w:rPr>
          <w:rFonts w:ascii="Arial" w:cs="Arial" w:eastAsia="Arial" w:hAnsi="Arial"/>
          <w:sz w:val="12"/>
          <w:szCs w:val="12"/>
          <w:color w:val="auto"/>
        </w:rPr>
      </w:pPr>
      <w:r>
        <w:rPr>
          <w:rFonts w:ascii="Arial" w:cs="Arial" w:eastAsia="Arial" w:hAnsi="Arial"/>
          <w:sz w:val="12"/>
          <w:szCs w:val="12"/>
          <w:color w:val="auto"/>
        </w:rPr>
        <w:t>changes in statutory requirements; (ii) future deposits made to comply with contractual arrangements; (iii) the ongoing use of funds for qualifying closure, post-closure and environmental remediation activities; (iv) acquisitions or divestitures of landfills; and (v) changes in the fair value of the financial instruments held in the trust fund or escrow accounts.</w:t>
      </w:r>
    </w:p>
    <w:p>
      <w:pPr>
        <w:spacing w:after="0" w:line="42" w:lineRule="exact"/>
        <w:rPr>
          <w:sz w:val="20"/>
          <w:szCs w:val="20"/>
          <w:color w:val="auto"/>
        </w:rPr>
      </w:pPr>
    </w:p>
    <w:p>
      <w:pPr>
        <w:ind w:left="680" w:right="280" w:firstLine="399"/>
        <w:spacing w:after="0" w:line="258" w:lineRule="auto"/>
        <w:rPr>
          <w:sz w:val="20"/>
          <w:szCs w:val="20"/>
          <w:color w:val="auto"/>
        </w:rPr>
      </w:pPr>
      <w:r>
        <w:rPr>
          <w:rFonts w:ascii="Arial" w:cs="Arial" w:eastAsia="Arial" w:hAnsi="Arial"/>
          <w:sz w:val="13"/>
          <w:szCs w:val="13"/>
          <w:i w:val="1"/>
          <w:iCs w:val="1"/>
          <w:color w:val="auto"/>
        </w:rPr>
        <w:t xml:space="preserve">Tax-exempt bond funds </w:t>
      </w:r>
      <w:r>
        <w:rPr>
          <w:rFonts w:ascii="Arial" w:cs="Arial" w:eastAsia="Arial" w:hAnsi="Arial"/>
          <w:sz w:val="13"/>
          <w:szCs w:val="13"/>
          <w:color w:val="auto"/>
        </w:rPr>
        <w:t>— We obtain funds from the issuance of industrial revenue bonds for the construction of collection and disposal facilities and for equipment necessary to</w:t>
      </w:r>
      <w:r>
        <w:rPr>
          <w:rFonts w:ascii="Arial" w:cs="Arial" w:eastAsia="Arial" w:hAnsi="Arial"/>
          <w:sz w:val="13"/>
          <w:szCs w:val="13"/>
          <w:i w:val="1"/>
          <w:iCs w:val="1"/>
          <w:color w:val="auto"/>
        </w:rPr>
        <w:t xml:space="preserve"> </w:t>
      </w:r>
      <w:r>
        <w:rPr>
          <w:rFonts w:ascii="Arial" w:cs="Arial" w:eastAsia="Arial" w:hAnsi="Arial"/>
          <w:sz w:val="13"/>
          <w:szCs w:val="13"/>
          <w:color w:val="auto"/>
        </w:rPr>
        <w:t>provide waste management services. Proceeds from these arrangements are directly deposited into trust accounts, and we do not have the ability to use the funds in regular operating activities. Accordingly, these borrowings are excluded from financing activities in our Statement of Cash Flows. At the time our construction and equipment expenditures have been documented and approved by the applicable bond trustee, the funds are released and we receive cash. These amounts are reported in the Statement of Cash Flows as an investing activity when the cash is released from the trust funds. Generally, the funds are fully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00"/>
        <w:spacing w:after="0" w:line="276" w:lineRule="auto"/>
        <w:rPr>
          <w:sz w:val="20"/>
          <w:szCs w:val="20"/>
          <w:color w:val="auto"/>
        </w:rPr>
      </w:pPr>
      <w:r>
        <w:rPr>
          <w:rFonts w:ascii="Arial" w:cs="Arial" w:eastAsia="Arial" w:hAnsi="Arial"/>
          <w:sz w:val="13"/>
          <w:szCs w:val="13"/>
          <w:color w:val="auto"/>
        </w:rPr>
        <w:t>expended within a few years of the debt issuance. When the debt matures, we repay our obligation with cash on hand and the debt repayments are included as a financing activity in the Statement of Cash Flows.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Debt service funds </w:t>
      </w:r>
      <w:r>
        <w:rPr>
          <w:rFonts w:ascii="Arial" w:cs="Arial" w:eastAsia="Arial" w:hAnsi="Arial"/>
          <w:sz w:val="13"/>
          <w:szCs w:val="13"/>
          <w:color w:val="auto"/>
        </w:rPr>
        <w:t>— Funds are held in trust to meet future principal and interest payments required under certain of our tax-exempt project bonds.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 financial instruments</w:t>
      </w:r>
    </w:p>
    <w:p>
      <w:pPr>
        <w:spacing w:after="0" w:line="9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We use derivative financial instruments to manage our risk associated with fluctuations in interest rates, commodity prices and foreign currency exchange rates. We use interest rate swaps to maintain a strategic portion of our debt obligations at variable, market-driven interest rates. In prior periods, we have entered into interest rate derivatives in anticipation of our senior note issuances to effectively lock in a fixed interest rate. We have entered into commodity derivatives, including swaps and options, to mitigate some of the risk associated with our WMRA Group’s transactions, which can be significantly affected by market prices for recyclable commodities. Foreign currency exchange rate derivatives are often used to hedge our exposure to changes in exchange rates for anticipated cash transactions between WM Holdings and its Canadian subsidiaries.</w:t>
      </w:r>
    </w:p>
    <w:p>
      <w:pPr>
        <w:spacing w:after="0" w:line="55"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obtain current valuations of our interest rate hedging instruments from third-party pricing models to account for the fair value of outstanding interest rate derivatives. We estimate the future prices of commodity fiber products based upon traded exchange market prices and broker price quotations to derive the current fair value of commodity derivatives. The fair value of our foreign currency exchange rate derivatives is based on quoted market prices. The estimated fair values of derivatives used to hedge risks fluctuate over time and should be viewed in relation to the underlying hedged transaction and the overall management of our exposure to fluctuations in the underlying risks. The fair value of derivatives is included in other current assets, other long-term assets, accrued liabilities or other long-term liabilities, as appropriate. Any ineffectiveness present in either fair value or cash flow hedges is recognized immediately in earnings without offset. There was no significant ineffectiveness in 2007, 2006 or 2005.</w:t>
      </w:r>
    </w:p>
    <w:p>
      <w:pPr>
        <w:spacing w:after="0" w:line="59" w:lineRule="exact"/>
        <w:rPr>
          <w:sz w:val="20"/>
          <w:szCs w:val="20"/>
          <w:color w:val="auto"/>
        </w:rPr>
      </w:pPr>
    </w:p>
    <w:p>
      <w:pPr>
        <w:ind w:left="1280" w:right="140" w:hanging="190"/>
        <w:spacing w:after="0" w:line="264" w:lineRule="auto"/>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Cash flow hedges </w:t>
      </w:r>
      <w:r>
        <w:rPr>
          <w:rFonts w:ascii="Arial" w:cs="Arial" w:eastAsia="Arial" w:hAnsi="Arial"/>
          <w:sz w:val="13"/>
          <w:szCs w:val="13"/>
          <w:color w:val="auto"/>
        </w:rPr>
        <w:t>— The effective portion of those derivatives designated as cash flow hedges for accounting purposes is recorded in “Accumulated other comprehensive</w:t>
      </w:r>
      <w:r>
        <w:rPr>
          <w:rFonts w:ascii="Arial" w:cs="Arial" w:eastAsia="Arial" w:hAnsi="Arial"/>
          <w:sz w:val="13"/>
          <w:szCs w:val="13"/>
          <w:i w:val="1"/>
          <w:iCs w:val="1"/>
          <w:color w:val="auto"/>
        </w:rPr>
        <w:t xml:space="preserve"> </w:t>
      </w:r>
      <w:r>
        <w:rPr>
          <w:rFonts w:ascii="Arial" w:cs="Arial" w:eastAsia="Arial" w:hAnsi="Arial"/>
          <w:sz w:val="13"/>
          <w:szCs w:val="13"/>
          <w:color w:val="auto"/>
        </w:rPr>
        <w:t>income” within the equity section of our Consolidated Balance Sheets. Upon termination, the associated balance in other comprehensive income is amortized to earnings as the hedged cash flows occur.</w:t>
      </w:r>
    </w:p>
    <w:p>
      <w:pPr>
        <w:spacing w:after="0" w:line="57"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Fair value hedges </w:t>
      </w:r>
      <w:r>
        <w:rPr>
          <w:rFonts w:ascii="Arial" w:cs="Arial" w:eastAsia="Arial" w:hAnsi="Arial"/>
          <w:sz w:val="13"/>
          <w:szCs w:val="13"/>
          <w:color w:val="auto"/>
        </w:rPr>
        <w:t>— The offsetting amounts for those derivatives designated as fair value hedges for accounting purposes are recorded as adjustments to the carrying values of</w:t>
      </w:r>
      <w:r>
        <w:rPr>
          <w:rFonts w:ascii="Arial" w:cs="Arial" w:eastAsia="Arial" w:hAnsi="Arial"/>
          <w:sz w:val="13"/>
          <w:szCs w:val="13"/>
          <w:i w:val="1"/>
          <w:iCs w:val="1"/>
          <w:color w:val="auto"/>
        </w:rPr>
        <w:t xml:space="preserve"> </w:t>
      </w:r>
      <w:r>
        <w:rPr>
          <w:rFonts w:ascii="Arial" w:cs="Arial" w:eastAsia="Arial" w:hAnsi="Arial"/>
          <w:sz w:val="13"/>
          <w:szCs w:val="13"/>
          <w:color w:val="auto"/>
        </w:rPr>
        <w:t>the hedged items. Upon termination, this carrying value adjustment is amortized to earnings over the remaining life of the hedged item.</w:t>
      </w:r>
    </w:p>
    <w:p>
      <w:pPr>
        <w:spacing w:after="0" w:line="5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As of December 31, 2007, 2006 and 2005, the net fair value and earnings impact of our commodity and foreign currency derivatives were immaterial to our financial position and results of operations. As further discussed in Note 7, our use of interest rate derivatives to manage our fixed to floating rate position has had a material impact on our operating cash flows, carrying value of debt and interest expense during these periods.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Self-insurance reserves and recoveries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We have retained a significant portion of the risks related to our health and welfare, automobile, general liability and workers’ compensation insurance programs. The exposure for unpaid claims and associated expenses, including incurred but not reported losses, generally is estimated with the assistance of external actuaries and by factoring in pending claims and historical trends and data. The gross estimated liability associated with settling unpaid claims is included in “Accrued liabilities” in our Consolidated Balance Sheets if expected to be settled within one year, or otherwise is included in long-term “Other liabilities.” Estimated insurance recoveries related to recorded liabilities are reflected as current “Other receivables” or long-term “Other assets” in our Consolidated Balance Sheets when we believe that the receipt of such amounts is probable.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have significant operations in Canada. The functional currency of our Canadian subsidiaries is Canadian dollars. The assets and liabilities of our foreign operations are translated to U.S. dollars using the exchange rate at the balance sheet date. Revenues and expenses are translated to U.S. dollars using the average exchange rate during the period. The resulting translation difference is reflected as a component of comprehensive income.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Our revenues are generated from the fees we charge for waste collection, transfer, disposal and recycling services and the sale of recycled commodities, electricity and steam. The fees charged for our services are generally defined in our service agreements and vary based on contract specific terms such as frequency of service, weight, volume and the general market factors influencing a region’s rates. We generally recognize revenue as services are performed or products are delivered. For example, revenue typically is recognized as waste is collected, tons are received at our landfills or transfer stations, recycling commodities are delivered or as kilowatts are delivered to a customer by a waste-to-energy facility or independent power production plant.</w:t>
      </w:r>
    </w:p>
    <w:p>
      <w:pPr>
        <w:spacing w:after="0" w:line="71"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bill for certain services prior to performance. Such services include, among others, certain residential contracts that are billed on a quarterly basis and equipment rentals. These advance billings are included in deferred revenues and recognized as revenue in the period service is provided.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Capitalized interest</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capitalize interest on certain projects under development, including internal-use software and landfill expansion projects, and on certain assets under construction, including operating landfills and waste-to-energy facilities. During 2007, 2006 and 2005, total interest costs were $543 million, $563 million and $505 million, respectively, of which $22 million for 2007, $18 million for 2006 and $9 million for 2005, were capitalized, primarily for landfill construction costs. The capitalization of interest for operating landfills is based on the costs incurred on discrete landfill cell construction projects that are expected to exceed $500,000 and require over 60 days to construct. In addition to the direct cost of the cell construction project, the calculation of capitalized interest includes an allocated portion of the common landfill site costs. The common landfill site costs include the development costs of a landfill project or the purchase price of an operating landfill, and the ongoing infrastructure costs benefiting the landfill over its useful life. These costs are amortized to expense in a manner consistent with other landfill site costs. Interest capitalized in 2005 included fewer projects on which interest was capitalized and an adjustment in the second quarter of 2005 reducing amounts previously capitalized to a large capital project.</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380" w:firstLine="399"/>
        <w:spacing w:after="0" w:line="320" w:lineRule="auto"/>
        <w:rPr>
          <w:sz w:val="20"/>
          <w:szCs w:val="20"/>
          <w:color w:val="auto"/>
        </w:rPr>
      </w:pPr>
      <w:r>
        <w:rPr>
          <w:rFonts w:ascii="Arial" w:cs="Arial" w:eastAsia="Arial" w:hAnsi="Arial"/>
          <w:sz w:val="12"/>
          <w:szCs w:val="12"/>
          <w:color w:val="auto"/>
        </w:rPr>
        <w:t>The Company is subject to income tax in the United States, Canada and Puerto Rico. Current tax obligations associated with our provision for income taxes are reflected in the accompanying Consolidated Balance Sheets as a component of “Accrued liabilities,” and the deferred tax obligations are reflected in “Deferred income taxes.”</w:t>
      </w:r>
    </w:p>
    <w:p>
      <w:pPr>
        <w:spacing w:after="0" w:line="35"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Deferred income taxes are based on the difference between the financial reporting and tax basis of assets and liabilities. The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Significant judgment is required in assessing the timing and amounts of deductible and taxable items. We establish reserves when, despite our belief that our tax return positions are fully supportable, we believe that certain positions may be challenged and potentially disallowed. When facts and circumstances change, we adjust these reserves through our provision for income taxes.</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To the extent interest and penalties may be assessed by taxing authorities on any underpayment of income tax, such amounts have been accrued and are classified as a component of income tax expense in our Consolidated Statements of Operations. We elected this accounting policy, which is a continuation of our historical policy, in connection with our adoption of FIN 48.</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Contingent liabilities</w:t>
      </w:r>
    </w:p>
    <w:p>
      <w:pPr>
        <w:spacing w:after="0" w:line="96" w:lineRule="exact"/>
        <w:rPr>
          <w:sz w:val="20"/>
          <w:szCs w:val="20"/>
          <w:color w:val="auto"/>
        </w:rPr>
      </w:pPr>
    </w:p>
    <w:p>
      <w:pPr>
        <w:jc w:val="both"/>
        <w:ind w:left="680" w:right="860" w:firstLine="399"/>
        <w:spacing w:after="0" w:line="296" w:lineRule="auto"/>
        <w:rPr>
          <w:sz w:val="20"/>
          <w:szCs w:val="20"/>
          <w:color w:val="auto"/>
        </w:rPr>
      </w:pPr>
      <w:r>
        <w:rPr>
          <w:rFonts w:ascii="Arial" w:cs="Arial" w:eastAsia="Arial" w:hAnsi="Arial"/>
          <w:sz w:val="12"/>
          <w:szCs w:val="12"/>
          <w:color w:val="auto"/>
        </w:rPr>
        <w:t>We estimate the amount of potential exposure we may have with respect to claims, assessments and litigation in accordance with SFAS No. 5. We are party to pending or threatened legal proceedings covering a wide range of matters in various jurisdictions. It is not always possible to predict the outcome of litigation, as it is subject to many uncertainties. Additionally, it is not always possible for management to make a meaningful estimate of the potential loss or range of loss associated with such litigation.</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Supplemental cash flow information</w:t>
      </w:r>
    </w:p>
    <w:p>
      <w:pPr>
        <w:spacing w:after="0" w:line="96" w:lineRule="exact"/>
        <w:rPr>
          <w:sz w:val="20"/>
          <w:szCs w:val="20"/>
          <w:color w:val="auto"/>
        </w:rPr>
      </w:pPr>
    </w:p>
    <w:p>
      <w:pPr>
        <w:ind w:left="680" w:right="1260" w:firstLine="399"/>
        <w:spacing w:after="0" w:line="320" w:lineRule="auto"/>
        <w:rPr>
          <w:sz w:val="20"/>
          <w:szCs w:val="20"/>
          <w:color w:val="auto"/>
        </w:rPr>
      </w:pPr>
      <w:r>
        <w:rPr>
          <w:rFonts w:ascii="Arial" w:cs="Arial" w:eastAsia="Arial" w:hAnsi="Arial"/>
          <w:sz w:val="12"/>
          <w:szCs w:val="12"/>
          <w:color w:val="auto"/>
        </w:rPr>
        <w:t>Non-cash investing and financing activities are excluded from the Consolidated Statements of Cash Flows. For the years ended December 31, 2007, 2006 and 2005, non-cash activities included proceeds from tax-exempt borrowings, net of principal payments made directly from trust funds, of $144 million, $157 million and $201 million, respectively.</w:t>
      </w:r>
    </w:p>
    <w:p>
      <w:pPr>
        <w:spacing w:after="0" w:line="35" w:lineRule="exact"/>
        <w:rPr>
          <w:sz w:val="20"/>
          <w:szCs w:val="20"/>
          <w:color w:val="auto"/>
        </w:rPr>
      </w:pPr>
    </w:p>
    <w:p>
      <w:pPr>
        <w:ind w:left="680" w:right="940" w:firstLine="399"/>
        <w:spacing w:after="0" w:line="289" w:lineRule="auto"/>
        <w:rPr>
          <w:sz w:val="20"/>
          <w:szCs w:val="20"/>
          <w:color w:val="auto"/>
        </w:rPr>
      </w:pPr>
      <w:r>
        <w:rPr>
          <w:rFonts w:ascii="Arial" w:cs="Arial" w:eastAsia="Arial" w:hAnsi="Arial"/>
          <w:sz w:val="12"/>
          <w:szCs w:val="12"/>
          <w:color w:val="auto"/>
        </w:rPr>
        <w:t>On December 15, 2005, we declared our first quarterly cash dividend for 2006. The first quarter 2006 dividend was $0.22 per common share and was paid on March 24, 2006 to stockholders of record on March 6, 2006. As of December 31, 2005, $122 million had been accrued for this dividend declaration. As the dividend payments did not occur until March 2006 they were excluded from our “Net cash used in financing activities” in our Consolidated Statement of Cash Flows for the year ended December 31, 2005. This dividend payment was reflected as “Cash dividends” in our Consolidated Statement of Cash Flows for the year ended December 31, 2006.</w:t>
      </w:r>
    </w:p>
    <w:p>
      <w:pPr>
        <w:spacing w:after="0" w:line="128" w:lineRule="exact"/>
        <w:rPr>
          <w:sz w:val="20"/>
          <w:szCs w:val="20"/>
          <w:color w:val="auto"/>
        </w:rPr>
      </w:pPr>
    </w:p>
    <w:p>
      <w:pPr>
        <w:ind w:left="1000" w:hanging="313"/>
        <w:spacing w:after="0"/>
        <w:tabs>
          <w:tab w:leader="none" w:pos="1000"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Landfill and Environmental Remediation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Liabilities for landfill and environmental remediation costs are presented in the table below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w w:val="95"/>
              </w:rPr>
              <w:t>December 31, 2007</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0"/>
                <w:szCs w:val="10"/>
                <w:b w:val="1"/>
                <w:bCs w:val="1"/>
                <w:color w:val="auto"/>
                <w:w w:val="93"/>
              </w:rPr>
              <w:t>December 31, 2006</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Landfill</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6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7"/>
                <w:szCs w:val="7"/>
                <w:color w:val="auto"/>
              </w:rPr>
            </w:pPr>
          </w:p>
        </w:tc>
        <w:tc>
          <w:tcPr>
            <w:tcW w:w="7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Landfill</w:t>
            </w:r>
          </w:p>
        </w:tc>
        <w:tc>
          <w:tcPr>
            <w:tcW w:w="100" w:type="dxa"/>
            <w:vAlign w:val="bottom"/>
          </w:tcPr>
          <w:p>
            <w:pPr>
              <w:spacing w:after="0"/>
              <w:rPr>
                <w:sz w:val="7"/>
                <w:szCs w:val="7"/>
                <w:color w:val="auto"/>
              </w:rPr>
            </w:pPr>
          </w:p>
        </w:tc>
        <w:tc>
          <w:tcPr>
            <w:tcW w:w="130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Remediation</w:t>
            </w: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Remediation</w:t>
            </w: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Current (in accrued liabilities)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Long-term</w:t>
            </w:r>
          </w:p>
        </w:tc>
        <w:tc>
          <w:tcPr>
            <w:tcW w:w="6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1,072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1,312</w:t>
            </w:r>
          </w:p>
        </w:tc>
        <w:tc>
          <w:tcPr>
            <w:tcW w:w="6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1,010</w:t>
            </w:r>
          </w:p>
        </w:tc>
        <w:tc>
          <w:tcPr>
            <w:tcW w:w="100" w:type="dxa"/>
            <w:vAlign w:val="bottom"/>
          </w:tcPr>
          <w:p>
            <w:pPr>
              <w:spacing w:after="0"/>
              <w:rPr>
                <w:sz w:val="13"/>
                <w:szCs w:val="13"/>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1,178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1,462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1,121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1"/>
        </w:trPr>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73</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changes to landfill and environmental remediation liabilities for the years ended December 31, 2006 and 2007 are as follows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61</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70</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Revisions in estimates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2006</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1,121</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54</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74</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Revisions in estimates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Our recorded liabilities as of December 31, 2007 include the impacts of inflating certain of these costs based on our expectations for the timing of cash settlement and of discounting certain of these costs to present value. Anticipated payments of currently identified environmental remediation liabilities for the next five years and thereafter as measured in current dollars are reflected below (in millions):</w:t>
      </w:r>
    </w:p>
    <w:p>
      <w:pPr>
        <w:spacing w:after="0" w:line="69" w:lineRule="exact"/>
        <w:rPr>
          <w:sz w:val="20"/>
          <w:szCs w:val="20"/>
          <w:color w:val="auto"/>
        </w:rPr>
      </w:pPr>
    </w:p>
    <w:tbl>
      <w:tblPr>
        <w:tblLayout w:type="fixed"/>
        <w:tblInd w:w="2640" w:type="dxa"/>
        <w:tblCellMar>
          <w:top w:w="0" w:type="dxa"/>
          <w:left w:w="0" w:type="dxa"/>
          <w:bottom w:w="0" w:type="dxa"/>
          <w:right w:w="0" w:type="dxa"/>
        </w:tblCellMar>
      </w:tblPr>
      <w:tr>
        <w:trPr>
          <w:trHeight w:val="135"/>
        </w:trPr>
        <w:tc>
          <w:tcPr>
            <w:tcW w:w="1260" w:type="dxa"/>
            <w:vAlign w:val="bottom"/>
          </w:tcPr>
          <w:p>
            <w:pPr>
              <w:jc w:val="right"/>
              <w:ind w:right="861"/>
              <w:spacing w:after="0"/>
              <w:rPr>
                <w:sz w:val="20"/>
                <w:szCs w:val="20"/>
                <w:color w:val="auto"/>
              </w:rPr>
            </w:pPr>
            <w:r>
              <w:rPr>
                <w:rFonts w:ascii="Arial" w:cs="Arial" w:eastAsia="Arial" w:hAnsi="Arial"/>
                <w:sz w:val="10"/>
                <w:szCs w:val="10"/>
                <w:b w:val="1"/>
                <w:bCs w:val="1"/>
                <w:color w:val="auto"/>
              </w:rPr>
              <w:t>2008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2009</w:t>
            </w:r>
          </w:p>
        </w:tc>
        <w:tc>
          <w:tcPr>
            <w:tcW w:w="820" w:type="dxa"/>
            <w:vAlign w:val="bottom"/>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2010</w:t>
            </w:r>
          </w:p>
        </w:tc>
        <w:tc>
          <w:tcPr>
            <w:tcW w:w="840" w:type="dxa"/>
            <w:vAlign w:val="bottom"/>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2011</w:t>
            </w:r>
          </w:p>
        </w:tc>
        <w:tc>
          <w:tcPr>
            <w:tcW w:w="820" w:type="dxa"/>
            <w:vAlign w:val="bottom"/>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2012</w:t>
            </w:r>
          </w:p>
        </w:tc>
        <w:tc>
          <w:tcPr>
            <w:tcW w:w="840" w:type="dxa"/>
            <w:vAlign w:val="bottom"/>
          </w:tcPr>
          <w:p>
            <w:pPr>
              <w:spacing w:after="0"/>
              <w:rPr>
                <w:sz w:val="11"/>
                <w:szCs w:val="11"/>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rPr>
              <w:t>Thereafter</w:t>
            </w:r>
          </w:p>
        </w:tc>
      </w:tr>
      <w:tr>
        <w:trPr>
          <w:trHeight w:val="185"/>
        </w:trPr>
        <w:tc>
          <w:tcPr>
            <w:tcW w:w="1260" w:type="dxa"/>
            <w:vAlign w:val="bottom"/>
          </w:tcPr>
          <w:p>
            <w:pPr>
              <w:jc w:val="right"/>
              <w:ind w:right="981"/>
              <w:spacing w:after="0"/>
              <w:rPr>
                <w:sz w:val="20"/>
                <w:szCs w:val="20"/>
                <w:color w:val="auto"/>
              </w:rPr>
            </w:pPr>
            <w:r>
              <w:rPr>
                <w:rFonts w:ascii="Arial" w:cs="Arial" w:eastAsia="Arial" w:hAnsi="Arial"/>
                <w:sz w:val="13"/>
                <w:szCs w:val="13"/>
                <w:color w:val="auto"/>
                <w:w w:val="92"/>
              </w:rPr>
              <w:t>$44</w:t>
            </w:r>
          </w:p>
        </w:tc>
        <w:tc>
          <w:tcPr>
            <w:tcW w:w="260" w:type="dxa"/>
            <w:vAlign w:val="bottom"/>
          </w:tcPr>
          <w:p>
            <w:pPr>
              <w:jc w:val="right"/>
              <w:ind w:right="1"/>
              <w:spacing w:after="0"/>
              <w:rPr>
                <w:sz w:val="20"/>
                <w:szCs w:val="20"/>
                <w:color w:val="auto"/>
              </w:rPr>
            </w:pPr>
            <w:r>
              <w:rPr>
                <w:rFonts w:ascii="Arial" w:cs="Arial" w:eastAsia="Arial" w:hAnsi="Arial"/>
                <w:sz w:val="13"/>
                <w:szCs w:val="13"/>
                <w:color w:val="auto"/>
                <w:w w:val="82"/>
              </w:rPr>
              <w:t>$31</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$31</w:t>
            </w:r>
          </w:p>
        </w:tc>
        <w:tc>
          <w:tcPr>
            <w:tcW w:w="1100" w:type="dxa"/>
            <w:vAlign w:val="bottom"/>
            <w:gridSpan w:val="2"/>
          </w:tcPr>
          <w:p>
            <w:pPr>
              <w:jc w:val="right"/>
              <w:ind w:right="8"/>
              <w:spacing w:after="0"/>
              <w:rPr>
                <w:sz w:val="20"/>
                <w:szCs w:val="20"/>
                <w:color w:val="auto"/>
              </w:rPr>
            </w:pPr>
            <w:r>
              <w:rPr>
                <w:rFonts w:ascii="Arial" w:cs="Arial" w:eastAsia="Arial" w:hAnsi="Arial"/>
                <w:sz w:val="13"/>
                <w:szCs w:val="13"/>
                <w:color w:val="auto"/>
              </w:rPr>
              <w:t>$18</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$18</w:t>
            </w:r>
          </w:p>
        </w:tc>
        <w:tc>
          <w:tcPr>
            <w:tcW w:w="1440" w:type="dxa"/>
            <w:vAlign w:val="bottom"/>
            <w:gridSpan w:val="2"/>
          </w:tcPr>
          <w:p>
            <w:pPr>
              <w:jc w:val="right"/>
              <w:ind w:right="148"/>
              <w:spacing w:after="0"/>
              <w:rPr>
                <w:sz w:val="20"/>
                <w:szCs w:val="20"/>
                <w:color w:val="auto"/>
              </w:rPr>
            </w:pPr>
            <w:r>
              <w:rPr>
                <w:rFonts w:ascii="Arial" w:cs="Arial" w:eastAsia="Arial" w:hAnsi="Arial"/>
                <w:sz w:val="13"/>
                <w:szCs w:val="13"/>
                <w:color w:val="auto"/>
              </w:rPr>
              <w:t>$170</w:t>
            </w:r>
          </w:p>
        </w:tc>
      </w:tr>
    </w:tbl>
    <w:p>
      <w:pPr>
        <w:spacing w:after="0" w:line="81" w:lineRule="exact"/>
        <w:rPr>
          <w:sz w:val="20"/>
          <w:szCs w:val="20"/>
          <w:color w:val="auto"/>
        </w:rPr>
      </w:pPr>
    </w:p>
    <w:p>
      <w:pPr>
        <w:ind w:left="680" w:right="360" w:firstLine="399"/>
        <w:spacing w:after="0" w:line="277" w:lineRule="auto"/>
        <w:rPr>
          <w:sz w:val="20"/>
          <w:szCs w:val="20"/>
          <w:color w:val="auto"/>
        </w:rPr>
      </w:pPr>
      <w:r>
        <w:rPr>
          <w:rFonts w:ascii="Arial" w:cs="Arial" w:eastAsia="Arial" w:hAnsi="Arial"/>
          <w:sz w:val="12"/>
          <w:szCs w:val="12"/>
          <w:color w:val="auto"/>
        </w:rPr>
        <w:t>At several of our landfills, we provide financial assurance by depositing cash into restricted trust funds or escrow accounts for purposes of settling closure, post-closure and environmental remediation obligations. The fair value of these escrow accounts and trust funds was $231 million at December 31, 2007 and $219 million at December 31, 2006, and is primarily included as long-term “Other assets” in our Consolidated Balance Sheets. Balances maintained in these restricted trust funds and escrow accounts will fluctuate based on</w:t>
      </w:r>
    </w:p>
    <w:p>
      <w:pPr>
        <w:spacing w:after="0" w:line="1" w:lineRule="exact"/>
        <w:rPr>
          <w:sz w:val="20"/>
          <w:szCs w:val="20"/>
          <w:color w:val="auto"/>
        </w:rPr>
      </w:pPr>
    </w:p>
    <w:p>
      <w:pPr>
        <w:ind w:left="680" w:right="40" w:firstLine="7"/>
        <w:spacing w:after="0" w:line="307" w:lineRule="auto"/>
        <w:tabs>
          <w:tab w:leader="none" w:pos="836" w:val="left"/>
        </w:tabs>
        <w:numPr>
          <w:ilvl w:val="0"/>
          <w:numId w:val="50"/>
        </w:numPr>
        <w:rPr>
          <w:rFonts w:ascii="Arial" w:cs="Arial" w:eastAsia="Arial" w:hAnsi="Arial"/>
          <w:sz w:val="12"/>
          <w:szCs w:val="12"/>
          <w:color w:val="auto"/>
        </w:rPr>
      </w:pPr>
      <w:r>
        <w:rPr>
          <w:rFonts w:ascii="Arial" w:cs="Arial" w:eastAsia="Arial" w:hAnsi="Arial"/>
          <w:sz w:val="12"/>
          <w:szCs w:val="12"/>
          <w:color w:val="auto"/>
        </w:rPr>
        <w:t>changes in statutory requirements; (ii) future deposits made to comply with contractual arrangements; (iii) the ongoing use of funds for qualifying closure, post-closure and environmental remediation activities; (iv) acquisitions or divestitures of landfills; and (v) changes in the fair value of the financial instruments held in the trust fund or escrow accounts.</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b w:val="1"/>
                <w:bCs w:val="1"/>
                <w:color w:val="auto"/>
              </w:rPr>
              <w:t>5.</w:t>
            </w:r>
          </w:p>
        </w:tc>
        <w:tc>
          <w:tcPr>
            <w:tcW w:w="8140" w:type="dxa"/>
            <w:vAlign w:val="bottom"/>
            <w:gridSpan w:val="2"/>
          </w:tcPr>
          <w:p>
            <w:pPr>
              <w:jc w:val="right"/>
              <w:ind w:right="6671"/>
              <w:spacing w:after="0"/>
              <w:rPr>
                <w:sz w:val="20"/>
                <w:szCs w:val="20"/>
                <w:color w:val="auto"/>
              </w:rPr>
            </w:pPr>
            <w:r>
              <w:rPr>
                <w:rFonts w:ascii="Arial" w:cs="Arial" w:eastAsia="Arial" w:hAnsi="Arial"/>
                <w:sz w:val="13"/>
                <w:szCs w:val="13"/>
                <w:b w:val="1"/>
                <w:bCs w:val="1"/>
                <w:color w:val="auto"/>
                <w:w w:val="92"/>
              </w:rPr>
              <w:t>Property and Equipment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300" w:type="dxa"/>
            <w:vAlign w:val="bottom"/>
          </w:tcPr>
          <w:p>
            <w:pPr>
              <w:spacing w:after="0"/>
              <w:rPr>
                <w:sz w:val="21"/>
                <w:szCs w:val="21"/>
                <w:color w:val="auto"/>
              </w:rPr>
            </w:pPr>
          </w:p>
        </w:tc>
        <w:tc>
          <w:tcPr>
            <w:tcW w:w="8140" w:type="dxa"/>
            <w:vAlign w:val="bottom"/>
            <w:gridSpan w:val="2"/>
          </w:tcPr>
          <w:p>
            <w:pPr>
              <w:jc w:val="right"/>
              <w:ind w:right="3751"/>
              <w:spacing w:after="0"/>
              <w:rPr>
                <w:sz w:val="20"/>
                <w:szCs w:val="20"/>
                <w:color w:val="auto"/>
              </w:rPr>
            </w:pPr>
            <w:r>
              <w:rPr>
                <w:rFonts w:ascii="Arial" w:cs="Arial" w:eastAsia="Arial" w:hAnsi="Arial"/>
                <w:sz w:val="13"/>
                <w:szCs w:val="13"/>
                <w:color w:val="auto"/>
                <w:w w:val="94"/>
              </w:rPr>
              <w:t>Property and equipment at December 31 consisted of the following (in millions):</w:t>
            </w: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0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8"/>
                <w:szCs w:val="18"/>
                <w:color w:val="auto"/>
              </w:rPr>
            </w:pPr>
          </w:p>
        </w:tc>
      </w:tr>
      <w:tr>
        <w:trPr>
          <w:trHeight w:val="29"/>
        </w:trPr>
        <w:tc>
          <w:tcPr>
            <w:tcW w:w="30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6"/>
              </w:rPr>
              <w:t>Land</w:t>
            </w:r>
          </w:p>
        </w:tc>
        <w:tc>
          <w:tcPr>
            <w:tcW w:w="814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528</w:t>
            </w:r>
          </w:p>
        </w:tc>
      </w:tr>
      <w:tr>
        <w:trPr>
          <w:trHeight w:val="157"/>
        </w:trPr>
        <w:tc>
          <w:tcPr>
            <w:tcW w:w="8440" w:type="dxa"/>
            <w:vAlign w:val="bottom"/>
            <w:gridSpan w:val="3"/>
          </w:tcPr>
          <w:p>
            <w:pPr>
              <w:spacing w:after="0"/>
              <w:rPr>
                <w:sz w:val="20"/>
                <w:szCs w:val="20"/>
                <w:color w:val="auto"/>
              </w:rPr>
            </w:pPr>
            <w:r>
              <w:rPr>
                <w:rFonts w:ascii="Arial" w:cs="Arial" w:eastAsia="Arial" w:hAnsi="Arial"/>
                <w:sz w:val="13"/>
                <w:szCs w:val="13"/>
                <w:color w:val="auto"/>
              </w:rPr>
              <w:t>Landfills</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11,549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10,866</w:t>
            </w:r>
          </w:p>
        </w:tc>
      </w:tr>
      <w:tr>
        <w:trPr>
          <w:trHeight w:val="157"/>
        </w:trPr>
        <w:tc>
          <w:tcPr>
            <w:tcW w:w="8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Vehicles</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3,646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3,671</w:t>
            </w:r>
          </w:p>
        </w:tc>
      </w:tr>
      <w:tr>
        <w:trPr>
          <w:trHeight w:val="157"/>
        </w:trPr>
        <w:tc>
          <w:tcPr>
            <w:tcW w:w="8440" w:type="dxa"/>
            <w:vAlign w:val="bottom"/>
            <w:gridSpan w:val="3"/>
          </w:tcPr>
          <w:p>
            <w:pPr>
              <w:spacing w:after="0"/>
              <w:rPr>
                <w:sz w:val="20"/>
                <w:szCs w:val="20"/>
                <w:color w:val="auto"/>
              </w:rPr>
            </w:pPr>
            <w:r>
              <w:rPr>
                <w:rFonts w:ascii="Arial" w:cs="Arial" w:eastAsia="Arial" w:hAnsi="Arial"/>
                <w:sz w:val="13"/>
                <w:szCs w:val="13"/>
                <w:color w:val="auto"/>
              </w:rPr>
              <w:t>Machinery and equipment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2,929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2,840</w:t>
            </w:r>
          </w:p>
        </w:tc>
      </w:tr>
      <w:tr>
        <w:trPr>
          <w:trHeight w:val="157"/>
        </w:trPr>
        <w:tc>
          <w:tcPr>
            <w:tcW w:w="8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Containers</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2,291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2,272</w:t>
            </w:r>
          </w:p>
        </w:tc>
      </w:tr>
      <w:tr>
        <w:trPr>
          <w:trHeight w:val="157"/>
        </w:trPr>
        <w:tc>
          <w:tcPr>
            <w:tcW w:w="8440" w:type="dxa"/>
            <w:vAlign w:val="bottom"/>
            <w:gridSpan w:val="3"/>
          </w:tcPr>
          <w:p>
            <w:pPr>
              <w:spacing w:after="0"/>
              <w:rPr>
                <w:sz w:val="20"/>
                <w:szCs w:val="20"/>
                <w:color w:val="auto"/>
              </w:rPr>
            </w:pPr>
            <w:r>
              <w:rPr>
                <w:rFonts w:ascii="Arial" w:cs="Arial" w:eastAsia="Arial" w:hAnsi="Arial"/>
                <w:sz w:val="13"/>
                <w:szCs w:val="13"/>
                <w:color w:val="auto"/>
              </w:rPr>
              <w:t>Buildings and improvements</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2,541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2,385</w:t>
            </w: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fixtures and office equipment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610</w:t>
            </w:r>
          </w:p>
        </w:tc>
      </w:tr>
      <w:tr>
        <w:trPr>
          <w:trHeight w:val="20"/>
        </w:trPr>
        <w:tc>
          <w:tcPr>
            <w:tcW w:w="3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24,195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23,172</w:t>
            </w:r>
          </w:p>
        </w:tc>
      </w:tr>
      <w:tr>
        <w:trPr>
          <w:trHeight w:val="158"/>
        </w:trPr>
        <w:tc>
          <w:tcPr>
            <w:tcW w:w="8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Less accumulated depreciation on tangible property and equipment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(7,010)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(6,645)</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Less accumulated landfill airspace amortization</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(5,834)</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(5,348)</w:t>
            </w:r>
          </w:p>
        </w:tc>
      </w:tr>
      <w:tr>
        <w:trPr>
          <w:trHeight w:val="20"/>
        </w:trPr>
        <w:tc>
          <w:tcPr>
            <w:tcW w:w="3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80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11,351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11,179</w:t>
            </w:r>
          </w:p>
        </w:tc>
      </w:tr>
      <w:tr>
        <w:trPr>
          <w:trHeight w:val="29"/>
        </w:trPr>
        <w:tc>
          <w:tcPr>
            <w:tcW w:w="30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060" w:firstLine="399"/>
        <w:spacing w:after="0" w:line="276" w:lineRule="auto"/>
        <w:rPr>
          <w:sz w:val="20"/>
          <w:szCs w:val="20"/>
          <w:color w:val="auto"/>
        </w:rPr>
      </w:pPr>
      <w:r>
        <w:rPr>
          <w:rFonts w:ascii="Arial" w:cs="Arial" w:eastAsia="Arial" w:hAnsi="Arial"/>
          <w:sz w:val="13"/>
          <w:szCs w:val="13"/>
          <w:color w:val="auto"/>
        </w:rPr>
        <w:t>Depreciation and amortization expense, including amortization expense for assets recorded as capital leases, was comprised of the following for the years ended December 31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w w:val="98"/>
              </w:rPr>
              <w:t>2007</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10"/>
                <w:szCs w:val="10"/>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Depreciation of tangible property and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796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847</w:t>
            </w: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Amortization of landfill airspace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440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479</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483</w:t>
            </w: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1,330</w:t>
            </w:r>
          </w:p>
        </w:tc>
      </w:tr>
      <w:tr>
        <w:trPr>
          <w:trHeight w:val="29"/>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00" w:hanging="313"/>
        <w:spacing w:after="0"/>
        <w:tabs>
          <w:tab w:leader="none" w:pos="100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Other Intangible Assets</w:t>
      </w:r>
    </w:p>
    <w:p>
      <w:pPr>
        <w:spacing w:after="0" w:line="100" w:lineRule="exact"/>
        <w:rPr>
          <w:sz w:val="20"/>
          <w:szCs w:val="20"/>
          <w:color w:val="auto"/>
        </w:rPr>
      </w:pPr>
    </w:p>
    <w:p>
      <w:pPr>
        <w:ind w:left="680" w:right="1200" w:firstLine="399"/>
        <w:spacing w:after="0" w:line="264" w:lineRule="auto"/>
        <w:rPr>
          <w:sz w:val="20"/>
          <w:szCs w:val="20"/>
          <w:color w:val="auto"/>
        </w:rPr>
      </w:pPr>
      <w:r>
        <w:rPr>
          <w:rFonts w:ascii="Arial" w:cs="Arial" w:eastAsia="Arial" w:hAnsi="Arial"/>
          <w:sz w:val="13"/>
          <w:szCs w:val="13"/>
          <w:color w:val="auto"/>
        </w:rPr>
        <w:t>We incurred no impairment of goodwill as a result of our annual goodwill impairment tests in 2007, 2006 or 2005. Additionally, we did not encounter any events or changes in circumstances that indicated that an impairment was more likely than not during interim periods in 2007, 2006 or 2005. However, there can be no assurance that goodwill will not be impaired at any time in the future.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Refer to Note 20 for a summary of changes in our goodwill during 2007 and 2006 by reportable segment.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other intangible assets as of December 31, 2007 and 2006 were comprised of the following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4"/>
              </w:rPr>
              <w:t>Customer</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3"/>
              </w:rPr>
              <w:t>Covenants</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87"/>
              </w:rPr>
              <w:t>Licenses,</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Contracts and</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4"/>
              </w:rPr>
              <w:t>Customer</w:t>
            </w: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Not-to-</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8"/>
              </w:rPr>
              <w:t>Permits</w:t>
            </w:r>
          </w:p>
        </w:tc>
        <w:tc>
          <w:tcPr>
            <w:tcW w:w="60" w:type="dxa"/>
            <w:vAlign w:val="bottom"/>
          </w:tcPr>
          <w:p>
            <w:pPr>
              <w:spacing w:after="0"/>
              <w:rPr>
                <w:sz w:val="9"/>
                <w:szCs w:val="9"/>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1"/>
              </w:rPr>
              <w:t>Total</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4"/>
              </w:rPr>
              <w:t>Lists</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Compete</w:t>
            </w:r>
          </w:p>
        </w:tc>
        <w:tc>
          <w:tcPr>
            <w:tcW w:w="8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and Other</w:t>
            </w:r>
          </w:p>
        </w:tc>
        <w:tc>
          <w:tcPr>
            <w:tcW w:w="6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2007</w:t>
            </w:r>
          </w:p>
        </w:tc>
        <w:tc>
          <w:tcPr>
            <w:tcW w:w="2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Intangible assets</w:t>
            </w:r>
          </w:p>
        </w:tc>
        <w:tc>
          <w:tcPr>
            <w:tcW w:w="2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224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accumulated amortization</w:t>
            </w:r>
          </w:p>
        </w:tc>
        <w:tc>
          <w:tcPr>
            <w:tcW w:w="2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57</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21</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124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2006</w:t>
            </w:r>
          </w:p>
        </w:tc>
        <w:tc>
          <w:tcPr>
            <w:tcW w:w="256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Intangible assets</w:t>
            </w:r>
          </w:p>
        </w:tc>
        <w:tc>
          <w:tcPr>
            <w:tcW w:w="2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216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accumulated amortization</w:t>
            </w:r>
          </w:p>
        </w:tc>
        <w:tc>
          <w:tcPr>
            <w:tcW w:w="2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51</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25</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121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560" w:type="dxa"/>
            <w:vAlign w:val="bottom"/>
          </w:tcPr>
          <w:p>
            <w:pPr>
              <w:jc w:val="right"/>
              <w:ind w:right="774"/>
              <w:spacing w:after="0"/>
              <w:rPr>
                <w:sz w:val="20"/>
                <w:szCs w:val="20"/>
                <w:color w:val="auto"/>
              </w:rPr>
            </w:pPr>
            <w:r>
              <w:rPr>
                <w:rFonts w:ascii="Arial" w:cs="Arial" w:eastAsia="Arial" w:hAnsi="Arial"/>
                <w:sz w:val="13"/>
                <w:szCs w:val="13"/>
                <w:color w:val="auto"/>
              </w:rPr>
              <w:t>75</w:t>
            </w: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25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00" w:firstLine="399"/>
        <w:spacing w:after="0" w:line="296" w:lineRule="auto"/>
        <w:rPr>
          <w:sz w:val="20"/>
          <w:szCs w:val="20"/>
          <w:color w:val="auto"/>
        </w:rPr>
      </w:pPr>
      <w:r>
        <w:rPr>
          <w:rFonts w:ascii="Arial" w:cs="Arial" w:eastAsia="Arial" w:hAnsi="Arial"/>
          <w:sz w:val="12"/>
          <w:szCs w:val="12"/>
          <w:color w:val="auto"/>
        </w:rPr>
        <w:t>Landfill operating permits are not presented above and are recognized on a combined basis with other landfill assets and amortized using our landfill amortization method. Amortization expense for other intangible assets was $23 million for 2007, $26 million for 2006 and $31 million for 2005. At December 31, 2007, we had $9 million of other intangible assets that are not subject to amortization. The intangible asset amortization expense estimated as of December 31, 2007, for the next five years is as follows (in millions):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120" w:type="dxa"/>
            <w:vAlign w:val="bottom"/>
          </w:tcPr>
          <w:p>
            <w:pPr>
              <w:spacing w:after="0"/>
              <w:rPr>
                <w:sz w:val="11"/>
                <w:szCs w:val="11"/>
                <w:color w:val="auto"/>
              </w:rPr>
            </w:pPr>
          </w:p>
        </w:tc>
        <w:tc>
          <w:tcPr>
            <w:tcW w:w="3380" w:type="dxa"/>
            <w:vAlign w:val="bottom"/>
          </w:tcPr>
          <w:p>
            <w:pPr>
              <w:ind w:left="1940"/>
              <w:spacing w:after="0"/>
              <w:rPr>
                <w:sz w:val="20"/>
                <w:szCs w:val="20"/>
                <w:color w:val="auto"/>
              </w:rPr>
            </w:pPr>
            <w:r>
              <w:rPr>
                <w:rFonts w:ascii="Arial" w:cs="Arial" w:eastAsia="Arial" w:hAnsi="Arial"/>
                <w:sz w:val="10"/>
                <w:szCs w:val="10"/>
                <w:b w:val="1"/>
                <w:bCs w:val="1"/>
                <w:color w:val="auto"/>
              </w:rPr>
              <w:t>2008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2009</w:t>
            </w:r>
          </w:p>
        </w:tc>
        <w:tc>
          <w:tcPr>
            <w:tcW w:w="1220" w:type="dxa"/>
            <w:vAlign w:val="bottom"/>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2010</w:t>
            </w:r>
          </w:p>
        </w:tc>
        <w:tc>
          <w:tcPr>
            <w:tcW w:w="1200" w:type="dxa"/>
            <w:vAlign w:val="bottom"/>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2011</w:t>
            </w:r>
          </w:p>
        </w:tc>
        <w:tc>
          <w:tcPr>
            <w:tcW w:w="1200" w:type="dxa"/>
            <w:vAlign w:val="bottom"/>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2012</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120" w:type="dxa"/>
            <w:vAlign w:val="bottom"/>
          </w:tcPr>
          <w:p>
            <w:pPr>
              <w:spacing w:after="0"/>
              <w:rPr>
                <w:sz w:val="16"/>
                <w:szCs w:val="16"/>
                <w:color w:val="auto"/>
              </w:rPr>
            </w:pPr>
          </w:p>
        </w:tc>
        <w:tc>
          <w:tcPr>
            <w:tcW w:w="3380" w:type="dxa"/>
            <w:vAlign w:val="bottom"/>
          </w:tcPr>
          <w:p>
            <w:pPr>
              <w:ind w:left="1800"/>
              <w:spacing w:after="0"/>
              <w:rPr>
                <w:sz w:val="20"/>
                <w:szCs w:val="20"/>
                <w:color w:val="auto"/>
              </w:rPr>
            </w:pPr>
            <w:r>
              <w:rPr>
                <w:rFonts w:ascii="Arial" w:cs="Arial" w:eastAsia="Arial" w:hAnsi="Arial"/>
                <w:sz w:val="13"/>
                <w:szCs w:val="13"/>
                <w:color w:val="auto"/>
              </w:rPr>
              <w:t>$21</w:t>
            </w:r>
          </w:p>
        </w:tc>
        <w:tc>
          <w:tcPr>
            <w:tcW w:w="260" w:type="dxa"/>
            <w:vAlign w:val="bottom"/>
          </w:tcPr>
          <w:p>
            <w:pPr>
              <w:jc w:val="right"/>
              <w:ind w:right="1"/>
              <w:spacing w:after="0"/>
              <w:rPr>
                <w:sz w:val="20"/>
                <w:szCs w:val="20"/>
                <w:color w:val="auto"/>
              </w:rPr>
            </w:pPr>
            <w:r>
              <w:rPr>
                <w:rFonts w:ascii="Arial" w:cs="Arial" w:eastAsia="Arial" w:hAnsi="Arial"/>
                <w:sz w:val="13"/>
                <w:szCs w:val="13"/>
                <w:color w:val="auto"/>
                <w:w w:val="82"/>
              </w:rPr>
              <w:t>$17</w:t>
            </w:r>
          </w:p>
        </w:tc>
        <w:tc>
          <w:tcPr>
            <w:tcW w:w="1220" w:type="dxa"/>
            <w:vAlign w:val="bottom"/>
          </w:tcPr>
          <w:p>
            <w:pPr>
              <w:spacing w:after="0"/>
              <w:rPr>
                <w:sz w:val="16"/>
                <w:szCs w:val="16"/>
                <w:color w:val="auto"/>
              </w:rPr>
            </w:pPr>
          </w:p>
        </w:tc>
        <w:tc>
          <w:tcPr>
            <w:tcW w:w="260" w:type="dxa"/>
            <w:vAlign w:val="bottom"/>
          </w:tcPr>
          <w:p>
            <w:pPr>
              <w:jc w:val="right"/>
              <w:ind w:right="1"/>
              <w:spacing w:after="0"/>
              <w:rPr>
                <w:sz w:val="20"/>
                <w:szCs w:val="20"/>
                <w:color w:val="auto"/>
              </w:rPr>
            </w:pPr>
            <w:r>
              <w:rPr>
                <w:rFonts w:ascii="Arial" w:cs="Arial" w:eastAsia="Arial" w:hAnsi="Arial"/>
                <w:sz w:val="13"/>
                <w:szCs w:val="13"/>
                <w:color w:val="auto"/>
                <w:w w:val="82"/>
              </w:rPr>
              <w:t>$14</w:t>
            </w:r>
          </w:p>
        </w:tc>
        <w:tc>
          <w:tcPr>
            <w:tcW w:w="1200" w:type="dxa"/>
            <w:vAlign w:val="bottom"/>
          </w:tcPr>
          <w:p>
            <w:pPr>
              <w:spacing w:after="0"/>
              <w:rPr>
                <w:sz w:val="16"/>
                <w:szCs w:val="16"/>
                <w:color w:val="auto"/>
              </w:rPr>
            </w:pPr>
          </w:p>
        </w:tc>
        <w:tc>
          <w:tcPr>
            <w:tcW w:w="280" w:type="dxa"/>
            <w:vAlign w:val="bottom"/>
          </w:tcPr>
          <w:p>
            <w:pPr>
              <w:jc w:val="right"/>
              <w:ind w:right="1"/>
              <w:spacing w:after="0"/>
              <w:rPr>
                <w:sz w:val="20"/>
                <w:szCs w:val="20"/>
                <w:color w:val="auto"/>
              </w:rPr>
            </w:pPr>
            <w:r>
              <w:rPr>
                <w:rFonts w:ascii="Arial" w:cs="Arial" w:eastAsia="Arial" w:hAnsi="Arial"/>
                <w:sz w:val="13"/>
                <w:szCs w:val="13"/>
                <w:color w:val="auto"/>
                <w:w w:val="92"/>
              </w:rPr>
              <w:t>$13</w:t>
            </w:r>
          </w:p>
        </w:tc>
        <w:tc>
          <w:tcPr>
            <w:tcW w:w="120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82"/>
              </w:rPr>
              <w:t>$12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4"/>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7.</w:t>
            </w:r>
          </w:p>
        </w:tc>
        <w:tc>
          <w:tcPr>
            <w:tcW w:w="3380" w:type="dxa"/>
            <w:vAlign w:val="bottom"/>
          </w:tcPr>
          <w:p>
            <w:pPr>
              <w:ind w:left="200"/>
              <w:spacing w:after="0"/>
              <w:rPr>
                <w:sz w:val="20"/>
                <w:szCs w:val="20"/>
                <w:color w:val="auto"/>
              </w:rPr>
            </w:pPr>
            <w:r>
              <w:rPr>
                <w:rFonts w:ascii="Arial" w:cs="Arial" w:eastAsia="Arial" w:hAnsi="Arial"/>
                <w:sz w:val="13"/>
                <w:szCs w:val="13"/>
                <w:b w:val="1"/>
                <w:bCs w:val="1"/>
                <w:color w:val="auto"/>
              </w:rPr>
              <w:t>Debt and Interest Rate Derivatives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120" w:type="dxa"/>
            <w:vAlign w:val="bottom"/>
          </w:tcPr>
          <w:p>
            <w:pPr>
              <w:spacing w:after="0"/>
              <w:rPr>
                <w:sz w:val="21"/>
                <w:szCs w:val="21"/>
                <w:color w:val="auto"/>
              </w:rPr>
            </w:pPr>
          </w:p>
        </w:tc>
        <w:tc>
          <w:tcPr>
            <w:tcW w:w="338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Debt</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120" w:type="dxa"/>
            <w:vAlign w:val="bottom"/>
          </w:tcPr>
          <w:p>
            <w:pPr>
              <w:spacing w:after="0"/>
              <w:rPr>
                <w:sz w:val="21"/>
                <w:szCs w:val="21"/>
                <w:color w:val="auto"/>
              </w:rPr>
            </w:pPr>
          </w:p>
        </w:tc>
        <w:tc>
          <w:tcPr>
            <w:tcW w:w="6320" w:type="dxa"/>
            <w:vAlign w:val="bottom"/>
            <w:gridSpan w:val="5"/>
          </w:tcPr>
          <w:p>
            <w:pPr>
              <w:ind w:left="280"/>
              <w:spacing w:after="0"/>
              <w:rPr>
                <w:sz w:val="20"/>
                <w:szCs w:val="20"/>
                <w:color w:val="auto"/>
              </w:rPr>
            </w:pPr>
            <w:r>
              <w:rPr>
                <w:rFonts w:ascii="Arial" w:cs="Arial" w:eastAsia="Arial" w:hAnsi="Arial"/>
                <w:sz w:val="13"/>
                <w:szCs w:val="13"/>
                <w:color w:val="auto"/>
              </w:rPr>
              <w:t>The following table summarizes the major components of debt at December 31 (in millions):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18"/>
                <w:szCs w:val="18"/>
                <w:color w:val="auto"/>
              </w:rPr>
            </w:pPr>
          </w:p>
        </w:tc>
      </w:tr>
      <w:tr>
        <w:trPr>
          <w:trHeight w:val="29"/>
        </w:trPr>
        <w:tc>
          <w:tcPr>
            <w:tcW w:w="1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4980" w:type="dxa"/>
            <w:vAlign w:val="bottom"/>
            <w:gridSpan w:val="4"/>
            <w:shd w:val="clear" w:color="auto" w:fill="CCEEFF"/>
          </w:tcPr>
          <w:p>
            <w:pPr>
              <w:spacing w:after="0"/>
              <w:rPr>
                <w:sz w:val="20"/>
                <w:szCs w:val="20"/>
                <w:color w:val="auto"/>
              </w:rPr>
            </w:pPr>
            <w:r>
              <w:rPr>
                <w:rFonts w:ascii="Arial" w:cs="Arial" w:eastAsia="Arial" w:hAnsi="Arial"/>
                <w:sz w:val="13"/>
                <w:szCs w:val="13"/>
                <w:color w:val="auto"/>
                <w:w w:val="99"/>
              </w:rPr>
              <w:t>Revolving credit facility (weighted average interest rate of 5.4% at December 31, 2007)</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3500" w:type="dxa"/>
            <w:vAlign w:val="bottom"/>
            <w:gridSpan w:val="2"/>
          </w:tcPr>
          <w:p>
            <w:pPr>
              <w:spacing w:after="0"/>
              <w:rPr>
                <w:sz w:val="20"/>
                <w:szCs w:val="20"/>
                <w:color w:val="auto"/>
              </w:rPr>
            </w:pPr>
            <w:r>
              <w:rPr>
                <w:rFonts w:ascii="Arial" w:cs="Arial" w:eastAsia="Arial" w:hAnsi="Arial"/>
                <w:sz w:val="13"/>
                <w:szCs w:val="13"/>
                <w:color w:val="auto"/>
              </w:rPr>
              <w:t>Letter of credit facilities</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440" w:type="dxa"/>
            <w:vAlign w:val="bottom"/>
            <w:gridSpan w:val="6"/>
            <w:shd w:val="clear" w:color="auto" w:fill="CCEEFF"/>
          </w:tcPr>
          <w:p>
            <w:pPr>
              <w:spacing w:after="0"/>
              <w:rPr>
                <w:sz w:val="20"/>
                <w:szCs w:val="20"/>
                <w:color w:val="auto"/>
              </w:rPr>
            </w:pPr>
            <w:r>
              <w:rPr>
                <w:rFonts w:ascii="Arial" w:cs="Arial" w:eastAsia="Arial" w:hAnsi="Arial"/>
                <w:sz w:val="13"/>
                <w:szCs w:val="13"/>
                <w:color w:val="auto"/>
                <w:w w:val="93"/>
              </w:rPr>
              <w:t>Canadian credit facility (weighted average interest rate of 5.3% at December 31, 2007 and 4.8% at December 31, 2006)</w:t>
            </w: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308</w:t>
            </w:r>
          </w:p>
        </w:tc>
      </w:tr>
      <w:tr>
        <w:trPr>
          <w:trHeight w:val="148"/>
        </w:trPr>
        <w:tc>
          <w:tcPr>
            <w:tcW w:w="8600" w:type="dxa"/>
            <w:vAlign w:val="bottom"/>
            <w:gridSpan w:val="11"/>
          </w:tcPr>
          <w:p>
            <w:pPr>
              <w:spacing w:after="0" w:line="149" w:lineRule="exact"/>
              <w:rPr>
                <w:sz w:val="20"/>
                <w:szCs w:val="20"/>
                <w:color w:val="auto"/>
              </w:rPr>
            </w:pPr>
            <w:r>
              <w:rPr>
                <w:rFonts w:ascii="Arial" w:cs="Arial" w:eastAsia="Arial" w:hAnsi="Arial"/>
                <w:sz w:val="13"/>
                <w:szCs w:val="13"/>
                <w:color w:val="auto"/>
                <w:w w:val="97"/>
              </w:rPr>
              <w:t>Senior notes and debentures, maturing through 2032, interest rates ranging from 5.0% to 8.75% (weighted average interest rate of 7.0% at December 31,</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12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Arial" w:cs="Arial" w:eastAsia="Arial" w:hAnsi="Arial"/>
                <w:sz w:val="13"/>
                <w:szCs w:val="13"/>
                <w:color w:val="auto"/>
              </w:rPr>
              <w:t>2007 and 2006)</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4,584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4,829</w:t>
            </w:r>
          </w:p>
        </w:tc>
      </w:tr>
      <w:tr>
        <w:trPr>
          <w:trHeight w:val="149"/>
        </w:trPr>
        <w:tc>
          <w:tcPr>
            <w:tcW w:w="7920" w:type="dxa"/>
            <w:vAlign w:val="bottom"/>
            <w:gridSpan w:val="8"/>
            <w:shd w:val="clear" w:color="auto" w:fill="CCEEFF"/>
          </w:tcPr>
          <w:p>
            <w:pPr>
              <w:spacing w:after="0"/>
              <w:rPr>
                <w:sz w:val="20"/>
                <w:szCs w:val="20"/>
                <w:color w:val="auto"/>
              </w:rPr>
            </w:pPr>
            <w:r>
              <w:rPr>
                <w:rFonts w:ascii="Arial" w:cs="Arial" w:eastAsia="Arial" w:hAnsi="Arial"/>
                <w:sz w:val="13"/>
                <w:szCs w:val="13"/>
                <w:color w:val="auto"/>
                <w:w w:val="94"/>
              </w:rPr>
              <w:t>Tax-exempt bonds maturing through 2039, fixed and variable interest rates ranging from 2.9% to 7.4% (weighted average interest rate of 4.4% at</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120" w:type="dxa"/>
            <w:vAlign w:val="bottom"/>
            <w:shd w:val="clear" w:color="auto" w:fill="CCEEFF"/>
          </w:tcPr>
          <w:p>
            <w:pPr>
              <w:spacing w:after="0"/>
              <w:rPr>
                <w:sz w:val="14"/>
                <w:szCs w:val="14"/>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31, 2007 and 4.5% at December 31, 2006)</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2,440</w:t>
            </w:r>
          </w:p>
        </w:tc>
      </w:tr>
      <w:tr>
        <w:trPr>
          <w:trHeight w:val="148"/>
        </w:trPr>
        <w:tc>
          <w:tcPr>
            <w:tcW w:w="8600" w:type="dxa"/>
            <w:vAlign w:val="bottom"/>
            <w:gridSpan w:val="11"/>
          </w:tcPr>
          <w:p>
            <w:pPr>
              <w:spacing w:after="0" w:line="149" w:lineRule="exact"/>
              <w:rPr>
                <w:sz w:val="20"/>
                <w:szCs w:val="20"/>
                <w:color w:val="auto"/>
              </w:rPr>
            </w:pPr>
            <w:r>
              <w:rPr>
                <w:rFonts w:ascii="Arial" w:cs="Arial" w:eastAsia="Arial" w:hAnsi="Arial"/>
                <w:sz w:val="13"/>
                <w:szCs w:val="13"/>
                <w:color w:val="auto"/>
                <w:w w:val="98"/>
              </w:rPr>
              <w:t>Tax-exempt project bonds, principal payable in periodic installments, maturing through 2027, fixed and variable interest rates ranging from 3.5% to 9.3%</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120" w:type="dxa"/>
            <w:vAlign w:val="bottom"/>
          </w:tcPr>
          <w:p>
            <w:pPr>
              <w:spacing w:after="0"/>
              <w:rPr>
                <w:sz w:val="14"/>
                <w:szCs w:val="14"/>
                <w:color w:val="auto"/>
              </w:rPr>
            </w:pPr>
          </w:p>
        </w:tc>
        <w:tc>
          <w:tcPr>
            <w:tcW w:w="6320" w:type="dxa"/>
            <w:vAlign w:val="bottom"/>
            <w:gridSpan w:val="5"/>
          </w:tcPr>
          <w:p>
            <w:pPr>
              <w:ind w:left="20"/>
              <w:spacing w:after="0"/>
              <w:rPr>
                <w:sz w:val="20"/>
                <w:szCs w:val="20"/>
                <w:color w:val="auto"/>
              </w:rPr>
            </w:pPr>
            <w:r>
              <w:rPr>
                <w:rFonts w:ascii="Arial" w:cs="Arial" w:eastAsia="Arial" w:hAnsi="Arial"/>
                <w:sz w:val="13"/>
                <w:szCs w:val="13"/>
                <w:color w:val="auto"/>
              </w:rPr>
              <w:t>(weighted average interest rate of 5.3% at December 31, 2007 and 5.4% at December 31, 2006)</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290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352</w:t>
            </w:r>
          </w:p>
        </w:tc>
      </w:tr>
      <w:tr>
        <w:trPr>
          <w:trHeight w:val="158"/>
        </w:trPr>
        <w:tc>
          <w:tcPr>
            <w:tcW w:w="49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Capital leases and other, maturing through 2036, interest rates up to 12%</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388</w:t>
            </w:r>
          </w:p>
        </w:tc>
      </w:tr>
      <w:tr>
        <w:trPr>
          <w:trHeight w:val="20"/>
        </w:trPr>
        <w:tc>
          <w:tcPr>
            <w:tcW w:w="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8,337</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8,317</w:t>
            </w:r>
          </w:p>
        </w:tc>
      </w:tr>
      <w:tr>
        <w:trPr>
          <w:trHeight w:val="158"/>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current portion</w:t>
            </w: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822</w:t>
            </w:r>
          </w:p>
        </w:tc>
      </w:tr>
      <w:tr>
        <w:trPr>
          <w:trHeight w:val="20"/>
        </w:trPr>
        <w:tc>
          <w:tcPr>
            <w:tcW w:w="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8,008</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7,495</w:t>
            </w:r>
          </w:p>
        </w:tc>
      </w:tr>
      <w:tr>
        <w:trPr>
          <w:trHeight w:val="30"/>
        </w:trPr>
        <w:tc>
          <w:tcPr>
            <w:tcW w:w="1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Revolving credit facility </w:t>
      </w:r>
      <w:r>
        <w:rPr>
          <w:rFonts w:ascii="Arial" w:cs="Arial" w:eastAsia="Arial" w:hAnsi="Arial"/>
          <w:sz w:val="12"/>
          <w:szCs w:val="12"/>
          <w:color w:val="auto"/>
        </w:rPr>
        <w:t>— On August 17, 2006, WMI entered into a five-year, $2.4 billion revolving credit facility, replacing the $2.4 billion syndicated revolving credit facility that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would have expired in October 2009. This facility provides us with credit capacity to be used for either cash borrowings or to support letters of credit. At December 31, 2007, we had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$300 million of outstanding borrowings and $1,437 million of letters of credit issued and supported by the facility. Our unused and available credit capacity of the facility was $663 million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as of December 31, 2007. The borrowings outstanding at December 31, 2007 mature in the first quarter of 2008. In January 2008, we repaid $50 million of the outstanding borrowings with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available cash. We currently intend to refinance the remaining outstanding borrowings on a long-term basis. Accordingly, $250 million of this outstanding debt obligation has been reflected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 long-term in our December 31, 2007 Consolidated Balance Sheet.</w:t>
      </w:r>
    </w:p>
    <w:p>
      <w:pPr>
        <w:spacing w:after="0" w:line="8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Letter of credit facilities </w:t>
      </w:r>
      <w:r>
        <w:rPr>
          <w:rFonts w:ascii="Arial" w:cs="Arial" w:eastAsia="Arial" w:hAnsi="Arial"/>
          <w:sz w:val="13"/>
          <w:szCs w:val="13"/>
          <w:color w:val="auto"/>
        </w:rPr>
        <w:t>— We have a $350 million letter of credit facility that matures in December 2008 and three letter of credit and term loan agreements for an aggregate of</w:t>
      </w:r>
      <w:r>
        <w:rPr>
          <w:rFonts w:ascii="Arial" w:cs="Arial" w:eastAsia="Arial" w:hAnsi="Arial"/>
          <w:sz w:val="13"/>
          <w:szCs w:val="13"/>
          <w:i w:val="1"/>
          <w:iCs w:val="1"/>
          <w:color w:val="auto"/>
        </w:rPr>
        <w:t xml:space="preserve"> </w:t>
      </w:r>
      <w:r>
        <w:rPr>
          <w:rFonts w:ascii="Arial" w:cs="Arial" w:eastAsia="Arial" w:hAnsi="Arial"/>
          <w:sz w:val="13"/>
          <w:szCs w:val="13"/>
          <w:color w:val="auto"/>
        </w:rPr>
        <w:t>$295 million maturing at various points from 2008 through 2013. These facilities are currently being used to back letters of credit issued to support our bonding and financial assurance needs. Our letters of credit generally have terms providing for automatic renewal after one year. In the event of an unreimbursed draw on a letter of credit, the amount of the draw paid by the letter of credit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provider generally converts into a term loan for the remaining term of the respective agreement or facility. Through December 31, 2007, we had not experienced any unreimbursed draws on letters of credit.</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of December 31, 2007, no borrowings were outstanding under our letter of credit facilities, and we had unused and available credit capacity of $1 million under the facilities. The following table summarizes our outstanding letters of credit (in millions) categorized by each facility outstanding at December 31:</w:t>
      </w:r>
    </w:p>
    <w:p>
      <w:pPr>
        <w:spacing w:after="0" w:line="61" w:lineRule="exact"/>
        <w:rPr>
          <w:sz w:val="20"/>
          <w:szCs w:val="20"/>
          <w:color w:val="auto"/>
        </w:rPr>
      </w:pPr>
    </w:p>
    <w:tbl>
      <w:tblPr>
        <w:tblLayout w:type="fixed"/>
        <w:tblInd w:w="2480" w:type="dxa"/>
        <w:tblCellMar>
          <w:top w:w="0" w:type="dxa"/>
          <w:left w:w="0" w:type="dxa"/>
          <w:bottom w:w="0" w:type="dxa"/>
          <w:right w:w="0" w:type="dxa"/>
        </w:tblCellMar>
      </w:tblPr>
      <w:tr>
        <w:trPr>
          <w:trHeight w:val="125"/>
        </w:trPr>
        <w:tc>
          <w:tcPr>
            <w:tcW w:w="5540" w:type="dxa"/>
            <w:vAlign w:val="bottom"/>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2007</w:t>
            </w:r>
          </w:p>
        </w:tc>
        <w:tc>
          <w:tcPr>
            <w:tcW w:w="240" w:type="dxa"/>
            <w:vAlign w:val="bottom"/>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2006</w:t>
            </w:r>
          </w:p>
        </w:tc>
        <w:tc>
          <w:tcPr>
            <w:tcW w:w="60" w:type="dxa"/>
            <w:vAlign w:val="bottom"/>
          </w:tcPr>
          <w:p>
            <w:pPr>
              <w:spacing w:after="0"/>
              <w:rPr>
                <w:sz w:val="10"/>
                <w:szCs w:val="10"/>
                <w:color w:val="auto"/>
              </w:rPr>
            </w:pPr>
          </w:p>
        </w:tc>
      </w:tr>
      <w:tr>
        <w:trPr>
          <w:trHeight w:val="29"/>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7"/>
        </w:trPr>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Letter of credit facility</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$350</w:t>
            </w:r>
          </w:p>
        </w:tc>
        <w:tc>
          <w:tcPr>
            <w:tcW w:w="2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$346</w:t>
            </w:r>
          </w:p>
        </w:tc>
      </w:tr>
      <w:tr>
        <w:trPr>
          <w:trHeight w:val="157"/>
        </w:trPr>
        <w:tc>
          <w:tcPr>
            <w:tcW w:w="5540" w:type="dxa"/>
            <w:vAlign w:val="bottom"/>
          </w:tcPr>
          <w:p>
            <w:pPr>
              <w:spacing w:after="0"/>
              <w:rPr>
                <w:sz w:val="20"/>
                <w:szCs w:val="20"/>
                <w:color w:val="auto"/>
              </w:rPr>
            </w:pPr>
            <w:r>
              <w:rPr>
                <w:rFonts w:ascii="Arial" w:cs="Arial" w:eastAsia="Arial" w:hAnsi="Arial"/>
                <w:sz w:val="13"/>
                <w:szCs w:val="13"/>
                <w:color w:val="auto"/>
              </w:rPr>
              <w:t>Letter of credit and term loan agreements</w:t>
            </w:r>
          </w:p>
        </w:tc>
        <w:tc>
          <w:tcPr>
            <w:tcW w:w="280" w:type="dxa"/>
            <w:vAlign w:val="bottom"/>
          </w:tcPr>
          <w:p>
            <w:pPr>
              <w:jc w:val="right"/>
              <w:spacing w:after="0"/>
              <w:rPr>
                <w:sz w:val="20"/>
                <w:szCs w:val="20"/>
                <w:color w:val="auto"/>
              </w:rPr>
            </w:pPr>
            <w:r>
              <w:rPr>
                <w:rFonts w:ascii="Arial" w:cs="Arial" w:eastAsia="Arial" w:hAnsi="Arial"/>
                <w:sz w:val="13"/>
                <w:szCs w:val="13"/>
                <w:color w:val="auto"/>
              </w:rPr>
              <w:t>294</w:t>
            </w:r>
          </w:p>
        </w:tc>
        <w:tc>
          <w:tcPr>
            <w:tcW w:w="24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295</w:t>
            </w:r>
          </w:p>
        </w:tc>
      </w:tr>
      <w:tr>
        <w:trPr>
          <w:trHeight w:val="157"/>
        </w:trPr>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2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75</w:t>
            </w:r>
          </w:p>
        </w:tc>
      </w:tr>
      <w:tr>
        <w:trPr>
          <w:trHeight w:val="20"/>
        </w:trPr>
        <w:tc>
          <w:tcPr>
            <w:tcW w:w="5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55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u w:val="single" w:color="auto"/>
                <w:color w:val="auto"/>
                <w:w w:val="89"/>
              </w:rPr>
              <w:t>$</w:t>
            </w:r>
            <w:r>
              <w:rPr>
                <w:rFonts w:ascii="Arial" w:cs="Arial" w:eastAsia="Arial" w:hAnsi="Arial"/>
                <w:sz w:val="13"/>
                <w:szCs w:val="13"/>
                <w:color w:val="auto"/>
                <w:w w:val="89"/>
              </w:rPr>
              <w:t>734</w:t>
            </w:r>
          </w:p>
        </w:tc>
        <w:tc>
          <w:tcPr>
            <w:tcW w:w="24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3"/>
                <w:szCs w:val="13"/>
                <w:u w:val="single" w:color="auto"/>
                <w:color w:val="auto"/>
                <w:w w:val="82"/>
              </w:rPr>
              <w:t>$</w:t>
            </w:r>
            <w:r>
              <w:rPr>
                <w:rFonts w:ascii="Arial" w:cs="Arial" w:eastAsia="Arial" w:hAnsi="Arial"/>
                <w:sz w:val="13"/>
                <w:szCs w:val="13"/>
                <w:color w:val="auto"/>
                <w:w w:val="82"/>
              </w:rPr>
              <w:t>716</w:t>
            </w:r>
          </w:p>
        </w:tc>
      </w:tr>
      <w:tr>
        <w:trPr>
          <w:trHeight w:val="30"/>
        </w:trPr>
        <w:tc>
          <w:tcPr>
            <w:tcW w:w="5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90"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i w:val="1"/>
          <w:iCs w:val="1"/>
          <w:color w:val="auto"/>
        </w:rPr>
        <w:t xml:space="preserve">Canadian Credit Facility </w:t>
      </w:r>
      <w:r>
        <w:rPr>
          <w:rFonts w:ascii="Arial" w:cs="Arial" w:eastAsia="Arial" w:hAnsi="Arial"/>
          <w:sz w:val="11"/>
          <w:szCs w:val="11"/>
          <w:color w:val="auto"/>
        </w:rPr>
        <w:t>— In November 2005, Waste Management of Canada Corporation, one of our wholly-owned subsidiaries, entered into a three-year credit facility agreement</w:t>
      </w:r>
      <w:r>
        <w:rPr>
          <w:rFonts w:ascii="Arial" w:cs="Arial" w:eastAsia="Arial" w:hAnsi="Arial"/>
          <w:sz w:val="11"/>
          <w:szCs w:val="11"/>
          <w:i w:val="1"/>
          <w:iCs w:val="1"/>
          <w:color w:val="auto"/>
        </w:rPr>
        <w:t xml:space="preserve"> </w:t>
      </w:r>
      <w:r>
        <w:rPr>
          <w:rFonts w:ascii="Arial" w:cs="Arial" w:eastAsia="Arial" w:hAnsi="Arial"/>
          <w:sz w:val="11"/>
          <w:szCs w:val="11"/>
          <w:color w:val="auto"/>
        </w:rPr>
        <w:t>with an initial credit capacity of up to Canadian $410 million. The agreement was entered into to facilitate WMI’s repatriation of accumulated earnings and capital from its Canadian subsidiaries, which is discussed in Note 8. In December 2007, we amended the agreement to increase the available capacity, which had been reduced to Canadian $305 million due to debt repayments, to Canadian $340 million, extend the maturity date to November 2012 and add an uncommitted option to increase the capacity by an additional Canadian $25 million.</w:t>
      </w:r>
    </w:p>
    <w:p>
      <w:pPr>
        <w:spacing w:after="0" w:line="3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As of December 31, 2007, we had US $342 million of principal (US $336 million net of discount) outstanding under this credit facility. Advances under the facility do not accrue interest during their terms. Accordingly, the proceeds we initially received were for the principal amount of the advances net of the total interest obligation due for the term of the advance, and the debt was initially recorded based on the net proceeds received. The advances have a weighted average effective interest rate of 5.3% at December 31, 2007, which is being amortized to interest expense with a corresponding increase in our recorded debt obligation using the effective interest method. During the year ended December 31, 2007, we increased the carrying value of the debt for the recognition of $15 million of interest expense. A total of $36 million of advances under the facility matured during 2007 and were repaid with available cash. Accounting for changes in the Canadian currency translation rate increased the carrying value of these borrowings by $49 million during 2007.</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outstanding advances mature less than one year from the date of issuance, but may be renewed under the terms of the facility, which matures in November 2012. We currently expect to repay a portion of our borrowings under the facility with available cash and refinance the remaining borrowings. Accordingly, $281 million of these borrowings are classified as long-term in our December 31, 2007 Consolidated Balance Sheet based on our intent and ability to refinance the obligations under the terms of the facility. As of December 31, 2006, we had expected to repay our borrowings under the facility within one year with available cash and these borrowings were classified as current in our December 31, 2006 Consolidated Balance Sheet.</w:t>
      </w:r>
    </w:p>
    <w:p>
      <w:pPr>
        <w:spacing w:after="0" w:line="71"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Senior notes </w:t>
      </w:r>
      <w:r>
        <w:rPr>
          <w:rFonts w:ascii="Arial" w:cs="Arial" w:eastAsia="Arial" w:hAnsi="Arial"/>
          <w:sz w:val="13"/>
          <w:szCs w:val="13"/>
          <w:color w:val="auto"/>
        </w:rPr>
        <w:t>— On October 1, 2007, $300 million of 7.125% senior notes matured and were repaid with available cash. We have $244 million of 8.75% senior notes that become</w:t>
      </w:r>
      <w:r>
        <w:rPr>
          <w:rFonts w:ascii="Arial" w:cs="Arial" w:eastAsia="Arial" w:hAnsi="Arial"/>
          <w:sz w:val="13"/>
          <w:szCs w:val="13"/>
          <w:i w:val="1"/>
          <w:iCs w:val="1"/>
          <w:color w:val="auto"/>
        </w:rPr>
        <w:t xml:space="preserve"> </w:t>
      </w:r>
      <w:r>
        <w:rPr>
          <w:rFonts w:ascii="Arial" w:cs="Arial" w:eastAsia="Arial" w:hAnsi="Arial"/>
          <w:sz w:val="13"/>
          <w:szCs w:val="13"/>
          <w:color w:val="auto"/>
        </w:rPr>
        <w:t>callable by us in May 2008 and $386 million of 6.5% senior notes that mature in November 2008. We are currently evaluating our repayment options associated with these obligations, but currently expect to refinance them on a long-term basis. The $244 million of callable senior notes are classified as long-term as of December 31, 2007 based on the terms of their scheduled maturity, which is May 2018. Approximately $310 million of our $386 million senior notes that mature in November 2008 is classified as long-term as of December 31, 2007 based on our intent and ability to refinance the obligation on a long-term basis.</w:t>
      </w:r>
    </w:p>
    <w:p>
      <w:pPr>
        <w:spacing w:after="0" w:line="71"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i w:val="1"/>
          <w:iCs w:val="1"/>
          <w:color w:val="auto"/>
        </w:rPr>
        <w:t xml:space="preserve">Tax-exempt bonds </w:t>
      </w:r>
      <w:r>
        <w:rPr>
          <w:rFonts w:ascii="Arial" w:cs="Arial" w:eastAsia="Arial" w:hAnsi="Arial"/>
          <w:sz w:val="12"/>
          <w:szCs w:val="12"/>
          <w:color w:val="auto"/>
        </w:rPr>
        <w:t>— We actively issue tax-exempt bonds as a means of accessing low-cost financing for capital expenditures. We issued $145 million of tax-exempt bonds during</w:t>
      </w:r>
      <w:r>
        <w:rPr>
          <w:rFonts w:ascii="Arial" w:cs="Arial" w:eastAsia="Arial" w:hAnsi="Arial"/>
          <w:sz w:val="12"/>
          <w:szCs w:val="12"/>
          <w:i w:val="1"/>
          <w:iCs w:val="1"/>
          <w:color w:val="auto"/>
        </w:rPr>
        <w:t xml:space="preserve"> </w:t>
      </w:r>
      <w:r>
        <w:rPr>
          <w:rFonts w:ascii="Arial" w:cs="Arial" w:eastAsia="Arial" w:hAnsi="Arial"/>
          <w:sz w:val="12"/>
          <w:szCs w:val="12"/>
          <w:color w:val="auto"/>
        </w:rPr>
        <w:t>2007. The proceeds from these debt issuances may only be used for the specific purpose for which the money was raised, which is generally to finance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expenditures for landfill construction and development, equipment, vehicles and facilities in support of our operations. Proceeds from bond issues are held in trust until such time as we incur qualified expenditures, at which time we are reimbursed from the trust funds. We issue both fixed and floating rate obligations. Interest rates on floating rate bonds are re-set on a weekly basis and the underlying bonds are supported by letters of credit. During the year ended December 31, 2007, $52 million of our tax-exempt bonds matured and were repaid with either available cash or debt service funds.</w:t>
      </w:r>
    </w:p>
    <w:p>
      <w:pPr>
        <w:spacing w:after="0" w:line="7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As of December 31, 2007, $192 million of fixed rate tax-exempt bonds are subject to repricing within the next twelve months, which is prior to their scheduled maturities. If the re-offerings of the bonds are unsuccessful, then the bonds can be put to us, requiring immediate repayment. These bonds are not backed by letters of credit supported by our revolving credit facility that would serve to guarantee repayment in the event of a failed re-offering and are, therefore, considered a current obligation for financial reporting purposes. However, these bonds have been classified as long-term in our Consolidated Balance Sheet as of December 31, 2007. The classification of these obligations as long-term was based upon our intent to refinance the borrowings with other long-term financings in the event of a failed re-offering and our ability, in the event other sources of long-term financing are not available, to use our five-year revolving credit facility.</w:t>
      </w:r>
    </w:p>
    <w:p>
      <w:pPr>
        <w:spacing w:after="0" w:line="7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addition, as of December 31, 2007, we have $696 million of tax-exempt bonds that are remarketed either daily or weekly by a remarketing agent to effectively maintain a variable yield. If the remarketing agent is unable to remarket the bonds, then the remarketing agent can put the bonds to us. These bonds are supported by letters of credit guaranteeing repayment of the bonds in this event. We classified these borrowings as long-term in our Consolidated Balance Sheet at December 31, 2007 because the borrowings are supported by letters of credit issued under our five-year revolving credit facility, which is long-term.</w:t>
      </w:r>
    </w:p>
    <w:p>
      <w:pPr>
        <w:spacing w:after="0" w:line="70" w:lineRule="exact"/>
        <w:rPr>
          <w:sz w:val="20"/>
          <w:szCs w:val="20"/>
          <w:color w:val="auto"/>
        </w:rPr>
      </w:pPr>
    </w:p>
    <w:p>
      <w:pPr>
        <w:ind w:left="680" w:right="160" w:firstLine="399"/>
        <w:spacing w:after="0" w:line="281" w:lineRule="auto"/>
        <w:rPr>
          <w:sz w:val="20"/>
          <w:szCs w:val="20"/>
          <w:color w:val="auto"/>
        </w:rPr>
      </w:pPr>
      <w:r>
        <w:rPr>
          <w:rFonts w:ascii="Arial" w:cs="Arial" w:eastAsia="Arial" w:hAnsi="Arial"/>
          <w:sz w:val="12"/>
          <w:szCs w:val="12"/>
          <w:i w:val="1"/>
          <w:iCs w:val="1"/>
          <w:color w:val="auto"/>
        </w:rPr>
        <w:t xml:space="preserve">Tax-exempt project bonds </w:t>
      </w:r>
      <w:r>
        <w:rPr>
          <w:rFonts w:ascii="Arial" w:cs="Arial" w:eastAsia="Arial" w:hAnsi="Arial"/>
          <w:sz w:val="12"/>
          <w:szCs w:val="12"/>
          <w:color w:val="auto"/>
        </w:rPr>
        <w:t>— Tax-exempt project bonds have been used by our Wheelabrator Group to finance the development of waste-to-energy facilities. These facilities are</w:t>
      </w:r>
      <w:r>
        <w:rPr>
          <w:rFonts w:ascii="Arial" w:cs="Arial" w:eastAsia="Arial" w:hAnsi="Arial"/>
          <w:sz w:val="12"/>
          <w:szCs w:val="12"/>
          <w:i w:val="1"/>
          <w:iCs w:val="1"/>
          <w:color w:val="auto"/>
        </w:rPr>
        <w:t xml:space="preserve"> </w:t>
      </w:r>
      <w:r>
        <w:rPr>
          <w:rFonts w:ascii="Arial" w:cs="Arial" w:eastAsia="Arial" w:hAnsi="Arial"/>
          <w:sz w:val="12"/>
          <w:szCs w:val="12"/>
          <w:color w:val="auto"/>
        </w:rPr>
        <w:t>integral to the local communities they serve, and, as such, are supported by long-term contracts with multiple municipalities. The bonds generally have periodic amortizations that are supported by the cash flow of each specific facility being financed. During the year ended December 31, 2007, we repaid $61 million of our tax-exempt project bonds with either available cash or debt service funds. As of December 31, 2007, we had $46 million of tax-exempt project bonds that are remarketed either daily or weekly by a remarketing agent to effectively maintain a variable yield. If the remarketing agent is unable to remarket the bonds, then the remarketing agent can put the bonds to us. These bonds are supported by letters of credit guaranteeing repayment of the bonds in this event. We classified these borrowings as long-term in our Consolidated Balance Sheet at December 31, 2007 because the borrowings are supported by letters of credit issued under our five-year revolving credit facility, which is long-term.</w:t>
      </w:r>
    </w:p>
    <w:p>
      <w:pPr>
        <w:spacing w:after="0" w:line="58"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i w:val="1"/>
          <w:iCs w:val="1"/>
          <w:color w:val="auto"/>
        </w:rPr>
        <w:t xml:space="preserve">Capital leases and other </w:t>
      </w:r>
      <w:r>
        <w:rPr>
          <w:rFonts w:ascii="Arial" w:cs="Arial" w:eastAsia="Arial" w:hAnsi="Arial"/>
          <w:sz w:val="13"/>
          <w:szCs w:val="13"/>
          <w:color w:val="auto"/>
        </w:rPr>
        <w:t>— The decrease in our capital leases and other debt obligations in 2007 is primarily related to the repayment of various borrowings upon their scheduled</w:t>
      </w:r>
      <w:r>
        <w:rPr>
          <w:rFonts w:ascii="Arial" w:cs="Arial" w:eastAsia="Arial" w:hAnsi="Arial"/>
          <w:sz w:val="13"/>
          <w:szCs w:val="13"/>
          <w:i w:val="1"/>
          <w:iCs w:val="1"/>
          <w:color w:val="auto"/>
        </w:rPr>
        <w:t xml:space="preserve"> </w:t>
      </w:r>
      <w:r>
        <w:rPr>
          <w:rFonts w:ascii="Arial" w:cs="Arial" w:eastAsia="Arial" w:hAnsi="Arial"/>
          <w:sz w:val="13"/>
          <w:szCs w:val="13"/>
          <w:color w:val="auto"/>
        </w:rPr>
        <w:t>maturities.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Scheduled debt and capital lease payments </w:t>
      </w:r>
      <w:r>
        <w:rPr>
          <w:rFonts w:ascii="Arial" w:cs="Arial" w:eastAsia="Arial" w:hAnsi="Arial"/>
          <w:sz w:val="13"/>
          <w:szCs w:val="13"/>
          <w:color w:val="auto"/>
        </w:rPr>
        <w:t>— The schedule of anticipated debt and capital lease payments (including the current portion) for the next five years is presented below (in</w:t>
      </w:r>
      <w:r>
        <w:rPr>
          <w:rFonts w:ascii="Arial" w:cs="Arial" w:eastAsia="Arial" w:hAnsi="Arial"/>
          <w:sz w:val="13"/>
          <w:szCs w:val="13"/>
          <w:i w:val="1"/>
          <w:iCs w:val="1"/>
          <w:color w:val="auto"/>
        </w:rPr>
        <w:t xml:space="preserve"> </w:t>
      </w:r>
      <w:r>
        <w:rPr>
          <w:rFonts w:ascii="Arial" w:cs="Arial" w:eastAsia="Arial" w:hAnsi="Arial"/>
          <w:sz w:val="13"/>
          <w:szCs w:val="13"/>
          <w:color w:val="auto"/>
        </w:rPr>
        <w:t>millions). Our recorded debt and capital lease obligations include non-cash adjustments associated with discounts, premiums and fair value adjustments for interest rate hedging activities, which have been excluded here because they will not result in cash payments.</w:t>
      </w:r>
    </w:p>
    <w:p>
      <w:pPr>
        <w:spacing w:after="0" w:line="69" w:lineRule="exact"/>
        <w:rPr>
          <w:sz w:val="20"/>
          <w:szCs w:val="20"/>
          <w:color w:val="auto"/>
        </w:rPr>
      </w:pPr>
    </w:p>
    <w:tbl>
      <w:tblPr>
        <w:tblLayout w:type="fixed"/>
        <w:tblInd w:w="2680" w:type="dxa"/>
        <w:tblCellMar>
          <w:top w:w="0" w:type="dxa"/>
          <w:left w:w="0" w:type="dxa"/>
          <w:bottom w:w="0" w:type="dxa"/>
          <w:right w:w="0" w:type="dxa"/>
        </w:tblCellMar>
      </w:tblPr>
      <w:tr>
        <w:trPr>
          <w:trHeight w:val="135"/>
        </w:trPr>
        <w:tc>
          <w:tcPr>
            <w:tcW w:w="1620" w:type="dxa"/>
            <w:vAlign w:val="bottom"/>
          </w:tcPr>
          <w:p>
            <w:pPr>
              <w:jc w:val="right"/>
              <w:ind w:right="1181"/>
              <w:spacing w:after="0"/>
              <w:rPr>
                <w:sz w:val="20"/>
                <w:szCs w:val="20"/>
                <w:color w:val="auto"/>
              </w:rPr>
            </w:pPr>
            <w:r>
              <w:rPr>
                <w:rFonts w:ascii="Arial" w:cs="Arial" w:eastAsia="Arial" w:hAnsi="Arial"/>
                <w:sz w:val="10"/>
                <w:szCs w:val="10"/>
                <w:b w:val="1"/>
                <w:bCs w:val="1"/>
                <w:color w:val="auto"/>
              </w:rPr>
              <w:t>2008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2009</w:t>
            </w:r>
          </w:p>
        </w:tc>
        <w:tc>
          <w:tcPr>
            <w:tcW w:w="1140" w:type="dxa"/>
            <w:vAlign w:val="bottom"/>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2010</w:t>
            </w:r>
          </w:p>
        </w:tc>
        <w:tc>
          <w:tcPr>
            <w:tcW w:w="1140" w:type="dxa"/>
            <w:vAlign w:val="bottom"/>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2011</w:t>
            </w:r>
          </w:p>
        </w:tc>
        <w:tc>
          <w:tcPr>
            <w:tcW w:w="1140" w:type="dxa"/>
            <w:vAlign w:val="bottom"/>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2012</w:t>
            </w:r>
          </w:p>
        </w:tc>
      </w:tr>
      <w:tr>
        <w:trPr>
          <w:trHeight w:val="185"/>
        </w:trPr>
        <w:tc>
          <w:tcPr>
            <w:tcW w:w="1620" w:type="dxa"/>
            <w:vAlign w:val="bottom"/>
          </w:tcPr>
          <w:p>
            <w:pPr>
              <w:jc w:val="right"/>
              <w:ind w:right="1201"/>
              <w:spacing w:after="0"/>
              <w:rPr>
                <w:sz w:val="20"/>
                <w:szCs w:val="20"/>
                <w:color w:val="auto"/>
              </w:rPr>
            </w:pPr>
            <w:r>
              <w:rPr>
                <w:rFonts w:ascii="Arial" w:cs="Arial" w:eastAsia="Arial" w:hAnsi="Arial"/>
                <w:sz w:val="13"/>
                <w:szCs w:val="13"/>
                <w:color w:val="auto"/>
                <w:w w:val="85"/>
              </w:rPr>
              <w:t>$1,164</w:t>
            </w:r>
          </w:p>
        </w:tc>
        <w:tc>
          <w:tcPr>
            <w:tcW w:w="1400" w:type="dxa"/>
            <w:vAlign w:val="bottom"/>
            <w:gridSpan w:val="2"/>
          </w:tcPr>
          <w:p>
            <w:pPr>
              <w:jc w:val="right"/>
              <w:ind w:right="1140"/>
              <w:spacing w:after="0"/>
              <w:rPr>
                <w:sz w:val="20"/>
                <w:szCs w:val="20"/>
                <w:color w:val="auto"/>
              </w:rPr>
            </w:pPr>
            <w:r>
              <w:rPr>
                <w:rFonts w:ascii="Arial" w:cs="Arial" w:eastAsia="Arial" w:hAnsi="Arial"/>
                <w:sz w:val="13"/>
                <w:szCs w:val="13"/>
                <w:color w:val="auto"/>
                <w:w w:val="82"/>
              </w:rPr>
              <w:t>$697</w:t>
            </w:r>
          </w:p>
        </w:tc>
        <w:tc>
          <w:tcPr>
            <w:tcW w:w="1420" w:type="dxa"/>
            <w:vAlign w:val="bottom"/>
            <w:gridSpan w:val="2"/>
          </w:tcPr>
          <w:p>
            <w:pPr>
              <w:jc w:val="right"/>
              <w:ind w:right="1140"/>
              <w:spacing w:after="0"/>
              <w:rPr>
                <w:sz w:val="20"/>
                <w:szCs w:val="20"/>
                <w:color w:val="auto"/>
              </w:rPr>
            </w:pPr>
            <w:r>
              <w:rPr>
                <w:rFonts w:ascii="Arial" w:cs="Arial" w:eastAsia="Arial" w:hAnsi="Arial"/>
                <w:sz w:val="13"/>
                <w:szCs w:val="13"/>
                <w:color w:val="auto"/>
                <w:w w:val="89"/>
              </w:rPr>
              <w:t>$715</w:t>
            </w:r>
          </w:p>
        </w:tc>
        <w:tc>
          <w:tcPr>
            <w:tcW w:w="1420" w:type="dxa"/>
            <w:vAlign w:val="bottom"/>
            <w:gridSpan w:val="2"/>
          </w:tcPr>
          <w:p>
            <w:pPr>
              <w:jc w:val="right"/>
              <w:ind w:right="1140"/>
              <w:spacing w:after="0"/>
              <w:rPr>
                <w:sz w:val="20"/>
                <w:szCs w:val="20"/>
                <w:color w:val="auto"/>
              </w:rPr>
            </w:pPr>
            <w:r>
              <w:rPr>
                <w:rFonts w:ascii="Arial" w:cs="Arial" w:eastAsia="Arial" w:hAnsi="Arial"/>
                <w:sz w:val="13"/>
                <w:szCs w:val="13"/>
                <w:color w:val="auto"/>
                <w:w w:val="89"/>
              </w:rPr>
              <w:t>$250</w:t>
            </w:r>
          </w:p>
        </w:tc>
        <w:tc>
          <w:tcPr>
            <w:tcW w:w="260" w:type="dxa"/>
            <w:vAlign w:val="bottom"/>
          </w:tcPr>
          <w:p>
            <w:pPr>
              <w:jc w:val="right"/>
              <w:spacing w:after="0"/>
              <w:rPr>
                <w:sz w:val="20"/>
                <w:szCs w:val="20"/>
                <w:color w:val="auto"/>
              </w:rPr>
            </w:pPr>
            <w:r>
              <w:rPr>
                <w:rFonts w:ascii="Arial" w:cs="Arial" w:eastAsia="Arial" w:hAnsi="Arial"/>
                <w:sz w:val="13"/>
                <w:szCs w:val="13"/>
                <w:color w:val="auto"/>
                <w:w w:val="82"/>
              </w:rPr>
              <w:t>$576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1809115</wp:posOffset>
            </wp:positionH>
            <wp:positionV relativeFrom="paragraph">
              <wp:posOffset>-129540</wp:posOffset>
            </wp:positionV>
            <wp:extent cx="635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1"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i w:val="1"/>
          <w:iCs w:val="1"/>
          <w:color w:val="auto"/>
        </w:rPr>
        <w:t xml:space="preserve">Secured debt </w:t>
      </w:r>
      <w:r>
        <w:rPr>
          <w:rFonts w:ascii="Arial" w:cs="Arial" w:eastAsia="Arial" w:hAnsi="Arial"/>
          <w:sz w:val="13"/>
          <w:szCs w:val="13"/>
          <w:color w:val="auto"/>
        </w:rPr>
        <w:t>— Our debt balances are generally unsecured, except for $201 million of the tax-exempt project bonds outstanding at December 31, 2007 that were issued by certain</w:t>
      </w:r>
      <w:r>
        <w:rPr>
          <w:rFonts w:ascii="Arial" w:cs="Arial" w:eastAsia="Arial" w:hAnsi="Arial"/>
          <w:sz w:val="13"/>
          <w:szCs w:val="13"/>
          <w:i w:val="1"/>
          <w:iCs w:val="1"/>
          <w:color w:val="auto"/>
        </w:rPr>
        <w:t xml:space="preserve"> </w:t>
      </w:r>
      <w:r>
        <w:rPr>
          <w:rFonts w:ascii="Arial" w:cs="Arial" w:eastAsia="Arial" w:hAnsi="Arial"/>
          <w:sz w:val="13"/>
          <w:szCs w:val="13"/>
          <w:color w:val="auto"/>
        </w:rPr>
        <w:t>subsidiaries within our Wheelabrator Group. These bonds are secured by the related subsidiaries’ assets that have a carrying value of $447 million and the related subsidiaries’ future revenue. Additionally, our consolidated variable interest entities have $13 million of outstanding borrowings that are collateralized by certain of their assets. These assets have a carrying value of $271 million as of December 31, 2007. See Note 19 for further discussion.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Covenants</w:t>
      </w:r>
    </w:p>
    <w:p>
      <w:pPr>
        <w:spacing w:after="0" w:line="96"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Our revolving credit facility and certain other financing agreements contain financial covenants. The most restrictive of these financial covenants are contained in our revolving credit facility. The following table summarizes the requirements of these financial covenants and the results of the calculation, as defined by the revolving credit facility:</w:t>
      </w:r>
    </w:p>
    <w:p>
      <w:pPr>
        <w:spacing w:after="0" w:line="30" w:lineRule="exact"/>
        <w:rPr>
          <w:sz w:val="20"/>
          <w:szCs w:val="20"/>
          <w:color w:val="auto"/>
        </w:rPr>
      </w:pPr>
    </w:p>
    <w:tbl>
      <w:tblPr>
        <w:tblLayout w:type="fixed"/>
        <w:tblInd w:w="248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Requirement</w:t>
            </w: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5"/>
              </w:rPr>
              <w:t>December 31,</w:t>
            </w:r>
          </w:p>
        </w:tc>
        <w:tc>
          <w:tcPr>
            <w:tcW w:w="62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18"/>
        </w:trPr>
        <w:tc>
          <w:tcPr>
            <w:tcW w:w="3900" w:type="dxa"/>
            <w:vAlign w:val="bottom"/>
            <w:vMerge w:val="restart"/>
          </w:tcPr>
          <w:p>
            <w:pPr>
              <w:spacing w:after="0"/>
              <w:rPr>
                <w:sz w:val="20"/>
                <w:szCs w:val="20"/>
                <w:color w:val="auto"/>
              </w:rPr>
            </w:pPr>
            <w:r>
              <w:rPr>
                <w:rFonts w:ascii="Arial" w:cs="Arial" w:eastAsia="Arial" w:hAnsi="Arial"/>
                <w:sz w:val="10"/>
                <w:szCs w:val="10"/>
                <w:b w:val="1"/>
                <w:bCs w:val="1"/>
                <w:color w:val="auto"/>
              </w:rPr>
              <w:t>Covenant</w:t>
            </w:r>
          </w:p>
        </w:tc>
        <w:tc>
          <w:tcPr>
            <w:tcW w:w="9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per</w:t>
            </w:r>
          </w:p>
        </w:tc>
        <w:tc>
          <w:tcPr>
            <w:tcW w:w="88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900" w:type="dxa"/>
            <w:vAlign w:val="bottom"/>
            <w:vMerge w:val="continue"/>
          </w:tcPr>
          <w:p>
            <w:pPr>
              <w:spacing w:after="0"/>
              <w:rPr>
                <w:sz w:val="10"/>
                <w:szCs w:val="1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Facility</w:t>
            </w:r>
          </w:p>
        </w:tc>
        <w:tc>
          <w:tcPr>
            <w:tcW w:w="280" w:type="dxa"/>
            <w:vAlign w:val="bottom"/>
          </w:tcPr>
          <w:p>
            <w:pPr>
              <w:spacing w:after="0"/>
              <w:rPr>
                <w:sz w:val="10"/>
                <w:szCs w:val="10"/>
                <w:color w:val="auto"/>
              </w:rPr>
            </w:pP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rPr>
              <w:t>2007</w:t>
            </w:r>
          </w:p>
        </w:tc>
        <w:tc>
          <w:tcPr>
            <w:tcW w:w="240" w:type="dxa"/>
            <w:vAlign w:val="bottom"/>
          </w:tcPr>
          <w:p>
            <w:pPr>
              <w:spacing w:after="0"/>
              <w:rPr>
                <w:sz w:val="10"/>
                <w:szCs w:val="10"/>
                <w:color w:val="auto"/>
              </w:rPr>
            </w:pPr>
          </w:p>
        </w:tc>
        <w:tc>
          <w:tcPr>
            <w:tcW w:w="62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2006</w:t>
            </w:r>
          </w:p>
        </w:tc>
        <w:tc>
          <w:tcPr>
            <w:tcW w:w="0" w:type="dxa"/>
            <w:vAlign w:val="bottom"/>
          </w:tcPr>
          <w:p>
            <w:pPr>
              <w:spacing w:after="0"/>
              <w:rPr>
                <w:sz w:val="1"/>
                <w:szCs w:val="1"/>
                <w:color w:val="auto"/>
              </w:rPr>
            </w:pPr>
          </w:p>
        </w:tc>
      </w:tr>
      <w:tr>
        <w:trPr>
          <w:trHeight w:val="178"/>
        </w:trPr>
        <w:tc>
          <w:tcPr>
            <w:tcW w:w="3900" w:type="dxa"/>
            <w:vAlign w:val="bottom"/>
          </w:tcPr>
          <w:p>
            <w:pPr>
              <w:spacing w:after="0"/>
              <w:rPr>
                <w:sz w:val="20"/>
                <w:szCs w:val="20"/>
                <w:color w:val="auto"/>
              </w:rPr>
            </w:pPr>
            <w:r>
              <w:rPr>
                <w:rFonts w:ascii="Arial" w:cs="Arial" w:eastAsia="Arial" w:hAnsi="Arial"/>
                <w:sz w:val="13"/>
                <w:szCs w:val="13"/>
                <w:color w:val="auto"/>
              </w:rPr>
              <w:t>Interest coverage ratio</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&gt; 2.75 to 1</w:t>
            </w:r>
          </w:p>
        </w:tc>
        <w:tc>
          <w:tcPr>
            <w:tcW w:w="880" w:type="dxa"/>
            <w:vAlign w:val="bottom"/>
            <w:gridSpan w:val="2"/>
          </w:tcPr>
          <w:p>
            <w:pPr>
              <w:ind w:left="240"/>
              <w:spacing w:after="0"/>
              <w:rPr>
                <w:sz w:val="20"/>
                <w:szCs w:val="20"/>
                <w:color w:val="auto"/>
              </w:rPr>
            </w:pPr>
            <w:r>
              <w:rPr>
                <w:rFonts w:ascii="Arial" w:cs="Arial" w:eastAsia="Arial" w:hAnsi="Arial"/>
                <w:sz w:val="13"/>
                <w:szCs w:val="13"/>
                <w:color w:val="auto"/>
              </w:rPr>
              <w:t>4.1 to 1</w:t>
            </w:r>
          </w:p>
        </w:tc>
        <w:tc>
          <w:tcPr>
            <w:tcW w:w="620" w:type="dxa"/>
            <w:vAlign w:val="bottom"/>
          </w:tcPr>
          <w:p>
            <w:pPr>
              <w:jc w:val="right"/>
              <w:spacing w:after="0"/>
              <w:rPr>
                <w:sz w:val="20"/>
                <w:szCs w:val="20"/>
                <w:color w:val="auto"/>
              </w:rPr>
            </w:pPr>
            <w:r>
              <w:rPr>
                <w:rFonts w:ascii="Arial" w:cs="Arial" w:eastAsia="Arial" w:hAnsi="Arial"/>
                <w:sz w:val="13"/>
                <w:szCs w:val="13"/>
                <w:color w:val="auto"/>
              </w:rPr>
              <w:t>3.6 to 1</w:t>
            </w:r>
          </w:p>
        </w:tc>
        <w:tc>
          <w:tcPr>
            <w:tcW w:w="0" w:type="dxa"/>
            <w:vAlign w:val="bottom"/>
          </w:tcPr>
          <w:p>
            <w:pPr>
              <w:spacing w:after="0"/>
              <w:rPr>
                <w:sz w:val="1"/>
                <w:szCs w:val="1"/>
                <w:color w:val="auto"/>
              </w:rPr>
            </w:pPr>
          </w:p>
        </w:tc>
      </w:tr>
      <w:tr>
        <w:trPr>
          <w:trHeight w:val="165"/>
        </w:trPr>
        <w:tc>
          <w:tcPr>
            <w:tcW w:w="3900" w:type="dxa"/>
            <w:vAlign w:val="bottom"/>
          </w:tcPr>
          <w:p>
            <w:pPr>
              <w:spacing w:after="0"/>
              <w:rPr>
                <w:sz w:val="20"/>
                <w:szCs w:val="20"/>
                <w:color w:val="auto"/>
              </w:rPr>
            </w:pPr>
            <w:r>
              <w:rPr>
                <w:rFonts w:ascii="Arial" w:cs="Arial" w:eastAsia="Arial" w:hAnsi="Arial"/>
                <w:sz w:val="13"/>
                <w:szCs w:val="13"/>
                <w:color w:val="auto"/>
              </w:rPr>
              <w:t>Total debt to EBITDA</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&lt; 3.5 to 1</w:t>
            </w:r>
          </w:p>
        </w:tc>
        <w:tc>
          <w:tcPr>
            <w:tcW w:w="880" w:type="dxa"/>
            <w:vAlign w:val="bottom"/>
            <w:gridSpan w:val="2"/>
          </w:tcPr>
          <w:p>
            <w:pPr>
              <w:ind w:left="240"/>
              <w:spacing w:after="0"/>
              <w:rPr>
                <w:sz w:val="20"/>
                <w:szCs w:val="20"/>
                <w:color w:val="auto"/>
              </w:rPr>
            </w:pPr>
            <w:r>
              <w:rPr>
                <w:rFonts w:ascii="Arial" w:cs="Arial" w:eastAsia="Arial" w:hAnsi="Arial"/>
                <w:sz w:val="13"/>
                <w:szCs w:val="13"/>
                <w:color w:val="auto"/>
              </w:rPr>
              <w:t>2.4 to 1</w:t>
            </w:r>
          </w:p>
        </w:tc>
        <w:tc>
          <w:tcPr>
            <w:tcW w:w="620" w:type="dxa"/>
            <w:vAlign w:val="bottom"/>
          </w:tcPr>
          <w:p>
            <w:pPr>
              <w:jc w:val="right"/>
              <w:spacing w:after="0"/>
              <w:rPr>
                <w:sz w:val="20"/>
                <w:szCs w:val="20"/>
                <w:color w:val="auto"/>
              </w:rPr>
            </w:pPr>
            <w:r>
              <w:rPr>
                <w:rFonts w:ascii="Arial" w:cs="Arial" w:eastAsia="Arial" w:hAnsi="Arial"/>
                <w:sz w:val="13"/>
                <w:szCs w:val="13"/>
                <w:color w:val="auto"/>
              </w:rPr>
              <w:t>2.5 to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-229235</wp:posOffset>
            </wp:positionV>
            <wp:extent cx="2476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6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revolving credit facility and senior notes also contain certain restrictions intended to monitor our level of indebtedness, types of investments and net worth. We monitor our compliance with these restrictions, but do not believe that they significantly impact our ability to enter into investing or financing arrangements typical for our business. As of December 31, 2007, we were in compliance with the covenants and restrictions under all of our debt agreements.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swaps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manage the interest rate risk of our debt portfolio largely by using interest rate derivatives to achieve a desired position of fixed and floating rate debt. As of December 31, 2007, the interest payments on $2.1 billion of our fixed rate debt have been swapped to variable rates, allowing us to maintain approximately 66% of our debt at fixed interest rates and approximately 34% of our debt at variable interest rates. We do not use interest rate derivatives for trading or speculative purposes. Our significant interest rate swap agreements that were outstanding as of December 31, 2007 and 2006 are set forth in the table below (dollars in millions):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Notional</w:t>
            </w:r>
          </w:p>
        </w:tc>
        <w:tc>
          <w:tcPr>
            <w:tcW w:w="4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108"/>
        </w:trPr>
        <w:tc>
          <w:tcPr>
            <w:tcW w:w="1260" w:type="dxa"/>
            <w:vAlign w:val="bottom"/>
            <w:vMerge w:val="restart"/>
          </w:tcPr>
          <w:p>
            <w:pPr>
              <w:ind w:left="520"/>
              <w:spacing w:after="0"/>
              <w:rPr>
                <w:sz w:val="20"/>
                <w:szCs w:val="20"/>
                <w:color w:val="auto"/>
              </w:rPr>
            </w:pPr>
            <w:r>
              <w:rPr>
                <w:rFonts w:ascii="Arial" w:cs="Arial" w:eastAsia="Arial" w:hAnsi="Arial"/>
                <w:sz w:val="10"/>
                <w:szCs w:val="10"/>
                <w:b w:val="1"/>
                <w:bCs w:val="1"/>
                <w:color w:val="auto"/>
              </w:rPr>
              <w:t>As of</w:t>
            </w:r>
          </w:p>
        </w:tc>
        <w:tc>
          <w:tcPr>
            <w:tcW w:w="4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Receive</w:t>
            </w:r>
          </w:p>
        </w:tc>
        <w:tc>
          <w:tcPr>
            <w:tcW w:w="460" w:type="dxa"/>
            <w:vAlign w:val="bottom"/>
          </w:tcPr>
          <w:p>
            <w:pPr>
              <w:spacing w:after="0"/>
              <w:rPr>
                <w:sz w:val="9"/>
                <w:szCs w:val="9"/>
                <w:color w:val="auto"/>
              </w:rPr>
            </w:pPr>
          </w:p>
        </w:tc>
        <w:tc>
          <w:tcPr>
            <w:tcW w:w="15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Pay</w:t>
            </w:r>
          </w:p>
        </w:tc>
        <w:tc>
          <w:tcPr>
            <w:tcW w:w="480" w:type="dxa"/>
            <w:vAlign w:val="bottom"/>
          </w:tcPr>
          <w:p>
            <w:pPr>
              <w:spacing w:after="0"/>
              <w:rPr>
                <w:sz w:val="9"/>
                <w:szCs w:val="9"/>
                <w:color w:val="auto"/>
              </w:rPr>
            </w:pPr>
          </w:p>
        </w:tc>
        <w:tc>
          <w:tcPr>
            <w:tcW w:w="19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Maturity Date</w:t>
            </w: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jc w:val="center"/>
              <w:ind w:right="228"/>
              <w:spacing w:after="0" w:line="108" w:lineRule="exact"/>
              <w:rPr>
                <w:sz w:val="20"/>
                <w:szCs w:val="20"/>
                <w:color w:val="auto"/>
              </w:rPr>
            </w:pPr>
            <w:r>
              <w:rPr>
                <w:rFonts w:ascii="Arial" w:cs="Arial" w:eastAsia="Arial" w:hAnsi="Arial"/>
                <w:sz w:val="10"/>
                <w:szCs w:val="10"/>
                <w:b w:val="1"/>
                <w:bCs w:val="1"/>
                <w:color w:val="auto"/>
                <w:w w:val="99"/>
              </w:rPr>
              <w:t>Net</w:t>
            </w:r>
          </w:p>
        </w:tc>
        <w:tc>
          <w:tcPr>
            <w:tcW w:w="0" w:type="dxa"/>
            <w:vAlign w:val="bottom"/>
          </w:tcPr>
          <w:p>
            <w:pPr>
              <w:spacing w:after="0"/>
              <w:rPr>
                <w:sz w:val="1"/>
                <w:szCs w:val="1"/>
                <w:color w:val="auto"/>
              </w:rPr>
            </w:pPr>
          </w:p>
        </w:tc>
      </w:tr>
      <w:tr>
        <w:trPr>
          <w:trHeight w:val="125"/>
        </w:trPr>
        <w:tc>
          <w:tcPr>
            <w:tcW w:w="1260" w:type="dxa"/>
            <w:vAlign w:val="bottom"/>
            <w:tcBorders>
              <w:bottom w:val="single" w:sz="8" w:color="auto"/>
            </w:tcBorders>
            <w:vMerge w:val="continue"/>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rPr>
              <w:t>Amount</w:t>
            </w:r>
          </w:p>
        </w:tc>
        <w:tc>
          <w:tcPr>
            <w:tcW w:w="480" w:type="dxa"/>
            <w:vAlign w:val="bottom"/>
          </w:tcPr>
          <w:p>
            <w:pPr>
              <w:spacing w:after="0"/>
              <w:rPr>
                <w:sz w:val="10"/>
                <w:szCs w:val="10"/>
                <w:color w:val="auto"/>
              </w:rPr>
            </w:pPr>
          </w:p>
        </w:tc>
        <w:tc>
          <w:tcPr>
            <w:tcW w:w="1380" w:type="dxa"/>
            <w:vAlign w:val="bottom"/>
            <w:tcBorders>
              <w:bottom w:val="single" w:sz="8" w:color="auto"/>
            </w:tcBorders>
            <w:vMerge w:val="continue"/>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Borders>
              <w:bottom w:val="single" w:sz="8" w:color="auto"/>
            </w:tcBorders>
            <w:vMerge w:val="continue"/>
          </w:tcPr>
          <w:p>
            <w:pPr>
              <w:spacing w:after="0"/>
              <w:rPr>
                <w:sz w:val="10"/>
                <w:szCs w:val="10"/>
                <w:color w:val="auto"/>
              </w:rPr>
            </w:pPr>
          </w:p>
        </w:tc>
        <w:tc>
          <w:tcPr>
            <w:tcW w:w="480" w:type="dxa"/>
            <w:vAlign w:val="bottom"/>
          </w:tcPr>
          <w:p>
            <w:pPr>
              <w:spacing w:after="0"/>
              <w:rPr>
                <w:sz w:val="10"/>
                <w:szCs w:val="10"/>
                <w:color w:val="auto"/>
              </w:rPr>
            </w:pPr>
          </w:p>
        </w:tc>
        <w:tc>
          <w:tcPr>
            <w:tcW w:w="1980" w:type="dxa"/>
            <w:vAlign w:val="bottom"/>
            <w:tcBorders>
              <w:bottom w:val="single" w:sz="8" w:color="auto"/>
            </w:tcBorders>
            <w:vMerge w:val="continue"/>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9"/>
              </w:rPr>
              <w:t>Liability(a)</w:t>
            </w:r>
          </w:p>
        </w:tc>
        <w:tc>
          <w:tcPr>
            <w:tcW w:w="0" w:type="dxa"/>
            <w:vAlign w:val="bottom"/>
          </w:tcPr>
          <w:p>
            <w:pPr>
              <w:spacing w:after="0"/>
              <w:rPr>
                <w:sz w:val="1"/>
                <w:szCs w:val="1"/>
                <w:color w:val="auto"/>
              </w:rPr>
            </w:pPr>
          </w:p>
        </w:tc>
      </w:tr>
      <w:tr>
        <w:trPr>
          <w:trHeight w:val="124"/>
        </w:trPr>
        <w:tc>
          <w:tcPr>
            <w:tcW w:w="1260" w:type="dxa"/>
            <w:vAlign w:val="bottom"/>
          </w:tcPr>
          <w:p>
            <w:pPr>
              <w:spacing w:after="0"/>
              <w:rPr>
                <w:sz w:val="20"/>
                <w:szCs w:val="20"/>
                <w:color w:val="auto"/>
              </w:rPr>
            </w:pPr>
            <w:r>
              <w:rPr>
                <w:rFonts w:ascii="Arial" w:cs="Arial" w:eastAsia="Arial" w:hAnsi="Arial"/>
                <w:sz w:val="10"/>
                <w:szCs w:val="10"/>
                <w:color w:val="auto"/>
              </w:rPr>
              <w:t>December 31, 2007</w:t>
            </w:r>
          </w:p>
        </w:tc>
        <w:tc>
          <w:tcPr>
            <w:tcW w:w="1100" w:type="dxa"/>
            <w:vAlign w:val="bottom"/>
            <w:gridSpan w:val="2"/>
          </w:tcPr>
          <w:p>
            <w:pPr>
              <w:ind w:left="620"/>
              <w:spacing w:after="0"/>
              <w:rPr>
                <w:sz w:val="20"/>
                <w:szCs w:val="20"/>
                <w:color w:val="auto"/>
              </w:rPr>
            </w:pPr>
            <w:r>
              <w:rPr>
                <w:rFonts w:ascii="Arial" w:cs="Arial" w:eastAsia="Arial" w:hAnsi="Arial"/>
                <w:sz w:val="10"/>
                <w:szCs w:val="10"/>
                <w:color w:val="auto"/>
              </w:rPr>
              <w:t>$2,100</w:t>
            </w:r>
          </w:p>
        </w:tc>
        <w:tc>
          <w:tcPr>
            <w:tcW w:w="48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Arial" w:cs="Arial" w:eastAsia="Arial" w:hAnsi="Arial"/>
                <w:sz w:val="10"/>
                <w:szCs w:val="10"/>
                <w:color w:val="auto"/>
                <w:w w:val="96"/>
              </w:rPr>
              <w:t>Fixed 5.00%-7.65%</w:t>
            </w:r>
          </w:p>
        </w:tc>
        <w:tc>
          <w:tcPr>
            <w:tcW w:w="46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color w:val="auto"/>
                <w:w w:val="95"/>
              </w:rPr>
              <w:t>Floating 4.50%-9.09%</w:t>
            </w:r>
          </w:p>
        </w:tc>
        <w:tc>
          <w:tcPr>
            <w:tcW w:w="48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Arial" w:cs="Arial" w:eastAsia="Arial" w:hAnsi="Arial"/>
                <w:sz w:val="10"/>
                <w:szCs w:val="10"/>
                <w:color w:val="auto"/>
                <w:w w:val="95"/>
              </w:rPr>
              <w:t>Through December 15, 2017</w:t>
            </w:r>
          </w:p>
        </w:tc>
        <w:tc>
          <w:tcPr>
            <w:tcW w:w="7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88"/>
              <w:spacing w:after="0"/>
              <w:rPr>
                <w:sz w:val="20"/>
                <w:szCs w:val="20"/>
                <w:color w:val="auto"/>
              </w:rPr>
            </w:pPr>
            <w:r>
              <w:rPr>
                <w:rFonts w:ascii="Arial" w:cs="Arial" w:eastAsia="Arial" w:hAnsi="Arial"/>
                <w:sz w:val="10"/>
                <w:szCs w:val="10"/>
                <w:color w:val="auto"/>
              </w:rPr>
              <w:t>(28)(b)</w:t>
            </w:r>
          </w:p>
        </w:tc>
        <w:tc>
          <w:tcPr>
            <w:tcW w:w="0" w:type="dxa"/>
            <w:vAlign w:val="bottom"/>
          </w:tcPr>
          <w:p>
            <w:pPr>
              <w:spacing w:after="0"/>
              <w:rPr>
                <w:sz w:val="1"/>
                <w:szCs w:val="1"/>
                <w:color w:val="auto"/>
              </w:rPr>
            </w:pPr>
          </w:p>
        </w:tc>
      </w:tr>
      <w:tr>
        <w:trPr>
          <w:trHeight w:val="131"/>
        </w:trPr>
        <w:tc>
          <w:tcPr>
            <w:tcW w:w="1260" w:type="dxa"/>
            <w:vAlign w:val="bottom"/>
          </w:tcPr>
          <w:p>
            <w:pPr>
              <w:spacing w:after="0"/>
              <w:rPr>
                <w:sz w:val="20"/>
                <w:szCs w:val="20"/>
                <w:color w:val="auto"/>
              </w:rPr>
            </w:pPr>
            <w:r>
              <w:rPr>
                <w:rFonts w:ascii="Arial" w:cs="Arial" w:eastAsia="Arial" w:hAnsi="Arial"/>
                <w:sz w:val="10"/>
                <w:szCs w:val="10"/>
                <w:color w:val="auto"/>
              </w:rPr>
              <w:t>December 31, 2006</w:t>
            </w:r>
          </w:p>
        </w:tc>
        <w:tc>
          <w:tcPr>
            <w:tcW w:w="1100" w:type="dxa"/>
            <w:vAlign w:val="bottom"/>
            <w:gridSpan w:val="2"/>
          </w:tcPr>
          <w:p>
            <w:pPr>
              <w:ind w:left="620"/>
              <w:spacing w:after="0"/>
              <w:rPr>
                <w:sz w:val="20"/>
                <w:szCs w:val="20"/>
                <w:color w:val="auto"/>
              </w:rPr>
            </w:pPr>
            <w:r>
              <w:rPr>
                <w:rFonts w:ascii="Arial" w:cs="Arial" w:eastAsia="Arial" w:hAnsi="Arial"/>
                <w:sz w:val="10"/>
                <w:szCs w:val="10"/>
                <w:color w:val="auto"/>
              </w:rPr>
              <w:t>$2,350</w:t>
            </w:r>
          </w:p>
        </w:tc>
        <w:tc>
          <w:tcPr>
            <w:tcW w:w="48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Arial" w:cs="Arial" w:eastAsia="Arial" w:hAnsi="Arial"/>
                <w:sz w:val="10"/>
                <w:szCs w:val="10"/>
                <w:color w:val="auto"/>
                <w:w w:val="96"/>
              </w:rPr>
              <w:t>Fixed 5.00%-7.65%</w:t>
            </w:r>
          </w:p>
        </w:tc>
        <w:tc>
          <w:tcPr>
            <w:tcW w:w="460" w:type="dxa"/>
            <w:vAlign w:val="bottom"/>
          </w:tcPr>
          <w:p>
            <w:pPr>
              <w:spacing w:after="0"/>
              <w:rPr>
                <w:sz w:val="11"/>
                <w:szCs w:val="11"/>
                <w:color w:val="auto"/>
              </w:rPr>
            </w:pPr>
          </w:p>
        </w:tc>
        <w:tc>
          <w:tcPr>
            <w:tcW w:w="1580" w:type="dxa"/>
            <w:vAlign w:val="bottom"/>
          </w:tcPr>
          <w:p>
            <w:pPr>
              <w:jc w:val="center"/>
              <w:spacing w:after="0"/>
              <w:rPr>
                <w:sz w:val="20"/>
                <w:szCs w:val="20"/>
                <w:color w:val="auto"/>
              </w:rPr>
            </w:pPr>
            <w:r>
              <w:rPr>
                <w:rFonts w:ascii="Arial" w:cs="Arial" w:eastAsia="Arial" w:hAnsi="Arial"/>
                <w:sz w:val="10"/>
                <w:szCs w:val="10"/>
                <w:color w:val="auto"/>
                <w:w w:val="95"/>
              </w:rPr>
              <w:t>Floating 5.16%-9.75%</w:t>
            </w:r>
          </w:p>
        </w:tc>
        <w:tc>
          <w:tcPr>
            <w:tcW w:w="480" w:type="dxa"/>
            <w:vAlign w:val="bottom"/>
          </w:tcPr>
          <w:p>
            <w:pPr>
              <w:spacing w:after="0"/>
              <w:rPr>
                <w:sz w:val="11"/>
                <w:szCs w:val="11"/>
                <w:color w:val="auto"/>
              </w:rPr>
            </w:pPr>
          </w:p>
        </w:tc>
        <w:tc>
          <w:tcPr>
            <w:tcW w:w="1980" w:type="dxa"/>
            <w:vAlign w:val="bottom"/>
          </w:tcPr>
          <w:p>
            <w:pPr>
              <w:jc w:val="center"/>
              <w:spacing w:after="0"/>
              <w:rPr>
                <w:sz w:val="20"/>
                <w:szCs w:val="20"/>
                <w:color w:val="auto"/>
              </w:rPr>
            </w:pPr>
            <w:r>
              <w:rPr>
                <w:rFonts w:ascii="Arial" w:cs="Arial" w:eastAsia="Arial" w:hAnsi="Arial"/>
                <w:sz w:val="10"/>
                <w:szCs w:val="10"/>
                <w:color w:val="auto"/>
                <w:w w:val="95"/>
              </w:rPr>
              <w:t>Through December 15, 2017</w:t>
            </w:r>
          </w:p>
        </w:tc>
        <w:tc>
          <w:tcPr>
            <w:tcW w:w="7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88"/>
              <w:spacing w:after="0"/>
              <w:rPr>
                <w:sz w:val="20"/>
                <w:szCs w:val="20"/>
                <w:color w:val="auto"/>
              </w:rPr>
            </w:pPr>
            <w:r>
              <w:rPr>
                <w:rFonts w:ascii="Arial" w:cs="Arial" w:eastAsia="Arial" w:hAnsi="Arial"/>
                <w:sz w:val="10"/>
                <w:szCs w:val="10"/>
                <w:color w:val="auto"/>
                <w:w w:val="91"/>
              </w:rPr>
              <w:t>(118)(c)</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180" w:right="220" w:hanging="493"/>
        <w:spacing w:after="0" w:line="276" w:lineRule="auto"/>
        <w:tabs>
          <w:tab w:leader="none" w:pos="11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These interest rate derivatives qualify for hedge accounting. Therefore, the fair value adjustments to the underlying debt are deferred and recognized as an adjustment to interest expense over the remaining term of the hedged instrument.</w:t>
      </w:r>
    </w:p>
    <w:p>
      <w:pPr>
        <w:spacing w:after="0" w:line="10" w:lineRule="exact"/>
        <w:rPr>
          <w:rFonts w:ascii="Arial" w:cs="Arial" w:eastAsia="Arial" w:hAnsi="Arial"/>
          <w:sz w:val="13"/>
          <w:szCs w:val="13"/>
          <w:color w:val="auto"/>
        </w:rPr>
      </w:pPr>
    </w:p>
    <w:p>
      <w:pPr>
        <w:ind w:left="1180" w:hanging="493"/>
        <w:spacing w:after="0"/>
        <w:tabs>
          <w:tab w:leader="none" w:pos="11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fair value for these interest rate derivatives is comprised of $5 million of long-term assets, $4 million of current liabilities and $29 million of long-term liabilities.</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fair value for these interest rate derivatives is comprised of $3 million of current liabilities and $115 million of long-term liabilities.</w:t>
      </w:r>
    </w:p>
    <w:p>
      <w:pPr>
        <w:spacing w:after="0" w:line="96" w:lineRule="exact"/>
        <w:rPr>
          <w:sz w:val="20"/>
          <w:szCs w:val="20"/>
          <w:color w:val="auto"/>
        </w:rPr>
      </w:pPr>
    </w:p>
    <w:p>
      <w:pPr>
        <w:ind w:left="680" w:right="600" w:firstLine="399"/>
        <w:spacing w:after="0" w:line="276" w:lineRule="auto"/>
        <w:rPr>
          <w:sz w:val="20"/>
          <w:szCs w:val="20"/>
          <w:color w:val="auto"/>
        </w:rPr>
      </w:pPr>
      <w:r>
        <w:rPr>
          <w:rFonts w:ascii="Arial" w:cs="Arial" w:eastAsia="Arial" w:hAnsi="Arial"/>
          <w:sz w:val="13"/>
          <w:szCs w:val="13"/>
          <w:color w:val="auto"/>
        </w:rPr>
        <w:t>Fair value hedge accounting for interest rate swap contracts increased the carrying value of debt instruments by $72 million as of December 31, 2007 and $19 million as of December 31, 2006. The following table summarizes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accumulated fair value adjustments from interest rate swap agreements by underlying debt instrument category at December 31 (in millions):</w:t>
      </w:r>
    </w:p>
    <w:p>
      <w:pPr>
        <w:spacing w:after="0" w:line="91" w:lineRule="exact"/>
        <w:rPr>
          <w:sz w:val="20"/>
          <w:szCs w:val="20"/>
          <w:color w:val="auto"/>
        </w:rPr>
      </w:pPr>
    </w:p>
    <w:tbl>
      <w:tblPr>
        <w:tblLayout w:type="fixed"/>
        <w:tblInd w:w="2480" w:type="dxa"/>
        <w:tblCellMar>
          <w:top w:w="0" w:type="dxa"/>
          <w:left w:w="0" w:type="dxa"/>
          <w:bottom w:w="0" w:type="dxa"/>
          <w:right w:w="0" w:type="dxa"/>
        </w:tblCellMar>
      </w:tblPr>
      <w:tr>
        <w:trPr>
          <w:trHeight w:val="115"/>
        </w:trPr>
        <w:tc>
          <w:tcPr>
            <w:tcW w:w="5500" w:type="dxa"/>
            <w:vAlign w:val="bottom"/>
          </w:tcPr>
          <w:p>
            <w:pPr>
              <w:spacing w:after="0"/>
              <w:rPr>
                <w:sz w:val="20"/>
                <w:szCs w:val="20"/>
                <w:color w:val="auto"/>
              </w:rPr>
            </w:pPr>
            <w:r>
              <w:rPr>
                <w:rFonts w:ascii="Arial" w:cs="Arial" w:eastAsia="Arial" w:hAnsi="Arial"/>
                <w:sz w:val="10"/>
                <w:szCs w:val="10"/>
                <w:b w:val="1"/>
                <w:bCs w:val="1"/>
                <w:color w:val="auto"/>
              </w:rPr>
              <w:t>Increase (decrease) in carrying value of debt due</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5500" w:type="dxa"/>
            <w:vAlign w:val="bottom"/>
          </w:tcPr>
          <w:p>
            <w:pPr>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o hedge accounting for interest rate swaps</w:t>
            </w: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8"/>
              </w:rPr>
              <w:t>2007</w:t>
            </w:r>
          </w:p>
        </w:tc>
        <w:tc>
          <w:tcPr>
            <w:tcW w:w="240" w:type="dxa"/>
            <w:vAlign w:val="bottom"/>
          </w:tcPr>
          <w:p>
            <w:pPr>
              <w:spacing w:after="0"/>
              <w:rPr>
                <w:sz w:val="11"/>
                <w:szCs w:val="11"/>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2006</w:t>
            </w:r>
          </w:p>
        </w:tc>
        <w:tc>
          <w:tcPr>
            <w:tcW w:w="60" w:type="dxa"/>
            <w:vAlign w:val="bottom"/>
          </w:tcPr>
          <w:p>
            <w:pPr>
              <w:spacing w:after="0"/>
              <w:rPr>
                <w:sz w:val="11"/>
                <w:szCs w:val="11"/>
                <w:color w:val="auto"/>
              </w:rPr>
            </w:pPr>
          </w:p>
        </w:tc>
      </w:tr>
      <w:tr>
        <w:trPr>
          <w:trHeight w:val="29"/>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Senior notes and debentures:</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Active swap agreements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w w:val="94"/>
              </w:rPr>
              <w:t>(28)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w w:val="85"/>
              </w:rPr>
              <w:t>(118)</w:t>
            </w: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Terminated swap agreements(a)</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100</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2"/>
              </w:rPr>
              <w:t>136</w:t>
            </w:r>
          </w:p>
        </w:tc>
      </w:tr>
      <w:tr>
        <w:trPr>
          <w:trHeight w:val="20"/>
        </w:trPr>
        <w:tc>
          <w:tcPr>
            <w:tcW w:w="5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5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72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18</w:t>
            </w:r>
          </w:p>
        </w:tc>
      </w:tr>
      <w:tr>
        <w:trPr>
          <w:trHeight w:val="158"/>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Tax-exempt and project bonds:</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Terminated swap agreements(a)</w:t>
            </w:r>
          </w:p>
        </w:tc>
        <w:tc>
          <w:tcPr>
            <w:tcW w:w="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r>
      <w:tr>
        <w:trPr>
          <w:trHeight w:val="20"/>
        </w:trPr>
        <w:tc>
          <w:tcPr>
            <w:tcW w:w="5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w:t>
            </w:r>
          </w:p>
        </w:tc>
      </w:tr>
      <w:tr>
        <w:trPr>
          <w:trHeight w:val="29"/>
        </w:trPr>
        <w:tc>
          <w:tcPr>
            <w:tcW w:w="5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68580</wp:posOffset>
            </wp:positionV>
            <wp:extent cx="82359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1180" w:right="380" w:hanging="493"/>
        <w:spacing w:after="0" w:line="371" w:lineRule="auto"/>
        <w:tabs>
          <w:tab w:leader="none" w:pos="1180" w:val="left"/>
        </w:tabs>
        <w:numPr>
          <w:ilvl w:val="0"/>
          <w:numId w:val="53"/>
        </w:numPr>
        <w:rPr>
          <w:rFonts w:ascii="Arial" w:cs="Arial" w:eastAsia="Arial" w:hAnsi="Arial"/>
          <w:sz w:val="11"/>
          <w:szCs w:val="11"/>
          <w:color w:val="auto"/>
        </w:rPr>
      </w:pPr>
      <w:r>
        <w:rPr>
          <w:rFonts w:ascii="Arial" w:cs="Arial" w:eastAsia="Arial" w:hAnsi="Arial"/>
          <w:sz w:val="11"/>
          <w:szCs w:val="11"/>
          <w:color w:val="auto"/>
        </w:rPr>
        <w:t>At December 31, 2007, $33 million (on a pre-tax basis) of the carrying value of debt associated with terminated swap agreements is scheduled to be reclassified as a credit to interest expense over the next twelve months. Approximately $37 million (on a pre-tax basis) of the December 31, 2006 balance was reclassified into earnings during 2007.</w:t>
      </w:r>
    </w:p>
    <w:p>
      <w:pPr>
        <w:spacing w:after="0" w:line="12" w:lineRule="exact"/>
        <w:rPr>
          <w:sz w:val="20"/>
          <w:szCs w:val="20"/>
          <w:color w:val="auto"/>
        </w:rPr>
      </w:pPr>
    </w:p>
    <w:p>
      <w:pPr>
        <w:jc w:val="both"/>
        <w:ind w:left="680" w:right="140" w:firstLine="399"/>
        <w:spacing w:after="0" w:line="260" w:lineRule="auto"/>
        <w:rPr>
          <w:sz w:val="20"/>
          <w:szCs w:val="20"/>
          <w:color w:val="auto"/>
        </w:rPr>
      </w:pPr>
      <w:r>
        <w:rPr>
          <w:rFonts w:ascii="Arial" w:cs="Arial" w:eastAsia="Arial" w:hAnsi="Arial"/>
          <w:sz w:val="13"/>
          <w:szCs w:val="13"/>
          <w:color w:val="auto"/>
        </w:rPr>
        <w:t>Interest rate swap agreements increased net interest expense by $11 million and $4 million for the years ended December 31, 2007 and 2006, respectively, and reduced net interest expense by $39 million for the year ended December 31, 2005. The significant decline in the benefit recognized as a result of our interest rate swap agreements is largely attributable to the increase in short-term market interest rates, which drive our periodic interest obligations under these agreements. The significant terms of the interest rate contracts and the underlying debt instruments are identical and therefore no ineffectiveness has been realized.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locks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the past, we have entered into cash flow hedges to secure underlying interest rates in anticipation of senior note issuances. These hedging agreements resulted in a deferred loss, net of taxes, of $24 million at December 31, 2007 and $28 million at December 31, 2006, which is included in “Accumulated other comprehensive income.” As of December 31, 2007, $6 million (on a pre-tax basis) is scheduled to be reclassified into interest expense over the next twelve months.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60" w:type="dxa"/>
            <w:vAlign w:val="bottom"/>
          </w:tcPr>
          <w:p>
            <w:pPr>
              <w:jc w:val="right"/>
              <w:spacing w:after="0"/>
              <w:rPr>
                <w:sz w:val="20"/>
                <w:szCs w:val="20"/>
                <w:color w:val="auto"/>
              </w:rPr>
            </w:pPr>
            <w:r>
              <w:rPr>
                <w:rFonts w:ascii="Arial" w:cs="Arial" w:eastAsia="Arial" w:hAnsi="Arial"/>
                <w:sz w:val="13"/>
                <w:szCs w:val="13"/>
                <w:b w:val="1"/>
                <w:bCs w:val="1"/>
                <w:color w:val="auto"/>
                <w:w w:val="73"/>
              </w:rPr>
              <w:t>8.</w:t>
            </w:r>
          </w:p>
        </w:tc>
        <w:tc>
          <w:tcPr>
            <w:tcW w:w="6580" w:type="dxa"/>
            <w:vAlign w:val="bottom"/>
            <w:gridSpan w:val="2"/>
          </w:tcPr>
          <w:p>
            <w:pPr>
              <w:ind w:left="160"/>
              <w:spacing w:after="0"/>
              <w:rPr>
                <w:sz w:val="20"/>
                <w:szCs w:val="20"/>
                <w:color w:val="auto"/>
              </w:rPr>
            </w:pPr>
            <w:r>
              <w:rPr>
                <w:rFonts w:ascii="Arial" w:cs="Arial" w:eastAsia="Arial" w:hAnsi="Arial"/>
                <w:sz w:val="13"/>
                <w:szCs w:val="13"/>
                <w:b w:val="1"/>
                <w:bCs w:val="1"/>
                <w:color w:val="auto"/>
              </w:rPr>
              <w:t>Income Taxes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6"/>
        </w:trPr>
        <w:tc>
          <w:tcPr>
            <w:tcW w:w="160" w:type="dxa"/>
            <w:vAlign w:val="bottom"/>
          </w:tcPr>
          <w:p>
            <w:pPr>
              <w:spacing w:after="0"/>
              <w:rPr>
                <w:sz w:val="21"/>
                <w:szCs w:val="21"/>
                <w:color w:val="auto"/>
              </w:rPr>
            </w:pPr>
          </w:p>
        </w:tc>
        <w:tc>
          <w:tcPr>
            <w:tcW w:w="6580" w:type="dxa"/>
            <w:vAlign w:val="bottom"/>
            <w:gridSpan w:val="2"/>
          </w:tcPr>
          <w:p>
            <w:pPr>
              <w:ind w:left="40"/>
              <w:spacing w:after="0"/>
              <w:rPr>
                <w:sz w:val="20"/>
                <w:szCs w:val="20"/>
                <w:color w:val="auto"/>
              </w:rPr>
            </w:pPr>
            <w:r>
              <w:rPr>
                <w:rFonts w:ascii="Arial" w:cs="Arial" w:eastAsia="Arial" w:hAnsi="Arial"/>
                <w:sz w:val="13"/>
                <w:szCs w:val="13"/>
                <w:b w:val="1"/>
                <w:bCs w:val="1"/>
                <w:i w:val="1"/>
                <w:iCs w:val="1"/>
                <w:color w:val="auto"/>
              </w:rPr>
              <w:t>Provision for (benefit from) income taxes</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6"/>
        </w:trPr>
        <w:tc>
          <w:tcPr>
            <w:tcW w:w="160" w:type="dxa"/>
            <w:vAlign w:val="bottom"/>
          </w:tcPr>
          <w:p>
            <w:pPr>
              <w:spacing w:after="0"/>
              <w:rPr>
                <w:sz w:val="21"/>
                <w:szCs w:val="21"/>
                <w:color w:val="auto"/>
              </w:rPr>
            </w:pPr>
          </w:p>
        </w:tc>
        <w:tc>
          <w:tcPr>
            <w:tcW w:w="6580" w:type="dxa"/>
            <w:vAlign w:val="bottom"/>
            <w:gridSpan w:val="2"/>
          </w:tcPr>
          <w:p>
            <w:pPr>
              <w:ind w:left="240"/>
              <w:spacing w:after="0"/>
              <w:rPr>
                <w:sz w:val="20"/>
                <w:szCs w:val="20"/>
                <w:color w:val="auto"/>
              </w:rPr>
            </w:pPr>
            <w:r>
              <w:rPr>
                <w:rFonts w:ascii="Arial" w:cs="Arial" w:eastAsia="Arial" w:hAnsi="Arial"/>
                <w:sz w:val="13"/>
                <w:szCs w:val="13"/>
                <w:color w:val="auto"/>
              </w:rPr>
              <w:t>Our provision for (benefit from) income taxes consisted of the following (in millions):</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8"/>
        </w:trPr>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440" w:type="dxa"/>
            <w:vAlign w:val="bottom"/>
            <w:gridSpan w:val="6"/>
          </w:tcPr>
          <w:p>
            <w:pPr>
              <w:jc w:val="right"/>
              <w:ind w:right="140"/>
              <w:spacing w:after="0"/>
              <w:rPr>
                <w:sz w:val="20"/>
                <w:szCs w:val="20"/>
                <w:color w:val="auto"/>
              </w:rPr>
            </w:pPr>
            <w:r>
              <w:rPr>
                <w:rFonts w:ascii="Arial" w:cs="Arial" w:eastAsia="Arial" w:hAnsi="Arial"/>
                <w:sz w:val="10"/>
                <w:szCs w:val="10"/>
                <w:b w:val="1"/>
                <w:bCs w:val="1"/>
                <w:color w:val="auto"/>
                <w:w w:val="99"/>
              </w:rPr>
              <w:t>Years Ended December 31,</w:t>
            </w:r>
          </w:p>
        </w:tc>
      </w:tr>
      <w:tr>
        <w:trPr>
          <w:trHeight w:val="98"/>
        </w:trPr>
        <w:tc>
          <w:tcPr>
            <w:tcW w:w="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2007</w:t>
            </w:r>
          </w:p>
        </w:tc>
        <w:tc>
          <w:tcPr>
            <w:tcW w:w="30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2006</w:t>
            </w:r>
          </w:p>
        </w:tc>
        <w:tc>
          <w:tcPr>
            <w:tcW w:w="300" w:type="dxa"/>
            <w:vAlign w:val="bottom"/>
            <w:tcBorders>
              <w:top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2005</w:t>
            </w:r>
          </w:p>
        </w:tc>
        <w:tc>
          <w:tcPr>
            <w:tcW w:w="60" w:type="dxa"/>
            <w:vAlign w:val="bottom"/>
          </w:tcPr>
          <w:p>
            <w:pPr>
              <w:spacing w:after="0"/>
              <w:rPr>
                <w:sz w:val="8"/>
                <w:szCs w:val="8"/>
                <w:color w:val="auto"/>
              </w:rPr>
            </w:pPr>
          </w:p>
        </w:tc>
      </w:tr>
      <w:tr>
        <w:trPr>
          <w:trHeight w:val="29"/>
        </w:trPr>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940" w:type="dxa"/>
            <w:vAlign w:val="bottom"/>
          </w:tcPr>
          <w:p>
            <w:pPr>
              <w:ind w:left="140"/>
              <w:spacing w:after="0"/>
              <w:rPr>
                <w:sz w:val="20"/>
                <w:szCs w:val="20"/>
                <w:color w:val="auto"/>
              </w:rPr>
            </w:pPr>
            <w:r>
              <w:rPr>
                <w:rFonts w:ascii="Arial" w:cs="Arial" w:eastAsia="Arial" w:hAnsi="Arial"/>
                <w:sz w:val="13"/>
                <w:szCs w:val="13"/>
                <w:color w:val="auto"/>
              </w:rPr>
              <w:t>Federal</w:t>
            </w:r>
          </w:p>
        </w:tc>
        <w:tc>
          <w:tcPr>
            <w:tcW w:w="560" w:type="dxa"/>
            <w:vAlign w:val="bottom"/>
            <w:gridSpan w:val="2"/>
          </w:tcPr>
          <w:p>
            <w:pPr>
              <w:jc w:val="right"/>
              <w:ind w:right="300"/>
              <w:spacing w:after="0"/>
              <w:rPr>
                <w:sz w:val="20"/>
                <w:szCs w:val="20"/>
                <w:color w:val="auto"/>
              </w:rPr>
            </w:pPr>
            <w:r>
              <w:rPr>
                <w:rFonts w:ascii="Arial" w:cs="Arial" w:eastAsia="Arial" w:hAnsi="Arial"/>
                <w:sz w:val="13"/>
                <w:szCs w:val="13"/>
                <w:color w:val="auto"/>
                <w:w w:val="82"/>
              </w:rPr>
              <w:t>$412</w:t>
            </w:r>
          </w:p>
        </w:tc>
        <w:tc>
          <w:tcPr>
            <w:tcW w:w="580" w:type="dxa"/>
            <w:vAlign w:val="bottom"/>
            <w:gridSpan w:val="2"/>
          </w:tcPr>
          <w:p>
            <w:pPr>
              <w:jc w:val="right"/>
              <w:ind w:right="300"/>
              <w:spacing w:after="0"/>
              <w:rPr>
                <w:sz w:val="20"/>
                <w:szCs w:val="20"/>
                <w:color w:val="auto"/>
              </w:rPr>
            </w:pPr>
            <w:r>
              <w:rPr>
                <w:rFonts w:ascii="Arial" w:cs="Arial" w:eastAsia="Arial" w:hAnsi="Arial"/>
                <w:sz w:val="13"/>
                <w:szCs w:val="13"/>
                <w:color w:val="auto"/>
                <w:w w:val="89"/>
              </w:rPr>
              <w:t>$283</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w w:val="92"/>
              </w:rPr>
              <w:t>$(80)</w:t>
            </w: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33</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39</w:t>
            </w: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940" w:type="dxa"/>
            <w:vAlign w:val="bottom"/>
          </w:tcPr>
          <w:p>
            <w:pPr>
              <w:ind w:left="140"/>
              <w:spacing w:after="0"/>
              <w:rPr>
                <w:sz w:val="20"/>
                <w:szCs w:val="20"/>
                <w:color w:val="auto"/>
              </w:rPr>
            </w:pPr>
            <w:r>
              <w:rPr>
                <w:rFonts w:ascii="Arial" w:cs="Arial" w:eastAsia="Arial" w:hAnsi="Arial"/>
                <w:sz w:val="13"/>
                <w:szCs w:val="13"/>
                <w:color w:val="auto"/>
              </w:rPr>
              <w:t>Foreign</w:t>
            </w:r>
          </w:p>
        </w:tc>
        <w:tc>
          <w:tcPr>
            <w:tcW w:w="560" w:type="dxa"/>
            <w:vAlign w:val="bottom"/>
            <w:gridSpan w:val="2"/>
          </w:tcPr>
          <w:p>
            <w:pPr>
              <w:jc w:val="right"/>
              <w:ind w:right="300"/>
              <w:spacing w:after="0"/>
              <w:rPr>
                <w:sz w:val="20"/>
                <w:szCs w:val="20"/>
                <w:color w:val="auto"/>
              </w:rPr>
            </w:pPr>
            <w:r>
              <w:rPr>
                <w:rFonts w:ascii="Arial" w:cs="Arial" w:eastAsia="Arial" w:hAnsi="Arial"/>
                <w:sz w:val="13"/>
                <w:szCs w:val="13"/>
                <w:color w:val="auto"/>
              </w:rPr>
              <w:t>25</w:t>
            </w:r>
          </w:p>
        </w:tc>
        <w:tc>
          <w:tcPr>
            <w:tcW w:w="580" w:type="dxa"/>
            <w:vAlign w:val="bottom"/>
            <w:gridSpan w:val="2"/>
          </w:tcPr>
          <w:p>
            <w:pPr>
              <w:jc w:val="right"/>
              <w:ind w:right="300"/>
              <w:spacing w:after="0"/>
              <w:rPr>
                <w:sz w:val="20"/>
                <w:szCs w:val="20"/>
                <w:color w:val="auto"/>
              </w:rPr>
            </w:pPr>
            <w:r>
              <w:rPr>
                <w:rFonts w:ascii="Arial" w:cs="Arial" w:eastAsia="Arial" w:hAnsi="Arial"/>
                <w:sz w:val="13"/>
                <w:szCs w:val="13"/>
                <w:color w:val="auto"/>
              </w:rPr>
              <w:t>10</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12</w:t>
            </w:r>
          </w:p>
        </w:tc>
      </w:tr>
      <w:tr>
        <w:trPr>
          <w:trHeight w:val="20"/>
        </w:trPr>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9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470</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56"/>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940" w:type="dxa"/>
            <w:vAlign w:val="bottom"/>
          </w:tcPr>
          <w:p>
            <w:pPr>
              <w:spacing w:after="0"/>
              <w:rPr>
                <w:sz w:val="20"/>
                <w:szCs w:val="20"/>
                <w:color w:val="auto"/>
              </w:rPr>
            </w:pPr>
            <w:r>
              <w:rPr>
                <w:rFonts w:ascii="Arial" w:cs="Arial" w:eastAsia="Arial" w:hAnsi="Arial"/>
                <w:sz w:val="13"/>
                <w:szCs w:val="13"/>
                <w:color w:val="auto"/>
              </w:rPr>
              <w:t>Deferred:</w:t>
            </w:r>
          </w:p>
        </w:tc>
        <w:tc>
          <w:tcPr>
            <w:tcW w:w="2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8"/>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91</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w:t>
            </w: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940" w:type="dxa"/>
            <w:vAlign w:val="bottom"/>
          </w:tcPr>
          <w:p>
            <w:pPr>
              <w:ind w:left="140"/>
              <w:spacing w:after="0"/>
              <w:rPr>
                <w:sz w:val="20"/>
                <w:szCs w:val="20"/>
                <w:color w:val="auto"/>
              </w:rPr>
            </w:pPr>
            <w:r>
              <w:rPr>
                <w:rFonts w:ascii="Arial" w:cs="Arial" w:eastAsia="Arial" w:hAnsi="Arial"/>
                <w:sz w:val="13"/>
                <w:szCs w:val="13"/>
                <w:color w:val="auto"/>
              </w:rPr>
              <w:t>State</w:t>
            </w: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rPr>
              <w:t>(3)</w:t>
            </w: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(14)</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(22)</w:t>
            </w: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w:t>
            </w:r>
          </w:p>
        </w:tc>
      </w:tr>
      <w:tr>
        <w:trPr>
          <w:trHeight w:val="20"/>
        </w:trPr>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3"/>
                <w:szCs w:val="13"/>
                <w:color w:val="auto"/>
              </w:rPr>
              <w:t>70</w:t>
            </w: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(23)</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(61)</w:t>
            </w:r>
          </w:p>
        </w:tc>
      </w:tr>
      <w:tr>
        <w:trPr>
          <w:trHeight w:val="20"/>
        </w:trPr>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Provision for income taxes</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u w:val="single" w:color="auto"/>
                <w:color w:val="auto"/>
                <w:w w:val="82"/>
              </w:rPr>
              <w:t>$</w:t>
            </w:r>
            <w:r>
              <w:rPr>
                <w:rFonts w:ascii="Arial" w:cs="Arial" w:eastAsia="Arial" w:hAnsi="Arial"/>
                <w:sz w:val="13"/>
                <w:szCs w:val="13"/>
                <w:color w:val="auto"/>
                <w:w w:val="82"/>
              </w:rPr>
              <w:t>540</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u w:val="single" w:color="auto"/>
                <w:color w:val="auto"/>
                <w:w w:val="89"/>
              </w:rPr>
              <w:t>$</w:t>
            </w:r>
            <w:r>
              <w:rPr>
                <w:rFonts w:ascii="Arial" w:cs="Arial" w:eastAsia="Arial" w:hAnsi="Arial"/>
                <w:sz w:val="13"/>
                <w:szCs w:val="13"/>
                <w:color w:val="auto"/>
                <w:w w:val="89"/>
              </w:rPr>
              <w:t>325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w w:val="92"/>
              </w:rPr>
              <w:t>$</w:t>
            </w:r>
            <w:r>
              <w:rPr>
                <w:rFonts w:ascii="Arial" w:cs="Arial" w:eastAsia="Arial" w:hAnsi="Arial"/>
                <w:sz w:val="13"/>
                <w:szCs w:val="13"/>
                <w:color w:val="auto"/>
                <w:w w:val="92"/>
              </w:rPr>
              <w:t>(90)</w:t>
            </w:r>
          </w:p>
        </w:tc>
      </w:tr>
      <w:tr>
        <w:trPr>
          <w:trHeight w:val="29"/>
        </w:trPr>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U.S. federal statutory income tax rate is reconciled to the effective rate as follows:</w:t>
      </w:r>
    </w:p>
    <w:p>
      <w:pPr>
        <w:spacing w:after="0" w:line="98" w:lineRule="exact"/>
        <w:rPr>
          <w:sz w:val="20"/>
          <w:szCs w:val="20"/>
          <w:color w:val="auto"/>
        </w:rPr>
      </w:pPr>
    </w:p>
    <w:tbl>
      <w:tblPr>
        <w:tblLayout w:type="fixed"/>
        <w:tblInd w:w="2480" w:type="dxa"/>
        <w:tblCellMar>
          <w:top w:w="0" w:type="dxa"/>
          <w:left w:w="0" w:type="dxa"/>
          <w:bottom w:w="0" w:type="dxa"/>
          <w:right w:w="0" w:type="dxa"/>
        </w:tblCellMar>
      </w:tblPr>
      <w:tr>
        <w:trPr>
          <w:trHeight w:val="125"/>
        </w:trPr>
        <w:tc>
          <w:tcPr>
            <w:tcW w:w="4520" w:type="dxa"/>
            <w:vAlign w:val="bottom"/>
          </w:tcPr>
          <w:p>
            <w:pPr>
              <w:spacing w:after="0"/>
              <w:rPr>
                <w:sz w:val="10"/>
                <w:szCs w:val="10"/>
                <w:color w:val="auto"/>
              </w:rPr>
            </w:pPr>
          </w:p>
        </w:tc>
        <w:tc>
          <w:tcPr>
            <w:tcW w:w="1860" w:type="dxa"/>
            <w:vAlign w:val="bottom"/>
            <w:gridSpan w:val="6"/>
          </w:tcPr>
          <w:p>
            <w:pPr>
              <w:jc w:val="right"/>
              <w:ind w:right="400"/>
              <w:spacing w:after="0"/>
              <w:rPr>
                <w:sz w:val="20"/>
                <w:szCs w:val="20"/>
                <w:color w:val="auto"/>
              </w:rPr>
            </w:pPr>
            <w:r>
              <w:rPr>
                <w:rFonts w:ascii="Arial" w:cs="Arial" w:eastAsia="Arial" w:hAnsi="Arial"/>
                <w:sz w:val="10"/>
                <w:szCs w:val="10"/>
                <w:b w:val="1"/>
                <w:bCs w:val="1"/>
                <w:color w:val="auto"/>
              </w:rPr>
              <w:t>Years Ended December 31,</w:t>
            </w:r>
          </w:p>
        </w:tc>
      </w:tr>
      <w:tr>
        <w:trPr>
          <w:trHeight w:val="98"/>
        </w:trPr>
        <w:tc>
          <w:tcPr>
            <w:tcW w:w="452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300" w:type="dxa"/>
            <w:vAlign w:val="bottom"/>
            <w:tcBorders>
              <w:top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300" w:type="dxa"/>
            <w:vAlign w:val="bottom"/>
            <w:tcBorders>
              <w:top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2005</w:t>
            </w:r>
          </w:p>
        </w:tc>
        <w:tc>
          <w:tcPr>
            <w:tcW w:w="160" w:type="dxa"/>
            <w:vAlign w:val="bottom"/>
          </w:tcPr>
          <w:p>
            <w:pPr>
              <w:spacing w:after="0"/>
              <w:rPr>
                <w:sz w:val="8"/>
                <w:szCs w:val="8"/>
                <w:color w:val="auto"/>
              </w:rPr>
            </w:pPr>
          </w:p>
        </w:tc>
      </w:tr>
      <w:tr>
        <w:trPr>
          <w:trHeight w:val="29"/>
        </w:trPr>
        <w:tc>
          <w:tcPr>
            <w:tcW w:w="4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at U.S. federal statutory rate</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35.00%</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9"/>
              </w:rPr>
              <w:t>35.00%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35.00%</w:t>
            </w:r>
          </w:p>
        </w:tc>
      </w:tr>
      <w:tr>
        <w:trPr>
          <w:trHeight w:val="157"/>
        </w:trPr>
        <w:tc>
          <w:tcPr>
            <w:tcW w:w="4520" w:type="dxa"/>
            <w:vAlign w:val="bottom"/>
          </w:tcPr>
          <w:p>
            <w:pPr>
              <w:spacing w:after="0"/>
              <w:rPr>
                <w:sz w:val="20"/>
                <w:szCs w:val="20"/>
                <w:color w:val="auto"/>
              </w:rPr>
            </w:pPr>
            <w:r>
              <w:rPr>
                <w:rFonts w:ascii="Arial" w:cs="Arial" w:eastAsia="Arial" w:hAnsi="Arial"/>
                <w:sz w:val="13"/>
                <w:szCs w:val="13"/>
                <w:color w:val="auto"/>
              </w:rPr>
              <w:t>State and local income taxes, net of federal income tax benefit</w:t>
            </w: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2.69</w:t>
            </w: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2.81</w:t>
            </w: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3.15</w:t>
            </w:r>
          </w:p>
        </w:tc>
      </w:tr>
      <w:tr>
        <w:trPr>
          <w:trHeight w:val="157"/>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Non-conventional fuel tax credits</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(2.61)</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(4.57)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(12.20)</w:t>
            </w:r>
          </w:p>
        </w:tc>
      </w:tr>
      <w:tr>
        <w:trPr>
          <w:trHeight w:val="157"/>
        </w:trPr>
        <w:tc>
          <w:tcPr>
            <w:tcW w:w="4520" w:type="dxa"/>
            <w:vAlign w:val="bottom"/>
          </w:tcPr>
          <w:p>
            <w:pPr>
              <w:spacing w:after="0"/>
              <w:rPr>
                <w:sz w:val="20"/>
                <w:szCs w:val="20"/>
                <w:color w:val="auto"/>
              </w:rPr>
            </w:pPr>
            <w:r>
              <w:rPr>
                <w:rFonts w:ascii="Arial" w:cs="Arial" w:eastAsia="Arial" w:hAnsi="Arial"/>
                <w:sz w:val="13"/>
                <w:szCs w:val="13"/>
                <w:color w:val="auto"/>
              </w:rPr>
              <w:t>Taxing authority audit settlements and other tax adjustments</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(1.22)</w:t>
            </w: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(9.34)</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(33.92)</w:t>
            </w:r>
          </w:p>
        </w:tc>
      </w:tr>
      <w:tr>
        <w:trPr>
          <w:trHeight w:val="157"/>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Nondeductible costs relating to acquired intangibles</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1.11</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1.20</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0.90</w:t>
            </w:r>
          </w:p>
        </w:tc>
      </w:tr>
      <w:tr>
        <w:trPr>
          <w:trHeight w:val="157"/>
        </w:trPr>
        <w:tc>
          <w:tcPr>
            <w:tcW w:w="4520" w:type="dxa"/>
            <w:vAlign w:val="bottom"/>
          </w:tcPr>
          <w:p>
            <w:pPr>
              <w:spacing w:after="0"/>
              <w:rPr>
                <w:sz w:val="20"/>
                <w:szCs w:val="20"/>
                <w:color w:val="auto"/>
              </w:rPr>
            </w:pPr>
            <w:r>
              <w:rPr>
                <w:rFonts w:ascii="Arial" w:cs="Arial" w:eastAsia="Arial" w:hAnsi="Arial"/>
                <w:sz w:val="13"/>
                <w:szCs w:val="13"/>
                <w:color w:val="auto"/>
              </w:rPr>
              <w:t>Tax rate differential on foreign income</w:t>
            </w: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0.04</w:t>
            </w: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1.80</w:t>
            </w:r>
          </w:p>
        </w:tc>
      </w:tr>
      <w:tr>
        <w:trPr>
          <w:trHeight w:val="157"/>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Cumulative effect of change in tax rates</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(1.81)</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(1.96)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w:t>
            </w:r>
          </w:p>
        </w:tc>
      </w:tr>
      <w:tr>
        <w:trPr>
          <w:trHeight w:val="157"/>
        </w:trPr>
        <w:tc>
          <w:tcPr>
            <w:tcW w:w="4520" w:type="dxa"/>
            <w:vAlign w:val="bottom"/>
          </w:tcPr>
          <w:p>
            <w:pPr>
              <w:spacing w:after="0"/>
              <w:rPr>
                <w:sz w:val="20"/>
                <w:szCs w:val="20"/>
                <w:color w:val="auto"/>
              </w:rPr>
            </w:pPr>
            <w:r>
              <w:rPr>
                <w:rFonts w:ascii="Arial" w:cs="Arial" w:eastAsia="Arial" w:hAnsi="Arial"/>
                <w:sz w:val="13"/>
                <w:szCs w:val="13"/>
                <w:color w:val="auto"/>
              </w:rPr>
              <w:t>Other</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(1.47)</w:t>
            </w: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(1.09)</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(1.79)</w:t>
            </w:r>
          </w:p>
        </w:tc>
      </w:tr>
      <w:tr>
        <w:trPr>
          <w:trHeight w:val="20"/>
        </w:trPr>
        <w:tc>
          <w:tcPr>
            <w:tcW w:w="4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Provision for income taxes</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31.73%</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9"/>
              </w:rPr>
              <w:t>22.05%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(8.24)%</w:t>
            </w:r>
          </w:p>
        </w:tc>
      </w:tr>
      <w:tr>
        <w:trPr>
          <w:trHeight w:val="29"/>
        </w:trPr>
        <w:tc>
          <w:tcPr>
            <w:tcW w:w="45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9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comparability of our reported income taxes for the reported periods has been significantly affected by increases in our income before income taxes, tax audit settlements and non-conventional fuel tax credits, which are discussed in more detail below. For financial reporting purposes, income before income taxes showing domestic and foreign sources was as follows (in millions) for the years ended December 31, 2007, 2006 and 2005:</w:t>
      </w:r>
    </w:p>
    <w:p>
      <w:pPr>
        <w:spacing w:after="0" w:line="69" w:lineRule="exact"/>
        <w:rPr>
          <w:sz w:val="20"/>
          <w:szCs w:val="20"/>
          <w:color w:val="auto"/>
        </w:rPr>
      </w:pPr>
    </w:p>
    <w:tbl>
      <w:tblPr>
        <w:tblLayout w:type="fixed"/>
        <w:tblInd w:w="2480" w:type="dxa"/>
        <w:tblCellMar>
          <w:top w:w="0" w:type="dxa"/>
          <w:left w:w="0" w:type="dxa"/>
          <w:bottom w:w="0" w:type="dxa"/>
          <w:right w:w="0" w:type="dxa"/>
        </w:tblCellMar>
      </w:tblPr>
      <w:tr>
        <w:trPr>
          <w:trHeight w:val="125"/>
        </w:trPr>
        <w:tc>
          <w:tcPr>
            <w:tcW w:w="4740" w:type="dxa"/>
            <w:vAlign w:val="bottom"/>
          </w:tcPr>
          <w:p>
            <w:pPr>
              <w:spacing w:after="0"/>
              <w:rPr>
                <w:sz w:val="10"/>
                <w:szCs w:val="10"/>
                <w:color w:val="auto"/>
              </w:rPr>
            </w:pPr>
          </w:p>
        </w:tc>
        <w:tc>
          <w:tcPr>
            <w:tcW w:w="1640" w:type="dxa"/>
            <w:vAlign w:val="bottom"/>
            <w:gridSpan w:val="7"/>
          </w:tcPr>
          <w:p>
            <w:pPr>
              <w:jc w:val="right"/>
              <w:ind w:right="240"/>
              <w:spacing w:after="0"/>
              <w:rPr>
                <w:sz w:val="20"/>
                <w:szCs w:val="20"/>
                <w:color w:val="auto"/>
              </w:rPr>
            </w:pPr>
            <w:r>
              <w:rPr>
                <w:rFonts w:ascii="Arial" w:cs="Arial" w:eastAsia="Arial" w:hAnsi="Arial"/>
                <w:sz w:val="10"/>
                <w:szCs w:val="10"/>
                <w:b w:val="1"/>
                <w:bCs w:val="1"/>
                <w:color w:val="auto"/>
              </w:rPr>
              <w:t>Years Ended December 31,</w:t>
            </w:r>
          </w:p>
        </w:tc>
      </w:tr>
      <w:tr>
        <w:trPr>
          <w:trHeight w:val="98"/>
        </w:trPr>
        <w:tc>
          <w:tcPr>
            <w:tcW w:w="474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260" w:type="dxa"/>
            <w:vAlign w:val="bottom"/>
            <w:tcBorders>
              <w:top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rPr>
              <w:t>2006</w:t>
            </w:r>
          </w:p>
        </w:tc>
        <w:tc>
          <w:tcPr>
            <w:tcW w:w="24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2005</w:t>
            </w:r>
          </w:p>
        </w:tc>
        <w:tc>
          <w:tcPr>
            <w:tcW w:w="60" w:type="dxa"/>
            <w:vAlign w:val="bottom"/>
          </w:tcPr>
          <w:p>
            <w:pPr>
              <w:spacing w:after="0"/>
              <w:rPr>
                <w:sz w:val="8"/>
                <w:szCs w:val="8"/>
                <w:color w:val="auto"/>
              </w:rPr>
            </w:pPr>
          </w:p>
        </w:tc>
      </w:tr>
      <w:tr>
        <w:trPr>
          <w:trHeight w:val="29"/>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Domestic</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85"/>
              </w:rPr>
              <w:t>$1,605</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5"/>
              </w:rPr>
              <w:t>$1,390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957</w:t>
            </w:r>
          </w:p>
        </w:tc>
      </w:tr>
      <w:tr>
        <w:trPr>
          <w:trHeight w:val="157"/>
        </w:trPr>
        <w:tc>
          <w:tcPr>
            <w:tcW w:w="4740" w:type="dxa"/>
            <w:vAlign w:val="bottom"/>
          </w:tcPr>
          <w:p>
            <w:pPr>
              <w:spacing w:after="0"/>
              <w:rPr>
                <w:sz w:val="20"/>
                <w:szCs w:val="20"/>
                <w:color w:val="auto"/>
              </w:rPr>
            </w:pPr>
            <w:r>
              <w:rPr>
                <w:rFonts w:ascii="Arial" w:cs="Arial" w:eastAsia="Arial" w:hAnsi="Arial"/>
                <w:sz w:val="13"/>
                <w:szCs w:val="13"/>
                <w:color w:val="auto"/>
              </w:rPr>
              <w:t>Foreign</w:t>
            </w: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98</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84</w:t>
            </w:r>
          </w:p>
        </w:tc>
        <w:tc>
          <w:tcPr>
            <w:tcW w:w="80" w:type="dxa"/>
            <w:vAlign w:val="bottom"/>
          </w:tcPr>
          <w:p>
            <w:pPr>
              <w:spacing w:after="0"/>
              <w:rPr>
                <w:sz w:val="13"/>
                <w:szCs w:val="13"/>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135</w:t>
            </w:r>
          </w:p>
        </w:tc>
      </w:tr>
      <w:tr>
        <w:trPr>
          <w:trHeight w:val="20"/>
        </w:trPr>
        <w:tc>
          <w:tcPr>
            <w:tcW w:w="4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u w:val="single" w:color="auto"/>
                <w:color w:val="auto"/>
                <w:w w:val="85"/>
              </w:rPr>
              <w:t>$</w:t>
            </w:r>
            <w:r>
              <w:rPr>
                <w:rFonts w:ascii="Arial" w:cs="Arial" w:eastAsia="Arial" w:hAnsi="Arial"/>
                <w:sz w:val="13"/>
                <w:szCs w:val="13"/>
                <w:color w:val="auto"/>
                <w:w w:val="85"/>
              </w:rPr>
              <w:t>1,703</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u w:val="single" w:color="auto"/>
                <w:color w:val="auto"/>
                <w:w w:val="85"/>
              </w:rPr>
              <w:t>$</w:t>
            </w:r>
            <w:r>
              <w:rPr>
                <w:rFonts w:ascii="Arial" w:cs="Arial" w:eastAsia="Arial" w:hAnsi="Arial"/>
                <w:sz w:val="13"/>
                <w:szCs w:val="13"/>
                <w:color w:val="auto"/>
                <w:w w:val="85"/>
              </w:rPr>
              <w:t>1,474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79"/>
              </w:rPr>
              <w:t>1,092</w:t>
            </w:r>
          </w:p>
        </w:tc>
      </w:tr>
      <w:tr>
        <w:trPr>
          <w:trHeight w:val="29"/>
        </w:trPr>
        <w:tc>
          <w:tcPr>
            <w:tcW w:w="47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9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Other items that have significantly affected the comparability of our income taxes during the reported periods include (i) various state and Canadian tax rate changes, which have resulted in the revaluation of our deferred tax</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80"/>
        <w:spacing w:after="0" w:line="264" w:lineRule="auto"/>
        <w:rPr>
          <w:sz w:val="20"/>
          <w:szCs w:val="20"/>
          <w:color w:val="auto"/>
        </w:rPr>
      </w:pPr>
      <w:r>
        <w:rPr>
          <w:rFonts w:ascii="Arial" w:cs="Arial" w:eastAsia="Arial" w:hAnsi="Arial"/>
          <w:sz w:val="13"/>
          <w:szCs w:val="13"/>
          <w:color w:val="auto"/>
        </w:rPr>
        <w:t>balances; (ii) a reduction in the valuation allowance related to the expected utilization of state net operating loss and credit carryforwards; and (iii) the 2005 repatriation of net accumulated earnings and capital from certain of our Canadian subsidiaries in accordance with the American Jobs Creation Act of 2004. The impacts of these items on our reported income taxes and our effective tax rate are discussed in more detail below.</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Tax audit settlements </w:t>
      </w:r>
      <w:r>
        <w:rPr>
          <w:rFonts w:ascii="Arial" w:cs="Arial" w:eastAsia="Arial" w:hAnsi="Arial"/>
          <w:sz w:val="13"/>
          <w:szCs w:val="13"/>
          <w:color w:val="auto"/>
        </w:rPr>
        <w:t>— The Company and its subsidiaries file income tax returns in the United States and Puerto Rico, as well as various state and local jurisdictions and Canada. We</w:t>
      </w:r>
      <w:r>
        <w:rPr>
          <w:rFonts w:ascii="Arial" w:cs="Arial" w:eastAsia="Arial" w:hAnsi="Arial"/>
          <w:sz w:val="13"/>
          <w:szCs w:val="13"/>
          <w:i w:val="1"/>
          <w:iCs w:val="1"/>
          <w:color w:val="auto"/>
        </w:rPr>
        <w:t xml:space="preserve"> </w:t>
      </w:r>
      <w:r>
        <w:rPr>
          <w:rFonts w:ascii="Arial" w:cs="Arial" w:eastAsia="Arial" w:hAnsi="Arial"/>
          <w:sz w:val="13"/>
          <w:szCs w:val="13"/>
          <w:color w:val="auto"/>
        </w:rPr>
        <w:t>are currently under audit by the IRS and from time to time we are audited by other taxing authorities. Our audits are in various stages of completion.</w:t>
      </w:r>
    </w:p>
    <w:p>
      <w:pPr>
        <w:spacing w:after="0" w:line="59"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During 2007, we settled an IRS audit for the tax years 2004 and 2005 and various state tax audits, resulting in a reduction in income tax expense of $40 million, or $0.08 per diluted share. Our 2007 net income also increased by $1 million due to interest income recognized from audit settlements. During 2006 we completed the IRS audit for the years 2002 and 2003. The settlement of the IRS audit, as well as other state and foreign tax audit matters, resulted in a reduction in income tax expense (excluding the effects of related interest income) of</w:t>
      </w:r>
    </w:p>
    <w:p>
      <w:pPr>
        <w:spacing w:after="0" w:line="1" w:lineRule="exact"/>
        <w:rPr>
          <w:sz w:val="20"/>
          <w:szCs w:val="20"/>
          <w:color w:val="auto"/>
        </w:rPr>
      </w:pPr>
    </w:p>
    <w:p>
      <w:pPr>
        <w:ind w:left="680" w:right="40"/>
        <w:spacing w:after="0" w:line="256" w:lineRule="auto"/>
        <w:rPr>
          <w:sz w:val="20"/>
          <w:szCs w:val="20"/>
          <w:color w:val="auto"/>
        </w:rPr>
      </w:pPr>
      <w:r>
        <w:rPr>
          <w:rFonts w:ascii="Arial" w:cs="Arial" w:eastAsia="Arial" w:hAnsi="Arial"/>
          <w:sz w:val="13"/>
          <w:szCs w:val="13"/>
          <w:color w:val="auto"/>
        </w:rPr>
        <w:t>$149 million, or $0.27 per diluted share, for 2006. Our 2006 net income also increased by $14 million, or $9 million net of tax, principally due to interest income from audit settlements. The IRS audits for the tax years 1989 to 2001 were completed during 2005, resulting in net tax benefits of $398 million, or $0.70 per diluted share. The reduction in income taxes recognized as a result of these settlements is primarily due to the associated reduction in our long-term accrued tax liabilities. Our recorded liabilities associated with uncertain tax positions are discussed below.</w:t>
      </w:r>
    </w:p>
    <w:p>
      <w:pPr>
        <w:spacing w:after="0" w:line="7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are currently in the examination phase of an IRS audit for the years 2006 and 2007, and expect this audit to be completed within the next 12 months. Audits associated with state and local jurisdictions date back to 1999 and Canadian examinations date back to 2002.</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Non-conventional fuel tax credits </w:t>
      </w:r>
      <w:r>
        <w:rPr>
          <w:rFonts w:ascii="Arial" w:cs="Arial" w:eastAsia="Arial" w:hAnsi="Arial"/>
          <w:sz w:val="13"/>
          <w:szCs w:val="13"/>
          <w:color w:val="auto"/>
        </w:rPr>
        <w:t>— The impact of non-conventional fuel tax credits on our effective tax rate has been derived from our investments in two coal-based, synthetic fuel</w:t>
      </w:r>
      <w:r>
        <w:rPr>
          <w:rFonts w:ascii="Arial" w:cs="Arial" w:eastAsia="Arial" w:hAnsi="Arial"/>
          <w:sz w:val="13"/>
          <w:szCs w:val="13"/>
          <w:i w:val="1"/>
          <w:iCs w:val="1"/>
          <w:color w:val="auto"/>
        </w:rPr>
        <w:t xml:space="preserve"> </w:t>
      </w:r>
      <w:r>
        <w:rPr>
          <w:rFonts w:ascii="Arial" w:cs="Arial" w:eastAsia="Arial" w:hAnsi="Arial"/>
          <w:sz w:val="13"/>
          <w:szCs w:val="13"/>
          <w:color w:val="auto"/>
        </w:rPr>
        <w:t>production facilities and our landfill gas-to-energy projects. The fuel generated from the facilities and our landfill gas-to-energy projects qualified for tax credits through 2007 under Section 45K of the Internal Revenue Code.</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tax credits are subject to a phase-out if the price of crude oil exceeds an annual average price threshold determined by the Internal Revenue Service. The IRS has not yet published the phase-out percentage that must be applied to Section 45K tax credits generated in 2007. Accordingly, we have used market information for oil prices to estimate that we expect 69% of Section 45K tax credits generated in 2007 to be phased-out. The IRS establishment of the final phase-out of Section 45K credits generated during 2007 could further impact the Section 45K tax benefits we recognized for 2007. Any subsequent adjustment to the amount of realizable Section 45K credits will be reflected in our 2008 Consolidated Financial Statements.</w:t>
      </w:r>
    </w:p>
    <w:p>
      <w:pPr>
        <w:spacing w:after="0" w:line="71"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As of December 31, 2006, we had estimated that 36% of Section 45K tax credits generated during 2006 would be phased out. On April 4, 2007, the IRS established the final phase-out of Section 45K credits generated during 2006 at approximately 33%. We did not experience any phase-out of Section 45K tax credits in 2005.</w:t>
      </w:r>
    </w:p>
    <w:p>
      <w:pPr>
        <w:spacing w:after="0" w:line="59"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Our minority ownership interests in the facilities result in the recognition of our pro-rata share of the facilities’ losses, the amortization of our investments, and additional expense associated with other estimated obligations all being recorded as “Equity in net losses of unconsolidated entities” within our Consolidated Statements of Operations. We are required to pay for tax credits based on the facilities’ production, regardless of whether or not a phase-out of the tax credits is anticipated. Amounts paid to the facilities for which we do not ultimately realize a tax benefit are refundable to us, subject to certain limitations.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impact of our investments in the facilities on our Consolidated Statements of Operations (in millions):</w:t>
      </w:r>
    </w:p>
    <w:p>
      <w:pPr>
        <w:spacing w:after="0" w:line="98" w:lineRule="exact"/>
        <w:rPr>
          <w:sz w:val="20"/>
          <w:szCs w:val="20"/>
          <w:color w:val="auto"/>
        </w:rPr>
      </w:pPr>
    </w:p>
    <w:tbl>
      <w:tblPr>
        <w:tblLayout w:type="fixed"/>
        <w:tblInd w:w="2480" w:type="dxa"/>
        <w:tblCellMar>
          <w:top w:w="0" w:type="dxa"/>
          <w:left w:w="0" w:type="dxa"/>
          <w:bottom w:w="0" w:type="dxa"/>
          <w:right w:w="0" w:type="dxa"/>
        </w:tblCellMar>
      </w:tblPr>
      <w:tr>
        <w:trPr>
          <w:trHeight w:val="125"/>
        </w:trPr>
        <w:tc>
          <w:tcPr>
            <w:tcW w:w="4980" w:type="dxa"/>
            <w:vAlign w:val="bottom"/>
          </w:tcPr>
          <w:p>
            <w:pPr>
              <w:spacing w:after="0"/>
              <w:rPr>
                <w:sz w:val="10"/>
                <w:szCs w:val="10"/>
                <w:color w:val="auto"/>
              </w:rPr>
            </w:pPr>
          </w:p>
        </w:tc>
        <w:tc>
          <w:tcPr>
            <w:tcW w:w="1400" w:type="dxa"/>
            <w:vAlign w:val="bottom"/>
            <w:gridSpan w:val="7"/>
          </w:tcPr>
          <w:p>
            <w:pPr>
              <w:jc w:val="center"/>
              <w:ind w:right="40"/>
              <w:spacing w:after="0"/>
              <w:rPr>
                <w:sz w:val="20"/>
                <w:szCs w:val="20"/>
                <w:color w:val="auto"/>
              </w:rPr>
            </w:pPr>
            <w:r>
              <w:rPr>
                <w:rFonts w:ascii="Arial" w:cs="Arial" w:eastAsia="Arial" w:hAnsi="Arial"/>
                <w:sz w:val="10"/>
                <w:szCs w:val="10"/>
                <w:b w:val="1"/>
                <w:bCs w:val="1"/>
                <w:color w:val="auto"/>
                <w:w w:val="93"/>
              </w:rPr>
              <w:t>Years Ended December 31,</w:t>
            </w:r>
          </w:p>
        </w:tc>
      </w:tr>
      <w:tr>
        <w:trPr>
          <w:trHeight w:val="98"/>
        </w:trPr>
        <w:tc>
          <w:tcPr>
            <w:tcW w:w="4980" w:type="dxa"/>
            <w:vAlign w:val="bottom"/>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2007</w:t>
            </w:r>
          </w:p>
        </w:tc>
        <w:tc>
          <w:tcPr>
            <w:tcW w:w="300" w:type="dxa"/>
            <w:vAlign w:val="bottom"/>
            <w:tcBorders>
              <w:top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2006</w:t>
            </w:r>
          </w:p>
        </w:tc>
        <w:tc>
          <w:tcPr>
            <w:tcW w:w="300" w:type="dxa"/>
            <w:vAlign w:val="bottom"/>
            <w:tcBorders>
              <w:top w:val="single" w:sz="8" w:color="auto"/>
            </w:tcBorders>
          </w:tcPr>
          <w:p>
            <w:pPr>
              <w:spacing w:after="0"/>
              <w:rPr>
                <w:sz w:val="8"/>
                <w:szCs w:val="8"/>
                <w:color w:val="auto"/>
              </w:rPr>
            </w:pPr>
          </w:p>
        </w:tc>
        <w:tc>
          <w:tcPr>
            <w:tcW w:w="26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2005</w:t>
            </w:r>
          </w:p>
        </w:tc>
        <w:tc>
          <w:tcPr>
            <w:tcW w:w="60" w:type="dxa"/>
            <w:vAlign w:val="bottom"/>
          </w:tcPr>
          <w:p>
            <w:pPr>
              <w:spacing w:after="0"/>
              <w:rPr>
                <w:sz w:val="8"/>
                <w:szCs w:val="8"/>
                <w:color w:val="auto"/>
              </w:rPr>
            </w:pPr>
          </w:p>
        </w:tc>
      </w:tr>
      <w:tr>
        <w:trPr>
          <w:trHeight w:val="29"/>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7"/>
        </w:trPr>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Equity in net losses of unconsolidated entities(a)</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6"/>
              </w:rPr>
              <w:t>$ 42</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6"/>
              </w:rPr>
              <w:t>$ 41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112</w:t>
            </w:r>
          </w:p>
        </w:tc>
      </w:tr>
      <w:tr>
        <w:trPr>
          <w:trHeight w:val="157"/>
        </w:trPr>
        <w:tc>
          <w:tcPr>
            <w:tcW w:w="4980" w:type="dxa"/>
            <w:vAlign w:val="bottom"/>
          </w:tcPr>
          <w:p>
            <w:pPr>
              <w:spacing w:after="0"/>
              <w:rPr>
                <w:sz w:val="20"/>
                <w:szCs w:val="20"/>
                <w:color w:val="auto"/>
              </w:rPr>
            </w:pPr>
            <w:r>
              <w:rPr>
                <w:rFonts w:ascii="Arial" w:cs="Arial" w:eastAsia="Arial" w:hAnsi="Arial"/>
                <w:sz w:val="13"/>
                <w:szCs w:val="13"/>
                <w:color w:val="auto"/>
              </w:rPr>
              <w:t>Interest expense</w:t>
            </w:r>
          </w:p>
        </w:tc>
        <w:tc>
          <w:tcPr>
            <w:tcW w:w="540" w:type="dxa"/>
            <w:vAlign w:val="bottom"/>
            <w:gridSpan w:val="2"/>
          </w:tcPr>
          <w:p>
            <w:pPr>
              <w:jc w:val="right"/>
              <w:ind w:right="300"/>
              <w:spacing w:after="0"/>
              <w:rPr>
                <w:sz w:val="20"/>
                <w:szCs w:val="20"/>
                <w:color w:val="auto"/>
              </w:rPr>
            </w:pPr>
            <w:r>
              <w:rPr>
                <w:rFonts w:ascii="Arial" w:cs="Arial" w:eastAsia="Arial" w:hAnsi="Arial"/>
                <w:sz w:val="13"/>
                <w:szCs w:val="13"/>
                <w:color w:val="auto"/>
              </w:rPr>
              <w:t>1</w:t>
            </w:r>
          </w:p>
        </w:tc>
        <w:tc>
          <w:tcPr>
            <w:tcW w:w="540" w:type="dxa"/>
            <w:vAlign w:val="bottom"/>
            <w:gridSpan w:val="2"/>
          </w:tcPr>
          <w:p>
            <w:pPr>
              <w:jc w:val="right"/>
              <w:ind w:right="300"/>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7</w:t>
            </w:r>
          </w:p>
        </w:tc>
      </w:tr>
      <w:tr>
        <w:trPr>
          <w:trHeight w:val="20"/>
        </w:trPr>
        <w:tc>
          <w:tcPr>
            <w:tcW w:w="4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Loss before income taxes(a)</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43</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45</w:t>
            </w:r>
          </w:p>
        </w:tc>
        <w:tc>
          <w:tcPr>
            <w:tcW w:w="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119</w:t>
            </w:r>
          </w:p>
        </w:tc>
      </w:tr>
      <w:tr>
        <w:trPr>
          <w:trHeight w:val="157"/>
        </w:trPr>
        <w:tc>
          <w:tcPr>
            <w:tcW w:w="4980" w:type="dxa"/>
            <w:vAlign w:val="bottom"/>
          </w:tcPr>
          <w:p>
            <w:pPr>
              <w:spacing w:after="0"/>
              <w:rPr>
                <w:sz w:val="20"/>
                <w:szCs w:val="20"/>
                <w:color w:val="auto"/>
              </w:rPr>
            </w:pPr>
            <w:r>
              <w:rPr>
                <w:rFonts w:ascii="Arial" w:cs="Arial" w:eastAsia="Arial" w:hAnsi="Arial"/>
                <w:sz w:val="13"/>
                <w:szCs w:val="13"/>
                <w:color w:val="auto"/>
              </w:rPr>
              <w:t>Benefit from income taxes(a), (b)</w:t>
            </w:r>
          </w:p>
        </w:tc>
        <w:tc>
          <w:tcPr>
            <w:tcW w:w="540" w:type="dxa"/>
            <w:vAlign w:val="bottom"/>
            <w:gridSpan w:val="2"/>
          </w:tcPr>
          <w:p>
            <w:pPr>
              <w:jc w:val="right"/>
              <w:ind w:right="300"/>
              <w:spacing w:after="0"/>
              <w:rPr>
                <w:sz w:val="20"/>
                <w:szCs w:val="20"/>
                <w:color w:val="auto"/>
              </w:rPr>
            </w:pPr>
            <w:r>
              <w:rPr>
                <w:rFonts w:ascii="Arial" w:cs="Arial" w:eastAsia="Arial" w:hAnsi="Arial"/>
                <w:sz w:val="13"/>
                <w:szCs w:val="13"/>
                <w:color w:val="auto"/>
              </w:rPr>
              <w:t>53</w:t>
            </w:r>
          </w:p>
        </w:tc>
        <w:tc>
          <w:tcPr>
            <w:tcW w:w="540" w:type="dxa"/>
            <w:vAlign w:val="bottom"/>
            <w:gridSpan w:val="2"/>
          </w:tcPr>
          <w:p>
            <w:pPr>
              <w:jc w:val="right"/>
              <w:ind w:right="300"/>
              <w:spacing w:after="0"/>
              <w:rPr>
                <w:sz w:val="20"/>
                <w:szCs w:val="20"/>
                <w:color w:val="auto"/>
              </w:rPr>
            </w:pPr>
            <w:r>
              <w:rPr>
                <w:rFonts w:ascii="Arial" w:cs="Arial" w:eastAsia="Arial" w:hAnsi="Arial"/>
                <w:sz w:val="13"/>
                <w:szCs w:val="13"/>
                <w:color w:val="auto"/>
              </w:rPr>
              <w:t>64</w:t>
            </w:r>
          </w:p>
        </w:tc>
        <w:tc>
          <w:tcPr>
            <w:tcW w:w="6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145</w:t>
            </w:r>
          </w:p>
        </w:tc>
      </w:tr>
      <w:tr>
        <w:trPr>
          <w:trHeight w:val="20"/>
        </w:trPr>
        <w:tc>
          <w:tcPr>
            <w:tcW w:w="4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Net income(a)</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6"/>
              </w:rPr>
              <w:t>$ 10</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86"/>
              </w:rPr>
              <w:t>$ 19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w:t>
            </w:r>
          </w:p>
        </w:tc>
      </w:tr>
      <w:tr>
        <w:trPr>
          <w:trHeight w:val="29"/>
        </w:trPr>
        <w:tc>
          <w:tcPr>
            <w:tcW w:w="4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68580</wp:posOffset>
            </wp:positionV>
            <wp:extent cx="82359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1180" w:right="20" w:hanging="493"/>
        <w:spacing w:after="0" w:line="257" w:lineRule="auto"/>
        <w:tabs>
          <w:tab w:leader="none" w:pos="11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comparison of the impacts of our investments in the facilities during the periods presented have been significantly affected by the phase-out of 69% of Section 45K tax credits in 2007 and 36% in 2006. In addition, for the year ended December 31, 2006, our “Equity in net losses of unconsolidated entities” was reduced by a cumulative adjustment recorded during the second quarter of 2006, which was necessary to appropriately reflect our life-to-date obligations to fund the costs of operating the facilities and the value of our investment. We determined that the recognition of the cumulative adjustment was not material to our financial statements presented herein. Equity losses for our estimate of contractual obligations associated with the facilities’ operations and associated tax benefits were also relatively lower in 2006 due to the suspension of operations of the facilities from May 2006 to late September 2006.</w:t>
      </w:r>
    </w:p>
    <w:p>
      <w:pPr>
        <w:spacing w:after="0" w:line="22" w:lineRule="exact"/>
        <w:rPr>
          <w:rFonts w:ascii="Arial" w:cs="Arial" w:eastAsia="Arial" w:hAnsi="Arial"/>
          <w:sz w:val="13"/>
          <w:szCs w:val="13"/>
          <w:color w:val="auto"/>
        </w:rPr>
      </w:pPr>
    </w:p>
    <w:p>
      <w:pPr>
        <w:ind w:left="1180" w:right="40" w:hanging="493"/>
        <w:spacing w:after="0" w:line="276" w:lineRule="auto"/>
        <w:tabs>
          <w:tab w:leader="none" w:pos="11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benefit from income taxes attributable to the facilities includes tax credits of $37 million, $47 million and $99 million for the years ended December 31, 2007, 2006 and 2005, respectively.</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tax credits generated by our landfills are provided by our Renewable Energy Program, under which we develop, operate and promote the beneficial use of landfill gas. Our recorded taxes include benefits of $13 million, $24 million, and $34 million for the years ended December 31, 2007, 2006 and 2005, respectively, from tax credits generated by our landfill gas-to-energy projects.</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Effective state tax rate change </w:t>
      </w:r>
      <w:r>
        <w:rPr>
          <w:rFonts w:ascii="Arial" w:cs="Arial" w:eastAsia="Arial" w:hAnsi="Arial"/>
          <w:sz w:val="13"/>
          <w:szCs w:val="13"/>
          <w:color w:val="auto"/>
        </w:rPr>
        <w:t>— Our estimated effective state tax rate declined during 2006 and 2005, resulting in a net benefit of $9 million and $16 million, respectively, related to</w:t>
      </w:r>
      <w:r>
        <w:rPr>
          <w:rFonts w:ascii="Arial" w:cs="Arial" w:eastAsia="Arial" w:hAnsi="Arial"/>
          <w:sz w:val="13"/>
          <w:szCs w:val="13"/>
          <w:i w:val="1"/>
          <w:iCs w:val="1"/>
          <w:color w:val="auto"/>
        </w:rPr>
        <w:t xml:space="preserve"> </w:t>
      </w:r>
      <w:r>
        <w:rPr>
          <w:rFonts w:ascii="Arial" w:cs="Arial" w:eastAsia="Arial" w:hAnsi="Arial"/>
          <w:sz w:val="13"/>
          <w:szCs w:val="13"/>
          <w:color w:val="auto"/>
        </w:rPr>
        <w:t>the revaluation of net accumulated deferred tax liabilities. Our state estimated effective tax rate did not change in 2007; therefore no revaluation of net accumulated deferred tax liabilities was necessary in the current reporting period.</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Canada statutory tax rate change </w:t>
      </w:r>
      <w:r>
        <w:rPr>
          <w:rFonts w:ascii="Arial" w:cs="Arial" w:eastAsia="Arial" w:hAnsi="Arial"/>
          <w:sz w:val="13"/>
          <w:szCs w:val="13"/>
          <w:color w:val="auto"/>
        </w:rPr>
        <w:t>— During 2007, the Canadian federal government enacted tax rate reductions, which resulted in a $30 million tax benefit for the revaluation of our</w:t>
      </w:r>
      <w:r>
        <w:rPr>
          <w:rFonts w:ascii="Arial" w:cs="Arial" w:eastAsia="Arial" w:hAnsi="Arial"/>
          <w:sz w:val="13"/>
          <w:szCs w:val="13"/>
          <w:i w:val="1"/>
          <w:iCs w:val="1"/>
          <w:color w:val="auto"/>
        </w:rPr>
        <w:t xml:space="preserve"> </w:t>
      </w:r>
      <w:r>
        <w:rPr>
          <w:rFonts w:ascii="Arial" w:cs="Arial" w:eastAsia="Arial" w:hAnsi="Arial"/>
          <w:sz w:val="13"/>
          <w:szCs w:val="13"/>
          <w:color w:val="auto"/>
        </w:rPr>
        <w:t>deferred tax balances. During 2006, both the Canadian federal government and several provinces enacted tax rate reductions. The revaluation of our deferred tax balances for these rate changes resulted in a $20 million tax benefit for the year ended December 31, 2006. Additionally, during 2005 a provincial tax rate change in Quebec resulted in additional income tax expense of $4 million.</w:t>
      </w:r>
    </w:p>
    <w:p>
      <w:pPr>
        <w:spacing w:after="0" w:line="70"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i w:val="1"/>
          <w:iCs w:val="1"/>
          <w:color w:val="auto"/>
        </w:rPr>
        <w:t xml:space="preserve">Repatriation of earnings in foreign subsidiaries </w:t>
      </w:r>
      <w:r>
        <w:rPr>
          <w:rFonts w:ascii="Arial" w:cs="Arial" w:eastAsia="Arial" w:hAnsi="Arial"/>
          <w:sz w:val="13"/>
          <w:szCs w:val="13"/>
          <w:color w:val="auto"/>
        </w:rPr>
        <w:t>— The American Jobs Creation Act of 2004 allowed U.S. companies to repatriate earnings from their foreign subsidiaries at a</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reduced tax rate during 2005. We repatriated net accumulated earnings and capital from certain of our Canadian subsidiaries in accordance with this provision, which were previously accounted for as permanently reinvested in accordance with APB Opinion No. 23, </w:t>
      </w:r>
      <w:r>
        <w:rPr>
          <w:rFonts w:ascii="Arial" w:cs="Arial" w:eastAsia="Arial" w:hAnsi="Arial"/>
          <w:sz w:val="13"/>
          <w:szCs w:val="13"/>
          <w:i w:val="1"/>
          <w:iCs w:val="1"/>
          <w:color w:val="auto"/>
        </w:rPr>
        <w:t>Accounting for Income Taxes — Special Areas</w:t>
      </w:r>
      <w:r>
        <w:rPr>
          <w:rFonts w:ascii="Arial" w:cs="Arial" w:eastAsia="Arial" w:hAnsi="Arial"/>
          <w:sz w:val="13"/>
          <w:szCs w:val="13"/>
          <w:color w:val="auto"/>
        </w:rPr>
        <w:t>. During 2005, our Chief Executive Officer and Board of Directors approved a domestic reinvestment plan under which we repatriated $496 million of our accumulated foreign earnings and capital through cash on hand as well as debt borrowings. During 2005, we accrued $34 million in tax expense for these repatriations. The repatriation of earnings from our Canadian subsidiaries increased our 2005 effective tax rate by approximately 3.1%, which has been reflected as a component of the “Tax rate differential on foreign income” line item of the effective tax rate reconciliation provided above. During 2006, we repatriated an</w:t>
      </w: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additional $12 million of our accumulated foreign earnings resulting in an increase in tax expense of $3 million. No additional foreign earnings were repatriated during 2007.</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At December 31, 2007, remaining unremitted earnings in foreign operations were approximately $400 million, which are considered permanently invested and, therefore, no provision for U.S. income taxes has been accrued for these unremitted earnings.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Deferred tax assets (liabilities)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the net deferred tax assets (liabilities) at December 31 are as follows (in millions):</w:t>
      </w:r>
    </w:p>
    <w:p>
      <w:pPr>
        <w:spacing w:after="0" w:line="98" w:lineRule="exact"/>
        <w:rPr>
          <w:sz w:val="20"/>
          <w:szCs w:val="20"/>
          <w:color w:val="auto"/>
        </w:rPr>
      </w:pPr>
    </w:p>
    <w:tbl>
      <w:tblPr>
        <w:tblLayout w:type="fixed"/>
        <w:tblInd w:w="2480" w:type="dxa"/>
        <w:tblCellMar>
          <w:top w:w="0" w:type="dxa"/>
          <w:left w:w="0" w:type="dxa"/>
          <w:bottom w:w="0" w:type="dxa"/>
          <w:right w:w="0" w:type="dxa"/>
        </w:tblCellMar>
      </w:tblPr>
      <w:tr>
        <w:trPr>
          <w:trHeight w:val="125"/>
        </w:trPr>
        <w:tc>
          <w:tcPr>
            <w:tcW w:w="5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5"/>
          </w:tcPr>
          <w:p>
            <w:pPr>
              <w:jc w:val="right"/>
              <w:ind w:right="28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98"/>
        </w:trPr>
        <w:tc>
          <w:tcPr>
            <w:tcW w:w="52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98"/>
              </w:rPr>
              <w:t>2007</w:t>
            </w:r>
          </w:p>
        </w:tc>
        <w:tc>
          <w:tcPr>
            <w:tcW w:w="26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98"/>
              </w:rPr>
              <w:t>2006</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5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60" w:type="dxa"/>
            <w:vAlign w:val="bottom"/>
          </w:tcPr>
          <w:p>
            <w:pPr>
              <w:spacing w:after="0"/>
              <w:rPr>
                <w:sz w:val="20"/>
                <w:szCs w:val="20"/>
                <w:color w:val="auto"/>
              </w:rPr>
            </w:pPr>
            <w:r>
              <w:rPr>
                <w:rFonts w:ascii="Arial" w:cs="Arial" w:eastAsia="Arial" w:hAnsi="Arial"/>
                <w:sz w:val="13"/>
                <w:szCs w:val="13"/>
                <w:color w:val="auto"/>
              </w:rPr>
              <w:t>Net operating loss, capital loss and tax credit carryforwards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178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157"/>
        </w:trPr>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Landfill and environmental remediation liabilities</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7"/>
        </w:trPr>
        <w:tc>
          <w:tcPr>
            <w:tcW w:w="5260" w:type="dxa"/>
            <w:vAlign w:val="bottom"/>
          </w:tcPr>
          <w:p>
            <w:pPr>
              <w:spacing w:after="0"/>
              <w:rPr>
                <w:sz w:val="20"/>
                <w:szCs w:val="20"/>
                <w:color w:val="auto"/>
              </w:rPr>
            </w:pPr>
            <w:r>
              <w:rPr>
                <w:rFonts w:ascii="Arial" w:cs="Arial" w:eastAsia="Arial" w:hAnsi="Arial"/>
                <w:sz w:val="13"/>
                <w:szCs w:val="13"/>
                <w:color w:val="auto"/>
              </w:rPr>
              <w:t>Miscellaneous and other reserves</w:t>
            </w:r>
          </w:p>
        </w:tc>
        <w:tc>
          <w:tcPr>
            <w:tcW w:w="6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241</w:t>
            </w:r>
          </w:p>
        </w:tc>
        <w:tc>
          <w:tcPr>
            <w:tcW w:w="6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Subtotal</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454</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630</w:t>
            </w:r>
          </w:p>
        </w:tc>
        <w:tc>
          <w:tcPr>
            <w:tcW w:w="0" w:type="dxa"/>
            <w:vAlign w:val="bottom"/>
          </w:tcPr>
          <w:p>
            <w:pPr>
              <w:spacing w:after="0"/>
              <w:rPr>
                <w:sz w:val="1"/>
                <w:szCs w:val="1"/>
                <w:color w:val="auto"/>
              </w:rPr>
            </w:pPr>
          </w:p>
        </w:tc>
      </w:tr>
      <w:tr>
        <w:trPr>
          <w:trHeight w:val="157"/>
        </w:trPr>
        <w:tc>
          <w:tcPr>
            <w:tcW w:w="5260" w:type="dxa"/>
            <w:vAlign w:val="bottom"/>
          </w:tcPr>
          <w:p>
            <w:pPr>
              <w:spacing w:after="0"/>
              <w:rPr>
                <w:sz w:val="20"/>
                <w:szCs w:val="20"/>
                <w:color w:val="auto"/>
              </w:rPr>
            </w:pPr>
            <w:r>
              <w:rPr>
                <w:rFonts w:ascii="Arial" w:cs="Arial" w:eastAsia="Arial" w:hAnsi="Arial"/>
                <w:sz w:val="13"/>
                <w:szCs w:val="13"/>
                <w:color w:val="auto"/>
              </w:rPr>
              <w:t>Valuation allowance</w:t>
            </w:r>
          </w:p>
        </w:tc>
        <w:tc>
          <w:tcPr>
            <w:tcW w:w="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(168)</w:t>
            </w:r>
          </w:p>
        </w:tc>
        <w:tc>
          <w:tcPr>
            <w:tcW w:w="6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57"/>
        </w:trPr>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liabilities:</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60" w:type="dxa"/>
            <w:vAlign w:val="bottom"/>
          </w:tcPr>
          <w:p>
            <w:pPr>
              <w:ind w:left="140"/>
              <w:spacing w:after="0"/>
              <w:rPr>
                <w:sz w:val="20"/>
                <w:szCs w:val="20"/>
                <w:color w:val="auto"/>
              </w:rPr>
            </w:pPr>
            <w:r>
              <w:rPr>
                <w:rFonts w:ascii="Arial" w:cs="Arial" w:eastAsia="Arial" w:hAnsi="Arial"/>
                <w:sz w:val="13"/>
                <w:szCs w:val="13"/>
                <w:color w:val="auto"/>
              </w:rPr>
              <w:t>Property and equipment</w:t>
            </w:r>
          </w:p>
        </w:tc>
        <w:tc>
          <w:tcPr>
            <w:tcW w:w="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(957)</w:t>
            </w:r>
          </w:p>
        </w:tc>
        <w:tc>
          <w:tcPr>
            <w:tcW w:w="6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w w:val="92"/>
              </w:rPr>
              <w:t>(1,011)</w:t>
            </w:r>
          </w:p>
        </w:tc>
        <w:tc>
          <w:tcPr>
            <w:tcW w:w="0" w:type="dxa"/>
            <w:vAlign w:val="bottom"/>
          </w:tcPr>
          <w:p>
            <w:pPr>
              <w:spacing w:after="0"/>
              <w:rPr>
                <w:sz w:val="1"/>
                <w:szCs w:val="1"/>
                <w:color w:val="auto"/>
              </w:rPr>
            </w:pPr>
          </w:p>
        </w:tc>
      </w:tr>
      <w:tr>
        <w:trPr>
          <w:trHeight w:val="157"/>
        </w:trPr>
        <w:tc>
          <w:tcPr>
            <w:tcW w:w="52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Goodwill and other intangibles</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(689)</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(614)</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260"/>
              <w:spacing w:after="0"/>
              <w:rPr>
                <w:sz w:val="20"/>
                <w:szCs w:val="20"/>
                <w:color w:val="auto"/>
              </w:rPr>
            </w:pPr>
            <w:r>
              <w:rPr>
                <w:rFonts w:ascii="Arial" w:cs="Arial" w:eastAsia="Arial" w:hAnsi="Arial"/>
                <w:sz w:val="13"/>
                <w:szCs w:val="13"/>
                <w:color w:val="auto"/>
              </w:rPr>
              <w:t>Net deferred tax liabilities</w:t>
            </w: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6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w w:val="92"/>
              </w:rPr>
              <w:t>(1,360)</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w w:val="92"/>
              </w:rPr>
              <w:t>(1,283)</w:t>
            </w:r>
          </w:p>
        </w:tc>
        <w:tc>
          <w:tcPr>
            <w:tcW w:w="0" w:type="dxa"/>
            <w:vAlign w:val="bottom"/>
          </w:tcPr>
          <w:p>
            <w:pPr>
              <w:spacing w:after="0"/>
              <w:rPr>
                <w:sz w:val="1"/>
                <w:szCs w:val="1"/>
                <w:color w:val="auto"/>
              </w:rPr>
            </w:pPr>
          </w:p>
        </w:tc>
      </w:tr>
      <w:tr>
        <w:trPr>
          <w:trHeight w:val="30"/>
        </w:trPr>
        <w:tc>
          <w:tcPr>
            <w:tcW w:w="5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At December 31, 2007 we had $27 million of federal net operating loss, or NOL, carryforwards, $2.0 billion of state NOL carryforwards, and $13 million of Canadian NOL carryforwards. The federal and state NOL carryforwards have expiration dates through the year 2027. The Canadian NOL carryforwards have the following expiry: $11 million in 2009 and $2 million in 2015. In addition, we have $42 million of state tax credit carryforwards at December 31, 2007.</w:t>
      </w:r>
    </w:p>
    <w:p>
      <w:pPr>
        <w:spacing w:after="0" w:line="67"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have established valuation allowances for uncertainties in realizing the benefit of tax loss and credit carryforwards and other deferred tax assets. While we expect to realize the deferred tax assets, net of the valuation allowances, changes in estimates of future taxable income or in tax laws may alter this expectation. The valuation allowance decreased $120 million in 2007. We realized a $9 million state tax benefit due to a reduction in the valuation allowance related to the expected utilization of state NOL and credit carryforwards. The remaining reduction in our valuation allowance was offset by changes in our gross deferred tax assets due to changes in state NOL and credit carryforwards and our adoption of FIN 48.</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Liabilities for uncertain tax positions</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As discussed in Note 2, we adopted FIN 48 and FSP No. 48-1 effective January 1, 2007. As a result of both of these adoptions, we recognized, as a cumulative effect of change in accounting principle, a $28 million increase in our liabilities for unrecognized tax benefits, a $32 million increase in our non-current deferred tax assets and a $4 million increase in our beginning retained earnings.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Upon adoption of FIN 48 and FSP No. 48-1, our income tax liabilities as of January 1, 2007 included a total of $101 million for unrecognized tax benefits and $16 million of related accrued interest. A reconciliation of the beginning and ending amount of unrecognized tax benefits, including accrued interest, is as follows (in millions):</w:t>
      </w:r>
    </w:p>
    <w:p>
      <w:pPr>
        <w:spacing w:after="0" w:line="78" w:lineRule="exact"/>
        <w:rPr>
          <w:sz w:val="20"/>
          <w:szCs w:val="20"/>
          <w:color w:val="auto"/>
        </w:rPr>
      </w:pPr>
    </w:p>
    <w:tbl>
      <w:tblPr>
        <w:tblLayout w:type="fixed"/>
        <w:tblInd w:w="2480" w:type="dxa"/>
        <w:tblCellMar>
          <w:top w:w="0" w:type="dxa"/>
          <w:left w:w="0" w:type="dxa"/>
          <w:bottom w:w="0" w:type="dxa"/>
          <w:right w:w="0" w:type="dxa"/>
        </w:tblCellMar>
      </w:tblPr>
      <w:tr>
        <w:trPr>
          <w:trHeight w:val="157"/>
        </w:trPr>
        <w:tc>
          <w:tcPr>
            <w:tcW w:w="606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 2007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$117</w:t>
            </w:r>
          </w:p>
        </w:tc>
      </w:tr>
      <w:tr>
        <w:trPr>
          <w:trHeight w:val="157"/>
        </w:trPr>
        <w:tc>
          <w:tcPr>
            <w:tcW w:w="6060" w:type="dxa"/>
            <w:vAlign w:val="bottom"/>
          </w:tcPr>
          <w:p>
            <w:pPr>
              <w:ind w:left="140"/>
              <w:spacing w:after="0"/>
              <w:rPr>
                <w:sz w:val="20"/>
                <w:szCs w:val="20"/>
                <w:color w:val="auto"/>
              </w:rPr>
            </w:pPr>
            <w:r>
              <w:rPr>
                <w:rFonts w:ascii="Arial" w:cs="Arial" w:eastAsia="Arial" w:hAnsi="Arial"/>
                <w:sz w:val="13"/>
                <w:szCs w:val="13"/>
                <w:color w:val="auto"/>
              </w:rPr>
              <w:t>Additions based on tax positions related to the current year</w:t>
            </w:r>
          </w:p>
        </w:tc>
        <w:tc>
          <w:tcPr>
            <w:tcW w:w="260" w:type="dxa"/>
            <w:vAlign w:val="bottom"/>
          </w:tcPr>
          <w:p>
            <w:pPr>
              <w:jc w:val="right"/>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3"/>
                <w:szCs w:val="13"/>
                <w:color w:val="auto"/>
              </w:rPr>
            </w:pPr>
          </w:p>
        </w:tc>
      </w:tr>
      <w:tr>
        <w:trPr>
          <w:trHeight w:val="157"/>
        </w:trPr>
        <w:tc>
          <w:tcPr>
            <w:tcW w:w="6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Additions related to tax positions of prior years</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60" w:type="dxa"/>
            <w:vAlign w:val="bottom"/>
            <w:shd w:val="clear" w:color="auto" w:fill="CCEEFF"/>
          </w:tcPr>
          <w:p>
            <w:pPr>
              <w:spacing w:after="0"/>
              <w:rPr>
                <w:sz w:val="13"/>
                <w:szCs w:val="13"/>
                <w:color w:val="auto"/>
              </w:rPr>
            </w:pPr>
          </w:p>
        </w:tc>
      </w:tr>
      <w:tr>
        <w:trPr>
          <w:trHeight w:val="157"/>
        </w:trPr>
        <w:tc>
          <w:tcPr>
            <w:tcW w:w="6060" w:type="dxa"/>
            <w:vAlign w:val="bottom"/>
          </w:tcPr>
          <w:p>
            <w:pPr>
              <w:ind w:left="140"/>
              <w:spacing w:after="0"/>
              <w:rPr>
                <w:sz w:val="20"/>
                <w:szCs w:val="20"/>
                <w:color w:val="auto"/>
              </w:rPr>
            </w:pPr>
            <w:r>
              <w:rPr>
                <w:rFonts w:ascii="Arial" w:cs="Arial" w:eastAsia="Arial" w:hAnsi="Arial"/>
                <w:sz w:val="13"/>
                <w:szCs w:val="13"/>
                <w:color w:val="auto"/>
              </w:rPr>
              <w:t>Accrued interest</w:t>
            </w:r>
          </w:p>
        </w:tc>
        <w:tc>
          <w:tcPr>
            <w:tcW w:w="260" w:type="dxa"/>
            <w:vAlign w:val="bottom"/>
          </w:tcPr>
          <w:p>
            <w:pPr>
              <w:jc w:val="right"/>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3"/>
                <w:szCs w:val="13"/>
                <w:color w:val="auto"/>
              </w:rPr>
            </w:pPr>
          </w:p>
        </w:tc>
      </w:tr>
      <w:tr>
        <w:trPr>
          <w:trHeight w:val="157"/>
        </w:trPr>
        <w:tc>
          <w:tcPr>
            <w:tcW w:w="6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Reductions for tax positions of prior years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57"/>
        </w:trPr>
        <w:tc>
          <w:tcPr>
            <w:tcW w:w="6060" w:type="dxa"/>
            <w:vAlign w:val="bottom"/>
          </w:tcPr>
          <w:p>
            <w:pPr>
              <w:ind w:left="140"/>
              <w:spacing w:after="0"/>
              <w:rPr>
                <w:sz w:val="20"/>
                <w:szCs w:val="20"/>
                <w:color w:val="auto"/>
              </w:rPr>
            </w:pPr>
            <w:r>
              <w:rPr>
                <w:rFonts w:ascii="Arial" w:cs="Arial" w:eastAsia="Arial" w:hAnsi="Arial"/>
                <w:sz w:val="13"/>
                <w:szCs w:val="13"/>
                <w:color w:val="auto"/>
              </w:rPr>
              <w:t>Settlements</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(26)</w:t>
            </w:r>
          </w:p>
        </w:tc>
      </w:tr>
      <w:tr>
        <w:trPr>
          <w:trHeight w:val="157"/>
        </w:trPr>
        <w:tc>
          <w:tcPr>
            <w:tcW w:w="6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Lapse of statute of limitations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6"/>
        </w:trPr>
        <w:tc>
          <w:tcPr>
            <w:tcW w:w="6060" w:type="dxa"/>
            <w:vAlign w:val="bottom"/>
          </w:tcPr>
          <w:p>
            <w:pPr>
              <w:spacing w:after="0"/>
              <w:rPr>
                <w:sz w:val="20"/>
                <w:szCs w:val="20"/>
                <w:color w:val="auto"/>
              </w:rPr>
            </w:pPr>
            <w:r>
              <w:rPr>
                <w:rFonts w:ascii="Arial" w:cs="Arial" w:eastAsia="Arial" w:hAnsi="Arial"/>
                <w:sz w:val="13"/>
                <w:szCs w:val="13"/>
                <w:color w:val="auto"/>
              </w:rPr>
              <w:t>Balance at December 31, 2007</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u w:val="single" w:color="auto"/>
                <w:color w:val="auto"/>
                <w:w w:val="82"/>
              </w:rPr>
              <w:t>$</w:t>
            </w:r>
            <w:r>
              <w:rPr>
                <w:rFonts w:ascii="Arial" w:cs="Arial" w:eastAsia="Arial" w:hAnsi="Arial"/>
                <w:sz w:val="13"/>
                <w:szCs w:val="13"/>
                <w:color w:val="auto"/>
                <w:w w:val="82"/>
              </w:rPr>
              <w:t>102</w:t>
            </w:r>
          </w:p>
        </w:tc>
        <w:tc>
          <w:tcPr>
            <w:tcW w:w="60" w:type="dxa"/>
            <w:vAlign w:val="bottom"/>
          </w:tcPr>
          <w:p>
            <w:pPr>
              <w:spacing w:after="0"/>
              <w:rPr>
                <w:sz w:val="14"/>
                <w:szCs w:val="14"/>
                <w:color w:val="auto"/>
              </w:rPr>
            </w:pPr>
          </w:p>
        </w:tc>
      </w:tr>
    </w:tbl>
    <w:p>
      <w:pPr>
        <w:spacing w:after="0" w:line="9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These liabilities are primarily included as a component of long-term “Other liabilities” in our Consolidated Balance Sheet because the Company generally does not anticipate that settlement of the liabilities will require payment of cash within the next twelve months. As of December 31, 2007, $72 million of unrecognized tax benefits, if recognized in future periods, would impact our effective tax rate.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recognize interest expense related to unrecognized tax benefits in tax expense. During the years ended December 31, 2007, 2006 and 2005 we recognized approximately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 million, $7 million and $18 million, respectively, of such interest expense as a component of our “Provision for (benefit from) income taxes” We had approximately $13 million and</w:t>
      </w:r>
    </w:p>
    <w:p>
      <w:pPr>
        <w:spacing w:after="0" w:line="19"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$16 million of accrued interest in our Consolidated Balance Sheet as of December 31, 2007 and 2006, respectively. We do not have any accrued liabilities or expense for penalties related to unrecognized tax benefits for the years ended December 31, 2007, 2006 and 2005.</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anticipate that approximately $29 million of liabilities for unrecognized tax benefits, including accrued interest, and $8 million of related deferred tax assets may be reversed within the next 12 months. The anticipated reversals are primarily related to state tax items, none of which are material, and are expected to result from audit settlements or the expiration of the applicable statute of limitations period.</w:t>
      </w:r>
    </w:p>
    <w:p>
      <w:pPr>
        <w:spacing w:after="0" w:line="142" w:lineRule="exact"/>
        <w:rPr>
          <w:sz w:val="20"/>
          <w:szCs w:val="20"/>
          <w:color w:val="auto"/>
        </w:rPr>
      </w:pPr>
    </w:p>
    <w:p>
      <w:pPr>
        <w:ind w:left="1000" w:hanging="313"/>
        <w:spacing w:after="0"/>
        <w:tabs>
          <w:tab w:leader="none" w:pos="100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Defined contribution plans — </w:t>
      </w:r>
      <w:r>
        <w:rPr>
          <w:rFonts w:ascii="Arial" w:cs="Arial" w:eastAsia="Arial" w:hAnsi="Arial"/>
          <w:sz w:val="13"/>
          <w:szCs w:val="13"/>
          <w:color w:val="auto"/>
        </w:rPr>
        <w:t>Our Waste Management Retirement Savings Plan covers employees (except those working subject to collective bargaining agreements, which do not</w:t>
      </w:r>
      <w:r>
        <w:rPr>
          <w:rFonts w:ascii="Arial" w:cs="Arial" w:eastAsia="Arial" w:hAnsi="Arial"/>
          <w:sz w:val="13"/>
          <w:szCs w:val="13"/>
          <w:i w:val="1"/>
          <w:iCs w:val="1"/>
          <w:color w:val="auto"/>
        </w:rPr>
        <w:t xml:space="preserve"> </w:t>
      </w:r>
      <w:r>
        <w:rPr>
          <w:rFonts w:ascii="Arial" w:cs="Arial" w:eastAsia="Arial" w:hAnsi="Arial"/>
          <w:sz w:val="13"/>
          <w:szCs w:val="13"/>
          <w:color w:val="auto"/>
        </w:rPr>
        <w:t>provide for coverage under such plans) following a 90-day waiting period after hire. Eligible employees may contribute as much as 25% of their annual compensation under the Savings Plan. All employee contributions are subject to annual contribution limitations established by the IRS. Under the Savings Plan, we match, in cash, 100% of employee contributions on the first 3% of their eligible compensation and match 50% of employee contributions on the next 3% of their eligible compensation, resulting in a maximum match of 4.5%. Both employee and company contributions vest immediately. Charges to “Operating” and “Selling, general and administrative” expenses for our defined contribution plans were $54 million in 2007, $51 million in 2006 and $48 million in 2005.</w:t>
      </w:r>
    </w:p>
    <w:p>
      <w:pPr>
        <w:spacing w:after="0" w:line="72" w:lineRule="exact"/>
        <w:rPr>
          <w:sz w:val="20"/>
          <w:szCs w:val="20"/>
          <w:color w:val="auto"/>
        </w:rPr>
      </w:pPr>
    </w:p>
    <w:p>
      <w:pPr>
        <w:jc w:val="both"/>
        <w:ind w:left="680" w:right="340" w:firstLine="399"/>
        <w:spacing w:after="0" w:line="334" w:lineRule="auto"/>
        <w:rPr>
          <w:sz w:val="20"/>
          <w:szCs w:val="20"/>
          <w:color w:val="auto"/>
        </w:rPr>
      </w:pPr>
      <w:r>
        <w:rPr>
          <w:rFonts w:ascii="Arial" w:cs="Arial" w:eastAsia="Arial" w:hAnsi="Arial"/>
          <w:sz w:val="11"/>
          <w:szCs w:val="11"/>
          <w:i w:val="1"/>
          <w:iCs w:val="1"/>
          <w:color w:val="auto"/>
        </w:rPr>
        <w:t xml:space="preserve">Defined benefit plans — </w:t>
      </w:r>
      <w:r>
        <w:rPr>
          <w:rFonts w:ascii="Arial" w:cs="Arial" w:eastAsia="Arial" w:hAnsi="Arial"/>
          <w:sz w:val="11"/>
          <w:szCs w:val="11"/>
          <w:color w:val="auto"/>
        </w:rPr>
        <w:t>Certain of the Company’s subsidiaries sponsor pension plans that cover employees not covered by the Savings Plan. These employees are members of</w:t>
      </w:r>
      <w:r>
        <w:rPr>
          <w:rFonts w:ascii="Arial" w:cs="Arial" w:eastAsia="Arial" w:hAnsi="Arial"/>
          <w:sz w:val="11"/>
          <w:szCs w:val="11"/>
          <w:i w:val="1"/>
          <w:iCs w:val="1"/>
          <w:color w:val="auto"/>
        </w:rPr>
        <w:t xml:space="preserve"> </w:t>
      </w:r>
      <w:r>
        <w:rPr>
          <w:rFonts w:ascii="Arial" w:cs="Arial" w:eastAsia="Arial" w:hAnsi="Arial"/>
          <w:sz w:val="11"/>
          <w:szCs w:val="11"/>
          <w:color w:val="auto"/>
        </w:rPr>
        <w:t>collective bargaining units. In addition, Wheelabrator Technologies Inc., a wholly-owned subsidiary, sponsors a pension plan for its former executives and former Board members. The combined benefit obligation of these pension plans is $63 million as of December 31, 2007. These plans have approximately $53 million of plan assets as of December 31, 2007.</w:t>
      </w:r>
    </w:p>
    <w:p>
      <w:pPr>
        <w:spacing w:after="0" w:line="32"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 addition, Waste Management Holdings, Inc. and certain of its subsidiaries provided post-retirement health care and other benefits to eligible employees. In conjunction with our acquisition of WM Holdings in July 1998, we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limited participation in these plans to participating retired employees as of December 31, 1998. The unfunded benefit obligation for these plans was $58 million at December 31, 2007.</w:t>
      </w:r>
    </w:p>
    <w:p>
      <w:pPr>
        <w:spacing w:after="0" w:line="10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accrued benefit liabilities for our defined benefit pension and other post-retirement plans are $68 million as of December 31, 2007 and are included as a component of “Accrued liabilities” in our Consolidated Balance Sheet.</w:t>
      </w:r>
    </w:p>
    <w:p>
      <w:pPr>
        <w:spacing w:after="0" w:line="5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addition, certain of our subsidiaries participate in various multi-employer employee benefit and pension plans covering union employees not covered under other pension plans. These multi-employer plans are generally defined contribution plans. Specific benefit levels provided by union pension plans are not negotiated with or known by the employer contributors. Additionally, we have one instance of a site-specific plan for employees not covered under other plans. The projected benefit obligation, plan assets and unfunded liability of the multi-employer pension plans and the site specific plan are not material. Contributions of $33 million in 2007, $37 million in 2006 and $38 million in 2005 were charged to operations for those subsidiaries’ defined benefit and contribution plans.</w:t>
      </w:r>
    </w:p>
    <w:p>
      <w:pPr>
        <w:spacing w:after="0" w:line="146" w:lineRule="exact"/>
        <w:rPr>
          <w:sz w:val="20"/>
          <w:szCs w:val="20"/>
          <w:color w:val="auto"/>
        </w:rPr>
      </w:pPr>
    </w:p>
    <w:p>
      <w:pPr>
        <w:ind w:left="1180" w:hanging="493"/>
        <w:spacing w:after="0"/>
        <w:tabs>
          <w:tab w:leader="none" w:pos="118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Financial instruments </w:t>
      </w:r>
      <w:r>
        <w:rPr>
          <w:rFonts w:ascii="Arial" w:cs="Arial" w:eastAsia="Arial" w:hAnsi="Arial"/>
          <w:sz w:val="13"/>
          <w:szCs w:val="13"/>
          <w:color w:val="auto"/>
        </w:rPr>
        <w:t>— We have obtained letters of credit, performance bonds and insurance policies and have established trust funds and issued financial guarantees to support tax-exempt bonds, contracts, performance of landfill closure and post-closure requirements, environmental remediation, and other obligations.</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Historically, our revolving credit facilities have been used to obtain letters of credit to support our bonding and financial assurance needs. We also have letter of credit and term loan agreements and a letter of credit facility that were established to provide us with additional sources of capacity from which we may obtain letters of credit. These facilities and agreements are discussed further in Note 7. We obtain surety bonds and insurance policies from two entities in which we have a non-controlling financial interest. We also obtain insurance from a wholly-owned insurance company, the sole business of which is to issue policies for the parent holding company and its other subsidiaries, to secure such performance obligations. In those instances where our use of captive insurance is not allowed, we generally have available alternative bonding mechanisms.</w:t>
      </w:r>
    </w:p>
    <w:p>
      <w:pPr>
        <w:spacing w:after="0" w:line="55"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Because virtually no claims have been made against the financial instruments we use to support our obligations, and considering our current financial position, 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7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Insurance </w:t>
      </w:r>
      <w:r>
        <w:rPr>
          <w:rFonts w:ascii="Arial" w:cs="Arial" w:eastAsia="Arial" w:hAnsi="Arial"/>
          <w:sz w:val="13"/>
          <w:szCs w:val="13"/>
          <w:color w:val="auto"/>
        </w:rPr>
        <w:t>— We carry insurance coverage for protection of our assets and operations from certain risks including automobile liability, general liability, real and personal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were unable to meet their commitments on a timely basis.</w:t>
      </w:r>
    </w:p>
    <w:p>
      <w:pPr>
        <w:spacing w:after="0" w:line="70"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We have retained a significant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the assumptions used. As of December 31, 2007, our general liability, workers’ compensation and auto liability insurance programs carry self-insurance exposures of up to $2.5 million, $1.5 million and $1 million per incident, respectively. Effective January 1, 2008, we increased the per incident deductible of our worker’s compensation insurance program to $5 million. Self-insurance claims reserves acquired as part of our acquisition of WM Holdings in July 1998 were discounted at 4.0% at December 31, 2007 and 4.65% at December 31, 2006. The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changes to our net insurance liabilities for the years ended December 31, 2006 and 2007 are summarized below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Gross Claims</w:t>
            </w:r>
          </w:p>
        </w:tc>
        <w:tc>
          <w:tcPr>
            <w:tcW w:w="200" w:type="dxa"/>
            <w:vAlign w:val="bottom"/>
          </w:tcPr>
          <w:p>
            <w:pPr>
              <w:spacing w:after="0"/>
              <w:rPr>
                <w:sz w:val="10"/>
                <w:szCs w:val="10"/>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Estimated Insurance</w:t>
            </w:r>
          </w:p>
        </w:tc>
        <w:tc>
          <w:tcPr>
            <w:tcW w:w="12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Net Claims</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Liability</w:t>
            </w:r>
          </w:p>
        </w:tc>
        <w:tc>
          <w:tcPr>
            <w:tcW w:w="200" w:type="dxa"/>
            <w:vAlign w:val="bottom"/>
          </w:tcPr>
          <w:p>
            <w:pPr>
              <w:spacing w:after="0"/>
              <w:rPr>
                <w:sz w:val="10"/>
                <w:szCs w:val="10"/>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0"/>
                <w:szCs w:val="10"/>
                <w:b w:val="1"/>
                <w:bCs w:val="1"/>
                <w:color w:val="auto"/>
              </w:rPr>
              <w:t>Recoveries(a)</w:t>
            </w:r>
          </w:p>
        </w:tc>
        <w:tc>
          <w:tcPr>
            <w:tcW w:w="120" w:type="dxa"/>
            <w:vAlign w:val="bottom"/>
          </w:tcPr>
          <w:p>
            <w:pPr>
              <w:spacing w:after="0"/>
              <w:rPr>
                <w:sz w:val="10"/>
                <w:szCs w:val="1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Liability</w:t>
            </w: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681</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Self-insurance expense (benefit)</w:t>
            </w:r>
          </w:p>
        </w:tc>
        <w:tc>
          <w:tcPr>
            <w:tcW w:w="14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227</w:t>
            </w:r>
          </w:p>
        </w:tc>
        <w:tc>
          <w:tcPr>
            <w:tcW w:w="200" w:type="dxa"/>
            <w:vAlign w:val="bottom"/>
          </w:tcPr>
          <w:p>
            <w:pPr>
              <w:spacing w:after="0"/>
              <w:rPr>
                <w:sz w:val="13"/>
                <w:szCs w:val="13"/>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(paid) received</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(248)</w:t>
            </w:r>
          </w:p>
        </w:tc>
        <w:tc>
          <w:tcPr>
            <w:tcW w:w="2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3"/>
                <w:szCs w:val="13"/>
                <w:color w:val="auto"/>
              </w:rPr>
              <w:t>Balance, December 31, 2005</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660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(311)</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158"/>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Self-insurance expense (benefit)</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233</w:t>
            </w:r>
          </w:p>
        </w:tc>
        <w:tc>
          <w:tcPr>
            <w:tcW w:w="2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Cash (paid) received</w:t>
            </w:r>
          </w:p>
        </w:tc>
        <w:tc>
          <w:tcPr>
            <w:tcW w:w="14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(241)</w:t>
            </w:r>
          </w:p>
        </w:tc>
        <w:tc>
          <w:tcPr>
            <w:tcW w:w="200" w:type="dxa"/>
            <w:vAlign w:val="bottom"/>
          </w:tcPr>
          <w:p>
            <w:pPr>
              <w:spacing w:after="0"/>
              <w:rPr>
                <w:sz w:val="13"/>
                <w:szCs w:val="13"/>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2006</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Self-insurance expense (benefit)</w:t>
            </w:r>
          </w:p>
        </w:tc>
        <w:tc>
          <w:tcPr>
            <w:tcW w:w="14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144</w:t>
            </w:r>
          </w:p>
        </w:tc>
        <w:tc>
          <w:tcPr>
            <w:tcW w:w="200" w:type="dxa"/>
            <w:vAlign w:val="bottom"/>
          </w:tcPr>
          <w:p>
            <w:pPr>
              <w:spacing w:after="0"/>
              <w:rPr>
                <w:sz w:val="13"/>
                <w:szCs w:val="13"/>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(paid) received</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(225)</w:t>
            </w:r>
          </w:p>
        </w:tc>
        <w:tc>
          <w:tcPr>
            <w:tcW w:w="2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3"/>
                <w:szCs w:val="13"/>
                <w:color w:val="auto"/>
              </w:rPr>
              <w:t>Balance, December 31, 2007</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571</w:t>
            </w:r>
          </w:p>
        </w:tc>
        <w:tc>
          <w:tcPr>
            <w:tcW w:w="38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(214)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Current portion at December 31, 2007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65"/>
        </w:trPr>
        <w:tc>
          <w:tcPr>
            <w:tcW w:w="5700" w:type="dxa"/>
            <w:vAlign w:val="bottom"/>
          </w:tcPr>
          <w:p>
            <w:pPr>
              <w:spacing w:after="0"/>
              <w:rPr>
                <w:sz w:val="20"/>
                <w:szCs w:val="20"/>
                <w:color w:val="auto"/>
              </w:rPr>
            </w:pPr>
            <w:r>
              <w:rPr>
                <w:rFonts w:ascii="Arial" w:cs="Arial" w:eastAsia="Arial" w:hAnsi="Arial"/>
                <w:sz w:val="13"/>
                <w:szCs w:val="13"/>
                <w:color w:val="auto"/>
              </w:rPr>
              <w:t>Long-term portion at December 31, 2007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424</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(141)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180" w:hanging="493"/>
        <w:spacing w:after="0"/>
        <w:tabs>
          <w:tab w:leader="none" w:pos="11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Amounts reported as estimated insurance recoveries are related to both paid and unpaid claims liabilities.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For the 14 months ended January 1, 2000, we insured certain risks, including auto, general liability and workers’ compensation, with Reliance National Insurance Company, whose parent filed for bankruptcy in June 2001. In October 2001, the parent and certain of its subsidiaries, including Reliance National Insurance Company, were placed in liquidation. We believe that because of probable recoveries from the liquidation, currently estimated to be $18 million, it is unlikely that events relating to Reliance will have a material adverse impact on our financial statements.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do not expect the impact of any known casualty, property, environmental or other contingency to have a material impact on our financial condition, results of operations or cash</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flows.</w:t>
      </w:r>
    </w:p>
    <w:p>
      <w:pPr>
        <w:spacing w:after="0" w:line="89" w:lineRule="exact"/>
        <w:rPr>
          <w:sz w:val="20"/>
          <w:szCs w:val="20"/>
          <w:color w:val="auto"/>
        </w:rPr>
      </w:pPr>
    </w:p>
    <w:p>
      <w:pPr>
        <w:ind w:left="680" w:right="400" w:firstLine="399"/>
        <w:spacing w:after="0" w:line="371" w:lineRule="auto"/>
        <w:rPr>
          <w:sz w:val="20"/>
          <w:szCs w:val="20"/>
          <w:color w:val="auto"/>
        </w:rPr>
      </w:pPr>
      <w:r>
        <w:rPr>
          <w:rFonts w:ascii="Arial" w:cs="Arial" w:eastAsia="Arial" w:hAnsi="Arial"/>
          <w:sz w:val="11"/>
          <w:szCs w:val="11"/>
          <w:i w:val="1"/>
          <w:iCs w:val="1"/>
          <w:color w:val="auto"/>
        </w:rPr>
        <w:t xml:space="preserve">Operating leases </w:t>
      </w:r>
      <w:r>
        <w:rPr>
          <w:rFonts w:ascii="Arial" w:cs="Arial" w:eastAsia="Arial" w:hAnsi="Arial"/>
          <w:sz w:val="11"/>
          <w:szCs w:val="11"/>
          <w:color w:val="auto"/>
        </w:rPr>
        <w:t>— Rental expense for leased properties was $135 million, $122 million and $129 million during 2007, 2006 and 2005, respectively. These amounts primarily</w:t>
      </w:r>
      <w:r>
        <w:rPr>
          <w:rFonts w:ascii="Arial" w:cs="Arial" w:eastAsia="Arial" w:hAnsi="Arial"/>
          <w:sz w:val="11"/>
          <w:szCs w:val="11"/>
          <w:i w:val="1"/>
          <w:iCs w:val="1"/>
          <w:color w:val="auto"/>
        </w:rPr>
        <w:t xml:space="preserve"> </w:t>
      </w:r>
      <w:r>
        <w:rPr>
          <w:rFonts w:ascii="Arial" w:cs="Arial" w:eastAsia="Arial" w:hAnsi="Arial"/>
          <w:sz w:val="11"/>
          <w:szCs w:val="11"/>
          <w:color w:val="auto"/>
        </w:rPr>
        <w:t>include rents under operating leases. Minimum contractual payments due during each of the next five years for our operating lease obligations are noted below (in millions):</w:t>
      </w:r>
    </w:p>
    <w:p>
      <w:pPr>
        <w:spacing w:after="0" w:line="14" w:lineRule="exact"/>
        <w:rPr>
          <w:sz w:val="20"/>
          <w:szCs w:val="20"/>
          <w:color w:val="auto"/>
        </w:rPr>
      </w:pPr>
    </w:p>
    <w:tbl>
      <w:tblPr>
        <w:tblLayout w:type="fixed"/>
        <w:tblInd w:w="2600" w:type="dxa"/>
        <w:tblCellMar>
          <w:top w:w="0" w:type="dxa"/>
          <w:left w:w="0" w:type="dxa"/>
          <w:bottom w:w="0" w:type="dxa"/>
          <w:right w:w="0" w:type="dxa"/>
        </w:tblCellMar>
      </w:tblPr>
      <w:tr>
        <w:trPr>
          <w:trHeight w:val="135"/>
        </w:trPr>
        <w:tc>
          <w:tcPr>
            <w:tcW w:w="1540" w:type="dxa"/>
            <w:vAlign w:val="bottom"/>
          </w:tcPr>
          <w:p>
            <w:pPr>
              <w:jc w:val="right"/>
              <w:ind w:right="1141"/>
              <w:spacing w:after="0"/>
              <w:rPr>
                <w:sz w:val="20"/>
                <w:szCs w:val="20"/>
                <w:color w:val="auto"/>
              </w:rPr>
            </w:pPr>
            <w:r>
              <w:rPr>
                <w:rFonts w:ascii="Arial" w:cs="Arial" w:eastAsia="Arial" w:hAnsi="Arial"/>
                <w:sz w:val="10"/>
                <w:szCs w:val="10"/>
                <w:b w:val="1"/>
                <w:bCs w:val="1"/>
                <w:color w:val="auto"/>
              </w:rPr>
              <w:t>2008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2009</w:t>
            </w:r>
          </w:p>
        </w:tc>
        <w:tc>
          <w:tcPr>
            <w:tcW w:w="1240" w:type="dxa"/>
            <w:vAlign w:val="bottom"/>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2010</w:t>
            </w:r>
          </w:p>
        </w:tc>
        <w:tc>
          <w:tcPr>
            <w:tcW w:w="1240" w:type="dxa"/>
            <w:vAlign w:val="bottom"/>
          </w:tcPr>
          <w:p>
            <w:pPr>
              <w:spacing w:after="0"/>
              <w:rPr>
                <w:sz w:val="11"/>
                <w:szCs w:val="1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2011</w:t>
            </w:r>
          </w:p>
        </w:tc>
        <w:tc>
          <w:tcPr>
            <w:tcW w:w="1240" w:type="dxa"/>
            <w:vAlign w:val="bottom"/>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2012</w:t>
            </w:r>
          </w:p>
        </w:tc>
      </w:tr>
      <w:tr>
        <w:trPr>
          <w:trHeight w:val="185"/>
        </w:trPr>
        <w:tc>
          <w:tcPr>
            <w:tcW w:w="1540" w:type="dxa"/>
            <w:vAlign w:val="bottom"/>
          </w:tcPr>
          <w:p>
            <w:pPr>
              <w:jc w:val="right"/>
              <w:ind w:right="1241"/>
              <w:spacing w:after="0"/>
              <w:rPr>
                <w:sz w:val="20"/>
                <w:szCs w:val="20"/>
                <w:color w:val="auto"/>
              </w:rPr>
            </w:pPr>
            <w:r>
              <w:rPr>
                <w:rFonts w:ascii="Arial" w:cs="Arial" w:eastAsia="Arial" w:hAnsi="Arial"/>
                <w:sz w:val="13"/>
                <w:szCs w:val="13"/>
                <w:color w:val="auto"/>
                <w:w w:val="86"/>
              </w:rPr>
              <w:t>$ 87</w:t>
            </w:r>
          </w:p>
        </w:tc>
        <w:tc>
          <w:tcPr>
            <w:tcW w:w="1480" w:type="dxa"/>
            <w:vAlign w:val="bottom"/>
            <w:gridSpan w:val="2"/>
          </w:tcPr>
          <w:p>
            <w:pPr>
              <w:jc w:val="right"/>
              <w:ind w:right="1240"/>
              <w:spacing w:after="0"/>
              <w:rPr>
                <w:sz w:val="20"/>
                <w:szCs w:val="20"/>
                <w:color w:val="auto"/>
              </w:rPr>
            </w:pPr>
            <w:r>
              <w:rPr>
                <w:rFonts w:ascii="Arial" w:cs="Arial" w:eastAsia="Arial" w:hAnsi="Arial"/>
                <w:sz w:val="13"/>
                <w:szCs w:val="13"/>
                <w:color w:val="auto"/>
                <w:w w:val="86"/>
              </w:rPr>
              <w:t>$ 69</w:t>
            </w:r>
          </w:p>
        </w:tc>
        <w:tc>
          <w:tcPr>
            <w:tcW w:w="1480" w:type="dxa"/>
            <w:vAlign w:val="bottom"/>
            <w:gridSpan w:val="2"/>
          </w:tcPr>
          <w:p>
            <w:pPr>
              <w:jc w:val="right"/>
              <w:ind w:right="1240"/>
              <w:spacing w:after="0"/>
              <w:rPr>
                <w:sz w:val="20"/>
                <w:szCs w:val="20"/>
                <w:color w:val="auto"/>
              </w:rPr>
            </w:pPr>
            <w:r>
              <w:rPr>
                <w:rFonts w:ascii="Arial" w:cs="Arial" w:eastAsia="Arial" w:hAnsi="Arial"/>
                <w:sz w:val="13"/>
                <w:szCs w:val="13"/>
                <w:color w:val="auto"/>
                <w:w w:val="86"/>
              </w:rPr>
              <w:t>$ 61</w:t>
            </w:r>
          </w:p>
        </w:tc>
        <w:tc>
          <w:tcPr>
            <w:tcW w:w="1460" w:type="dxa"/>
            <w:vAlign w:val="bottom"/>
            <w:gridSpan w:val="2"/>
          </w:tcPr>
          <w:p>
            <w:pPr>
              <w:jc w:val="right"/>
              <w:ind w:right="1240"/>
              <w:spacing w:after="0"/>
              <w:rPr>
                <w:sz w:val="20"/>
                <w:szCs w:val="20"/>
                <w:color w:val="auto"/>
              </w:rPr>
            </w:pPr>
            <w:r>
              <w:rPr>
                <w:rFonts w:ascii="Arial" w:cs="Arial" w:eastAsia="Arial" w:hAnsi="Arial"/>
                <w:sz w:val="13"/>
                <w:szCs w:val="13"/>
                <w:color w:val="auto"/>
                <w:w w:val="92"/>
              </w:rPr>
              <w:t>$48</w:t>
            </w:r>
          </w:p>
        </w:tc>
        <w:tc>
          <w:tcPr>
            <w:tcW w:w="240" w:type="dxa"/>
            <w:vAlign w:val="bottom"/>
          </w:tcPr>
          <w:p>
            <w:pPr>
              <w:jc w:val="right"/>
              <w:spacing w:after="0"/>
              <w:rPr>
                <w:sz w:val="20"/>
                <w:szCs w:val="20"/>
                <w:color w:val="auto"/>
              </w:rPr>
            </w:pPr>
            <w:r>
              <w:rPr>
                <w:rFonts w:ascii="Arial" w:cs="Arial" w:eastAsia="Arial" w:hAnsi="Arial"/>
                <w:sz w:val="13"/>
                <w:szCs w:val="13"/>
                <w:color w:val="auto"/>
                <w:w w:val="86"/>
              </w:rPr>
              <w:t>$ 41</w:t>
            </w:r>
          </w:p>
        </w:tc>
      </w:tr>
    </w:tbl>
    <w:p>
      <w:pPr>
        <w:spacing w:after="0" w:line="8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Our minimum contractual payments for lease agreements during future periods is significantly less than current year rent expense because our significant lease agreements at landfills have variable terms based either on a percentage of revenue or a rate per ton of waste received.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Other commitments </w:t>
      </w:r>
      <w:r>
        <w:rPr>
          <w:rFonts w:ascii="Arial" w:cs="Arial" w:eastAsia="Arial" w:hAnsi="Arial"/>
          <w:sz w:val="13"/>
          <w:szCs w:val="13"/>
          <w:color w:val="auto"/>
        </w:rPr>
        <w:t>— We have the following unconditional obligations:</w:t>
      </w:r>
    </w:p>
    <w:p>
      <w:pPr>
        <w:spacing w:after="0" w:line="96" w:lineRule="exact"/>
        <w:rPr>
          <w:sz w:val="20"/>
          <w:szCs w:val="20"/>
          <w:color w:val="auto"/>
        </w:rPr>
      </w:pPr>
    </w:p>
    <w:p>
      <w:pPr>
        <w:ind w:left="1280" w:right="220" w:hanging="190"/>
        <w:spacing w:after="0" w:line="276" w:lineRule="auto"/>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i w:val="1"/>
          <w:iCs w:val="1"/>
          <w:color w:val="auto"/>
        </w:rPr>
        <w:t xml:space="preserve">Share Repurchases </w:t>
      </w:r>
      <w:r>
        <w:rPr>
          <w:rFonts w:ascii="Arial" w:cs="Arial" w:eastAsia="Arial" w:hAnsi="Arial"/>
          <w:sz w:val="13"/>
          <w:szCs w:val="13"/>
          <w:color w:val="auto"/>
        </w:rPr>
        <w:t>— In November 2007, we entered into a plan under SEC Rule 10b5-1 to effect market purchases of our common stock during the first quarter of 2008. See</w:t>
      </w:r>
      <w:r>
        <w:rPr>
          <w:rFonts w:ascii="Arial" w:cs="Arial" w:eastAsia="Arial" w:hAnsi="Arial"/>
          <w:sz w:val="13"/>
          <w:szCs w:val="13"/>
          <w:i w:val="1"/>
          <w:iCs w:val="1"/>
          <w:color w:val="auto"/>
        </w:rPr>
        <w:t xml:space="preserve"> </w:t>
      </w:r>
      <w:r>
        <w:rPr>
          <w:rFonts w:ascii="Arial" w:cs="Arial" w:eastAsia="Arial" w:hAnsi="Arial"/>
          <w:sz w:val="13"/>
          <w:szCs w:val="13"/>
          <w:color w:val="auto"/>
        </w:rPr>
        <w:t>Note 14 for additional information related to this agreement.</w:t>
      </w:r>
    </w:p>
    <w:p>
      <w:pPr>
        <w:spacing w:after="0" w:line="49" w:lineRule="exact"/>
        <w:rPr>
          <w:rFonts w:ascii="Arial" w:cs="Arial" w:eastAsia="Arial" w:hAnsi="Arial"/>
          <w:sz w:val="13"/>
          <w:szCs w:val="13"/>
          <w:color w:val="auto"/>
        </w:rPr>
      </w:pPr>
    </w:p>
    <w:p>
      <w:pPr>
        <w:ind w:left="1280" w:right="460" w:hanging="190"/>
        <w:spacing w:after="0" w:line="320" w:lineRule="auto"/>
        <w:tabs>
          <w:tab w:leader="none" w:pos="1280" w:val="left"/>
        </w:tabs>
        <w:numPr>
          <w:ilvl w:val="0"/>
          <w:numId w:val="58"/>
        </w:numPr>
        <w:rPr>
          <w:rFonts w:ascii="Arial" w:cs="Arial" w:eastAsia="Arial" w:hAnsi="Arial"/>
          <w:sz w:val="12"/>
          <w:szCs w:val="12"/>
          <w:color w:val="auto"/>
        </w:rPr>
      </w:pPr>
      <w:r>
        <w:rPr>
          <w:rFonts w:ascii="Arial" w:cs="Arial" w:eastAsia="Arial" w:hAnsi="Arial"/>
          <w:sz w:val="12"/>
          <w:szCs w:val="12"/>
          <w:i w:val="1"/>
          <w:iCs w:val="1"/>
          <w:color w:val="auto"/>
        </w:rPr>
        <w:t xml:space="preserve">Fuel Supply </w:t>
      </w:r>
      <w:r>
        <w:rPr>
          <w:rFonts w:ascii="Arial" w:cs="Arial" w:eastAsia="Arial" w:hAnsi="Arial"/>
          <w:sz w:val="12"/>
          <w:szCs w:val="12"/>
          <w:color w:val="auto"/>
        </w:rPr>
        <w:t>— We have purchase agreements expiring at various dates through 2011 that require us to purchase minimum amounts of waste and conventional fuels at our</w:t>
      </w:r>
      <w:r>
        <w:rPr>
          <w:rFonts w:ascii="Arial" w:cs="Arial" w:eastAsia="Arial" w:hAnsi="Arial"/>
          <w:sz w:val="12"/>
          <w:szCs w:val="12"/>
          <w:i w:val="1"/>
          <w:iCs w:val="1"/>
          <w:color w:val="auto"/>
        </w:rPr>
        <w:t xml:space="preserve"> </w:t>
      </w:r>
      <w:r>
        <w:rPr>
          <w:rFonts w:ascii="Arial" w:cs="Arial" w:eastAsia="Arial" w:hAnsi="Arial"/>
          <w:sz w:val="12"/>
          <w:szCs w:val="12"/>
          <w:color w:val="auto"/>
        </w:rPr>
        <w:t>independent power production plants. These fuel supplies are used to produce electricity for sale to electric utilities, which is generally subject to</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280" w:right="180"/>
        <w:spacing w:after="0" w:line="264" w:lineRule="auto"/>
        <w:rPr>
          <w:sz w:val="20"/>
          <w:szCs w:val="20"/>
          <w:color w:val="auto"/>
        </w:rPr>
      </w:pPr>
      <w:r>
        <w:rPr>
          <w:rFonts w:ascii="Arial" w:cs="Arial" w:eastAsia="Arial" w:hAnsi="Arial"/>
          <w:sz w:val="13"/>
          <w:szCs w:val="13"/>
          <w:color w:val="auto"/>
        </w:rPr>
        <w:t>the terms and conditions of long-term contracts. Our purchase agreements have been established based on the plants’ anticipated fuel supply needs to meet the demands of our customers under these long-term electricity sale contracts. Under our fuel supply take-or-pay contracts, we are generally obligated to pay for a minimum amount of waste or conventional fuel at a stated rate even if such quantities are not required in our operations.</w:t>
      </w:r>
    </w:p>
    <w:p>
      <w:pPr>
        <w:spacing w:after="0" w:line="67" w:lineRule="exact"/>
        <w:rPr>
          <w:sz w:val="20"/>
          <w:szCs w:val="20"/>
          <w:color w:val="auto"/>
        </w:rPr>
      </w:pPr>
    </w:p>
    <w:p>
      <w:pPr>
        <w:ind w:left="1280" w:right="120" w:hanging="190"/>
        <w:spacing w:after="0" w:line="320" w:lineRule="auto"/>
        <w:tabs>
          <w:tab w:leader="none" w:pos="1280" w:val="left"/>
        </w:tabs>
        <w:numPr>
          <w:ilvl w:val="0"/>
          <w:numId w:val="59"/>
        </w:numPr>
        <w:rPr>
          <w:rFonts w:ascii="Arial" w:cs="Arial" w:eastAsia="Arial" w:hAnsi="Arial"/>
          <w:sz w:val="12"/>
          <w:szCs w:val="12"/>
          <w:color w:val="auto"/>
        </w:rPr>
      </w:pPr>
      <w:r>
        <w:rPr>
          <w:rFonts w:ascii="Arial" w:cs="Arial" w:eastAsia="Arial" w:hAnsi="Arial"/>
          <w:sz w:val="12"/>
          <w:szCs w:val="12"/>
          <w:i w:val="1"/>
          <w:iCs w:val="1"/>
          <w:color w:val="auto"/>
        </w:rPr>
        <w:t xml:space="preserve">Disposal </w:t>
      </w:r>
      <w:r>
        <w:rPr>
          <w:rFonts w:ascii="Arial" w:cs="Arial" w:eastAsia="Arial" w:hAnsi="Arial"/>
          <w:sz w:val="12"/>
          <w:szCs w:val="12"/>
          <w:color w:val="auto"/>
        </w:rPr>
        <w:t>— We have several agreements expiring at various dates through 2024 that require us to dispose of a minimum number of tons at third-party disposal facilities. Under</w:t>
      </w:r>
      <w:r>
        <w:rPr>
          <w:rFonts w:ascii="Arial" w:cs="Arial" w:eastAsia="Arial" w:hAnsi="Arial"/>
          <w:sz w:val="12"/>
          <w:szCs w:val="12"/>
          <w:i w:val="1"/>
          <w:iCs w:val="1"/>
          <w:color w:val="auto"/>
        </w:rPr>
        <w:t xml:space="preserve"> </w:t>
      </w:r>
      <w:r>
        <w:rPr>
          <w:rFonts w:ascii="Arial" w:cs="Arial" w:eastAsia="Arial" w:hAnsi="Arial"/>
          <w:sz w:val="12"/>
          <w:szCs w:val="12"/>
          <w:color w:val="auto"/>
        </w:rPr>
        <w:t>these put-or-pay agreements, we are required to pay for the agreed upon minimum volumes regardless of the actual number of tons placed at the facilities.</w:t>
      </w:r>
    </w:p>
    <w:p>
      <w:pPr>
        <w:spacing w:after="0" w:line="25" w:lineRule="exact"/>
        <w:rPr>
          <w:rFonts w:ascii="Arial" w:cs="Arial" w:eastAsia="Arial" w:hAnsi="Arial"/>
          <w:sz w:val="12"/>
          <w:szCs w:val="12"/>
          <w:color w:val="auto"/>
        </w:rPr>
      </w:pPr>
    </w:p>
    <w:p>
      <w:pPr>
        <w:ind w:left="1280" w:right="180" w:hanging="190"/>
        <w:spacing w:after="0" w:line="276" w:lineRule="auto"/>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i w:val="1"/>
          <w:iCs w:val="1"/>
          <w:color w:val="auto"/>
        </w:rPr>
        <w:t xml:space="preserve">Waste Paper </w:t>
      </w:r>
      <w:r>
        <w:rPr>
          <w:rFonts w:ascii="Arial" w:cs="Arial" w:eastAsia="Arial" w:hAnsi="Arial"/>
          <w:sz w:val="13"/>
          <w:szCs w:val="13"/>
          <w:color w:val="auto"/>
        </w:rPr>
        <w:t>— We are party to a waste paper purchase agreement that requires us to purchase a minimum number of tons of waste paper. The cost per ton we pay is based on</w:t>
      </w:r>
      <w:r>
        <w:rPr>
          <w:rFonts w:ascii="Arial" w:cs="Arial" w:eastAsia="Arial" w:hAnsi="Arial"/>
          <w:sz w:val="13"/>
          <w:szCs w:val="13"/>
          <w:i w:val="1"/>
          <w:iCs w:val="1"/>
          <w:color w:val="auto"/>
        </w:rPr>
        <w:t xml:space="preserve"> </w:t>
      </w:r>
      <w:r>
        <w:rPr>
          <w:rFonts w:ascii="Arial" w:cs="Arial" w:eastAsia="Arial" w:hAnsi="Arial"/>
          <w:sz w:val="13"/>
          <w:szCs w:val="13"/>
          <w:color w:val="auto"/>
        </w:rPr>
        <w:t>market prices plus the cost of delivery to our customers. We currently expect to fulfill our purchase obligation in 2012.</w:t>
      </w:r>
    </w:p>
    <w:p>
      <w:pPr>
        <w:spacing w:after="0" w:line="49"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i w:val="1"/>
          <w:iCs w:val="1"/>
          <w:color w:val="auto"/>
        </w:rPr>
        <w:t xml:space="preserve">Royalties </w:t>
      </w:r>
      <w:r>
        <w:rPr>
          <w:rFonts w:ascii="Arial" w:cs="Arial" w:eastAsia="Arial" w:hAnsi="Arial"/>
          <w:sz w:val="13"/>
          <w:szCs w:val="13"/>
          <w:color w:val="auto"/>
        </w:rPr>
        <w:t>— At some of our landfills, we are required to make minimum royalty payments to the prior land owners, lessors or host communities where the landfills are located.</w:t>
      </w:r>
      <w:r>
        <w:rPr>
          <w:rFonts w:ascii="Arial" w:cs="Arial" w:eastAsia="Arial" w:hAnsi="Arial"/>
          <w:sz w:val="13"/>
          <w:szCs w:val="13"/>
          <w:i w:val="1"/>
          <w:iCs w:val="1"/>
          <w:color w:val="auto"/>
        </w:rPr>
        <w:t xml:space="preserve"> </w:t>
      </w:r>
      <w:r>
        <w:rPr>
          <w:rFonts w:ascii="Arial" w:cs="Arial" w:eastAsia="Arial" w:hAnsi="Arial"/>
          <w:sz w:val="13"/>
          <w:szCs w:val="13"/>
          <w:color w:val="auto"/>
        </w:rPr>
        <w:t>Our obligations expire at various dates through 2023. Although we have an obligation to make minimum payments, actual payments are based on per ton rates for waste received at the landfill and are significantly higher.</w:t>
      </w:r>
    </w:p>
    <w:p>
      <w:pPr>
        <w:spacing w:after="0" w:line="57" w:lineRule="exact"/>
        <w:rPr>
          <w:rFonts w:ascii="Arial" w:cs="Arial" w:eastAsia="Arial" w:hAnsi="Arial"/>
          <w:sz w:val="13"/>
          <w:szCs w:val="13"/>
          <w:color w:val="auto"/>
        </w:rPr>
      </w:pPr>
    </w:p>
    <w:p>
      <w:pPr>
        <w:jc w:val="both"/>
        <w:ind w:left="1280" w:right="40" w:hanging="190"/>
        <w:spacing w:after="0" w:line="264" w:lineRule="auto"/>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i w:val="1"/>
          <w:iCs w:val="1"/>
          <w:color w:val="auto"/>
        </w:rPr>
        <w:t xml:space="preserve">Property </w:t>
      </w:r>
      <w:r>
        <w:rPr>
          <w:rFonts w:ascii="Arial" w:cs="Arial" w:eastAsia="Arial" w:hAnsi="Arial"/>
          <w:sz w:val="13"/>
          <w:szCs w:val="13"/>
          <w:color w:val="auto"/>
        </w:rPr>
        <w:t>— From time to time, we make commitments to purchase assets that we expect to use in our operations. We are currently party to an agreement to purchase a corporate</w:t>
      </w:r>
      <w:r>
        <w:rPr>
          <w:rFonts w:ascii="Arial" w:cs="Arial" w:eastAsia="Arial" w:hAnsi="Arial"/>
          <w:sz w:val="13"/>
          <w:szCs w:val="13"/>
          <w:i w:val="1"/>
          <w:iCs w:val="1"/>
          <w:color w:val="auto"/>
        </w:rPr>
        <w:t xml:space="preserve"> </w:t>
      </w:r>
      <w:r>
        <w:rPr>
          <w:rFonts w:ascii="Arial" w:cs="Arial" w:eastAsia="Arial" w:hAnsi="Arial"/>
          <w:sz w:val="13"/>
          <w:szCs w:val="13"/>
          <w:color w:val="auto"/>
        </w:rPr>
        <w:t>aircraft to replace an existing aircraft, the lease for which is expiring in 2010. The agreement requires that we make installment payments between now and delivery, expected in 2010, based on the total purchase price for the aircraft.</w:t>
      </w:r>
    </w:p>
    <w:p>
      <w:pPr>
        <w:spacing w:after="0" w:line="6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Our unconditional obligations are established in the ordinary course of our business and are structured in a manner that provides us with access to important resources at competitive, market-driven rates. Our actual future obligations under these outstanding agreements are generally quantity driven, and, as a result, our associated financial obligations are not fixed as of December 31, 2007. We currently expect the products and services provided by these agreements to continue to meet the needs of our ongoing operations. Therefore, we do not expect these established arrangements to materially impact our future financial position, results of operations or cash flows.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Guarantees </w:t>
      </w:r>
      <w:r>
        <w:rPr>
          <w:rFonts w:ascii="Arial" w:cs="Arial" w:eastAsia="Arial" w:hAnsi="Arial"/>
          <w:sz w:val="13"/>
          <w:szCs w:val="13"/>
          <w:color w:val="auto"/>
        </w:rPr>
        <w:t>— We have entered into the following guarantee agreements associated with our operations:</w:t>
      </w:r>
    </w:p>
    <w:p>
      <w:pPr>
        <w:spacing w:after="0" w:line="96" w:lineRule="exact"/>
        <w:rPr>
          <w:sz w:val="20"/>
          <w:szCs w:val="20"/>
          <w:color w:val="auto"/>
        </w:rPr>
      </w:pPr>
    </w:p>
    <w:p>
      <w:pPr>
        <w:ind w:left="1280" w:right="180" w:hanging="190"/>
        <w:spacing w:after="0" w:line="260" w:lineRule="auto"/>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As of December 31, 2007, WM Holdings has fully and unconditionally guaranteed all of WMI’s senior indebtedness, which matures through 2032. WMI has fully and unconditionally guaranteed all of the senior indebtedness of WM Holdings, which matures through 2026. Performance under these guarantee agreements would be required if either party defaulted on their respective obligations. No additional liabilities have been recorded for these guarantees because the underlying obligations are reflected in our Consolidated Balance Sheets. See Note 22 for further information.</w:t>
      </w:r>
    </w:p>
    <w:p>
      <w:pPr>
        <w:spacing w:after="0" w:line="59" w:lineRule="exact"/>
        <w:rPr>
          <w:rFonts w:ascii="Arial" w:cs="Arial" w:eastAsia="Arial" w:hAnsi="Arial"/>
          <w:sz w:val="13"/>
          <w:szCs w:val="13"/>
          <w:color w:val="auto"/>
        </w:rPr>
      </w:pPr>
    </w:p>
    <w:p>
      <w:pPr>
        <w:ind w:left="1280" w:hanging="190"/>
        <w:spacing w:after="0" w:line="260" w:lineRule="auto"/>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WMI and WM Holdings have guaranteed the tax-exempt bonds and other debt obligations of their subsidiaries. If a subsidiary fails to meet its obligations associated with its debt agreements as they come due, WMI or WM Holdings will be required to perform under the related guarantee agreement. No additional liabilities have been recorded for these guarantees because the underlying obligations are reflected in our Consolidated Balance Sheets. See Note 7 for information related to the balances and maturities of our tax-exempt bonds.</w:t>
      </w:r>
    </w:p>
    <w:p>
      <w:pPr>
        <w:spacing w:after="0" w:line="59" w:lineRule="exact"/>
        <w:rPr>
          <w:rFonts w:ascii="Arial" w:cs="Arial" w:eastAsia="Arial" w:hAnsi="Arial"/>
          <w:sz w:val="13"/>
          <w:szCs w:val="13"/>
          <w:color w:val="auto"/>
        </w:rPr>
      </w:pPr>
    </w:p>
    <w:p>
      <w:pPr>
        <w:ind w:left="1280" w:right="60" w:hanging="190"/>
        <w:spacing w:after="0" w:line="264" w:lineRule="auto"/>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We have guaranteed certain financial obligations of unconsolidated entities. The related obligations, which mature through 2020, are not recorded on our Consolidated Balance Sheets. As of December 31, 2007, our maximum future payments associated with these guarantees are approximately $12 million. We do not believe that it is likely that we will be required to perform under these guarantees.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280" w:right="260" w:hanging="190"/>
        <w:spacing w:after="0" w:line="264" w:lineRule="auto"/>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WM Holdings has guaranteed all reimbursement obligations of WMI under its $350 million letter of credit facility and $295 million letter of credit and term loan agreements. Under those facilities, WMI must reimburse the entities funding the facilities for any draw on a letter of credit supported by the facilities. As of December 31, 2007, we had $644 million in outstanding letters of credit under these facilities.</w:t>
      </w:r>
    </w:p>
    <w:p>
      <w:pPr>
        <w:spacing w:after="0" w:line="57" w:lineRule="exact"/>
        <w:rPr>
          <w:rFonts w:ascii="Arial" w:cs="Arial" w:eastAsia="Arial" w:hAnsi="Arial"/>
          <w:sz w:val="13"/>
          <w:szCs w:val="13"/>
          <w:color w:val="auto"/>
        </w:rPr>
      </w:pPr>
    </w:p>
    <w:p>
      <w:pPr>
        <w:ind w:left="1280" w:hanging="190"/>
        <w:spacing w:after="0" w:line="320" w:lineRule="auto"/>
        <w:tabs>
          <w:tab w:leader="none" w:pos="12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 connection with the $350 million letter of credit facility, WMI and WM Holdings guaranteed the interest rate swaps entered into by the entity funding the letter of credit facility. The probability of loss for the guarantees was determined to be remote and the fair value of the guarantees is immaterial to our financial position and results of operations.</w:t>
      </w:r>
    </w:p>
    <w:p>
      <w:pPr>
        <w:spacing w:after="0" w:line="25" w:lineRule="exact"/>
        <w:rPr>
          <w:rFonts w:ascii="Arial" w:cs="Arial" w:eastAsia="Arial" w:hAnsi="Arial"/>
          <w:sz w:val="12"/>
          <w:szCs w:val="12"/>
          <w:color w:val="auto"/>
        </w:rPr>
      </w:pPr>
    </w:p>
    <w:p>
      <w:pPr>
        <w:ind w:left="1280" w:right="180" w:hanging="190"/>
        <w:spacing w:after="0" w:line="260" w:lineRule="auto"/>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Certain of our subsidiaries have guaranteed the market value of certain homeowners’ properties that are adjacent to certain of our landfills. These guarantee agreements extend over the life of the respective landfill. Under these agreements, we would be responsible for the difference between the sale value and the guaranteed market value of the homeowners’ properties, if any. Generally, it is not possible to determine the contingent obligation associated with these guarantees, but we do not believe that these contingent obligations will have a material effect on our financial position, results of operations or cash flows.</w:t>
      </w:r>
    </w:p>
    <w:p>
      <w:pPr>
        <w:spacing w:after="0" w:line="59" w:lineRule="exact"/>
        <w:rPr>
          <w:rFonts w:ascii="Arial" w:cs="Arial" w:eastAsia="Arial" w:hAnsi="Arial"/>
          <w:sz w:val="13"/>
          <w:szCs w:val="13"/>
          <w:color w:val="auto"/>
        </w:rPr>
      </w:pPr>
    </w:p>
    <w:p>
      <w:pPr>
        <w:ind w:left="1280" w:right="80" w:hanging="190"/>
        <w:spacing w:after="0" w:line="260" w:lineRule="auto"/>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 post-closing. The costs associated with any additional consideration requirements are accounted for as incurred.</w:t>
      </w:r>
    </w:p>
    <w:p>
      <w:pPr>
        <w:spacing w:after="0" w:line="59" w:lineRule="exact"/>
        <w:rPr>
          <w:rFonts w:ascii="Arial" w:cs="Arial" w:eastAsia="Arial" w:hAnsi="Arial"/>
          <w:sz w:val="13"/>
          <w:szCs w:val="13"/>
          <w:color w:val="auto"/>
        </w:rPr>
      </w:pPr>
    </w:p>
    <w:p>
      <w:pPr>
        <w:ind w:left="1280" w:right="120" w:hanging="190"/>
        <w:spacing w:after="0" w:line="322" w:lineRule="auto"/>
        <w:tabs>
          <w:tab w:leader="none" w:pos="1280" w:val="left"/>
        </w:tabs>
        <w:numPr>
          <w:ilvl w:val="0"/>
          <w:numId w:val="61"/>
        </w:numPr>
        <w:rPr>
          <w:rFonts w:ascii="Arial" w:cs="Arial" w:eastAsia="Arial" w:hAnsi="Arial"/>
          <w:sz w:val="11"/>
          <w:szCs w:val="11"/>
          <w:color w:val="auto"/>
        </w:rPr>
      </w:pPr>
      <w:r>
        <w:rPr>
          <w:rFonts w:ascii="Arial" w:cs="Arial" w:eastAsia="Arial" w:hAnsi="Arial"/>
          <w:sz w:val="11"/>
          <w:szCs w:val="11"/>
          <w:color w:val="auto"/>
        </w:rPr>
        <w:t>WMI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capital leases, as appropriate.</w:t>
      </w:r>
    </w:p>
    <w:p>
      <w:pPr>
        <w:spacing w:after="0" w:line="39"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We currently do not believe it is reasonably likely that we would be called upon to perform under these guarantees and do not believe that any of the obligations would have a material effect on our financial position, results of operations and cash flows.</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Environmental matters </w:t>
      </w:r>
      <w:r>
        <w:rPr>
          <w:rFonts w:ascii="Arial" w:cs="Arial" w:eastAsia="Arial" w:hAnsi="Arial"/>
          <w:sz w:val="13"/>
          <w:szCs w:val="13"/>
          <w:color w:val="auto"/>
        </w:rPr>
        <w:t>— Our business is intrinsically connected with the protection of the environment. As such, a significant portion of our operating costs and capital expenditures</w:t>
      </w:r>
      <w:r>
        <w:rPr>
          <w:rFonts w:ascii="Arial" w:cs="Arial" w:eastAsia="Arial" w:hAnsi="Arial"/>
          <w:sz w:val="13"/>
          <w:szCs w:val="13"/>
          <w:i w:val="1"/>
          <w:iCs w:val="1"/>
          <w:color w:val="auto"/>
        </w:rPr>
        <w:t xml:space="preserve"> </w:t>
      </w:r>
      <w:r>
        <w:rPr>
          <w:rFonts w:ascii="Arial" w:cs="Arial" w:eastAsia="Arial" w:hAnsi="Arial"/>
          <w:sz w:val="13"/>
          <w:szCs w:val="13"/>
          <w:color w:val="auto"/>
        </w:rPr>
        <w:t>could be characterized as costs of environmental protection. Such costs may increase in the future as a result of legislation or regulation. However, we generally do not believe that increases in environmental regulation negatively affect our business, because such regulations increase the demand for our services, and we have the resources and experience to manage environmental risk.</w:t>
      </w:r>
    </w:p>
    <w:p>
      <w:pPr>
        <w:spacing w:after="0" w:line="70" w:lineRule="exact"/>
        <w:rPr>
          <w:sz w:val="20"/>
          <w:szCs w:val="20"/>
          <w:color w:val="auto"/>
        </w:rPr>
      </w:pPr>
    </w:p>
    <w:p>
      <w:pPr>
        <w:ind w:left="680" w:right="20" w:firstLine="399"/>
        <w:spacing w:after="0" w:line="334" w:lineRule="auto"/>
        <w:rPr>
          <w:sz w:val="20"/>
          <w:szCs w:val="20"/>
          <w:color w:val="auto"/>
        </w:rPr>
      </w:pPr>
      <w:r>
        <w:rPr>
          <w:rFonts w:ascii="Arial" w:cs="Arial" w:eastAsia="Arial" w:hAnsi="Arial"/>
          <w:sz w:val="11"/>
          <w:szCs w:val="11"/>
          <w:color w:val="auto"/>
        </w:rPr>
        <w:t>We are subject to an array of laws and regulations relating to the protection of the environment. Under current laws and regulations, we may have liabilities for environmental damage caused by operations, or for damage caused by conditions that existed before we acquired a site. Such liabilities include potentially responsible party , or PRP, investigations, settlements, certain legal and consultant fees, as well as costs directly associated with site investigation and clean up, such as materials and incremental internal costs directly related to the remedy.</w:t>
      </w:r>
    </w:p>
    <w:p>
      <w:pPr>
        <w:spacing w:after="0" w:line="32"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Estimating our degree of responsibility for remediation of a particular site is inherently difficult and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57" w:lineRule="auto"/>
        <w:rPr>
          <w:sz w:val="20"/>
          <w:szCs w:val="20"/>
          <w:color w:val="auto"/>
        </w:rPr>
      </w:pPr>
      <w:r>
        <w:rPr>
          <w:rFonts w:ascii="Arial" w:cs="Arial" w:eastAsia="Arial" w:hAnsi="Arial"/>
          <w:sz w:val="13"/>
          <w:szCs w:val="13"/>
          <w:color w:val="auto"/>
        </w:rPr>
        <w:t xml:space="preserve">other PRPs to contribute to the settlements of such liabilities, or other factors could require us to record additional liabilities that could be material. There can sometimes be a range of reasonable estimates of the costs associated with the likely remedy of a site. In these cases, we use the amount within the range that constitutes our best estimate. If no amount within the range appears to be a better estimate than any other, we use the amounts that are the low ends of such ranges in accordance with SFAS No. 5, </w:t>
      </w:r>
      <w:r>
        <w:rPr>
          <w:rFonts w:ascii="Arial" w:cs="Arial" w:eastAsia="Arial" w:hAnsi="Arial"/>
          <w:sz w:val="13"/>
          <w:szCs w:val="13"/>
          <w:i w:val="1"/>
          <w:iCs w:val="1"/>
          <w:color w:val="auto"/>
        </w:rPr>
        <w:t>Accounting for Contingencies</w:t>
      </w:r>
      <w:r>
        <w:rPr>
          <w:rFonts w:ascii="Arial" w:cs="Arial" w:eastAsia="Arial" w:hAnsi="Arial"/>
          <w:sz w:val="13"/>
          <w:szCs w:val="13"/>
          <w:color w:val="auto"/>
        </w:rPr>
        <w:t>, and its interpretations. If we used the high ends of such ranges, our aggregate potential liability would be approximately $190 million higher than the $284 million recorded in the Consolidated Financial Statements as of December 31, 2007. Our ongoing review of our remediation liabilities could result in revisions that could cause upward or downward adjustments to income from operations. These adjustments could also be material in any given period.</w:t>
      </w:r>
    </w:p>
    <w:p>
      <w:pPr>
        <w:spacing w:after="0" w:line="72"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As of December 31, 2007, we had been notified that we are a PRP in connection with 75 locations listed on the EPA’s National Priorities List , or NPL. Of the 75 sites at which claims have been made against us, 16 are sites we own. Each of the NPL sites we own were initially developed by others as landfill disposal facilities. At each of these facilities, we are working in conjunction with the government to characterize or remediate identified site problems, and we have either agreed with other legally liable parties on an arrangement for sharing the costs of remediation or are pursuing resolution of an allocation formula. We generally expect to receive any amounts due from these parties at or near the time that we make the remedial expenditures. The other 59 NPL sites, which we do not own, are at various procedural stages under the Comprehensive Environmental Response, Compensation and Liability Act of 1980, as amended, known as CERCLA or Superfund.</w:t>
      </w:r>
    </w:p>
    <w:p>
      <w:pPr>
        <w:spacing w:after="0" w:line="72"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 Any of these matters potentially could have a material adverse effect on our consolidated financial statements.</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more information regarding commitments and contingencies with respect to environmental matters, see Note 3.</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Litigation </w:t>
      </w:r>
      <w:r>
        <w:rPr>
          <w:rFonts w:ascii="Arial" w:cs="Arial" w:eastAsia="Arial" w:hAnsi="Arial"/>
          <w:sz w:val="13"/>
          <w:szCs w:val="13"/>
          <w:color w:val="auto"/>
        </w:rPr>
        <w:t>— In December 1999, an individual brought an action against WMI, five former officers of WM Holdings, and WM Holdings’ former independent auditor, Arthur</w:t>
      </w:r>
      <w:r>
        <w:rPr>
          <w:rFonts w:ascii="Arial" w:cs="Arial" w:eastAsia="Arial" w:hAnsi="Arial"/>
          <w:sz w:val="13"/>
          <w:szCs w:val="13"/>
          <w:i w:val="1"/>
          <w:iCs w:val="1"/>
          <w:color w:val="auto"/>
        </w:rPr>
        <w:t xml:space="preserve"> </w:t>
      </w:r>
      <w:r>
        <w:rPr>
          <w:rFonts w:ascii="Arial" w:cs="Arial" w:eastAsia="Arial" w:hAnsi="Arial"/>
          <w:sz w:val="13"/>
          <w:szCs w:val="13"/>
          <w:color w:val="auto"/>
        </w:rPr>
        <w:t>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This case has been dormant for some time, and based on U.S. Supreme Court decisions, the Company believes this case will not proceed as a class action, thereby ending the litigation.</w:t>
      </w:r>
    </w:p>
    <w:p>
      <w:pPr>
        <w:spacing w:after="0" w:line="7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In April 2002, a former participant in WM Holdings’ ERISA plans and another individual filed a lawsuit in Washington, D.C. against WMI, WM Holdings and others, attempting to increase the recovery of a class of ERISA plan participants based on allegations related to both the events alleged in, and the settlements relating to, the securities class action against WM Holdings that was settled in 1998 and the securities class action against us that was settled in November 2001. Subsequently, the issues related to the latter class action have been dropped as to WMI, its officers and directors. The case is ongoing with respect to WM Holdings and others, and WM Holdings intends to defend itself vigorously.</w:t>
      </w:r>
    </w:p>
    <w:p>
      <w:pPr>
        <w:spacing w:after="0" w:line="53"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There are two separate wage and hour lawsuits pending against us in California, each seeking class certification. Both actions make the same general allegations that the defendants failed to comply with certain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California wage and hour laws, including allegedly failing to provide meal and rest periods, and failing to properly pay hourly and overtime wages. We deny the plaintiffs’ claims and intend to vigorously defend these matters. As the litigation is in the early stages of the legal process, and given the inherent uncertainties of litigation, the ultimate outcome cannot be predicted at this time, nor can the amount of any potential loss be reasonably estimated.</w:t>
      </w:r>
    </w:p>
    <w:p>
      <w:pPr>
        <w:spacing w:after="0" w:line="67"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From time to time, we pay fines or penalties in environmental proceedings relating primarily to waste treatment, storage or disposal facilities. As of December 31, 2007, there were four proceedings involving our subsidiaries where we reasonably believe that the sanctions could equal or exceed $100,000. The matters involve allegations that subsidiaries (i) failed to comply with leachate storage requirements at an operating landfill; (ii) violated federal air regulations at an operating landfill; (iii) failed to meet reporting requirements under federal air regulations at an operating landfill; and (iv) violated National Pollutant Discharge Elimination System permit conditions at an operating landfill. We do not believe that the fines or other penalties in any of these matters will, individually or in the aggregate, have a material adverse effect on our financial condition or results of operations.</w:t>
      </w:r>
    </w:p>
    <w:p>
      <w:pPr>
        <w:spacing w:after="0" w:line="55"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our consolidated financial statements.</w:t>
      </w:r>
    </w:p>
    <w:p>
      <w:pPr>
        <w:spacing w:after="0" w:line="5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 related claims, including purported class action lawsuits related to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any such actions will ultimately have a material adverse impact on our consolidated financial statements.</w:t>
      </w:r>
    </w:p>
    <w:p>
      <w:pPr>
        <w:spacing w:after="0" w:line="55"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WMI’s charter and bylaws currently require indemnification of its officers and directors if statutory standards of conduct have been met and allow the advancement of expenses to these individuals upon receipt of an undertaking by the individuals to repay all expenses if it is ultimately determined that they did not meet the required standards of conduct. Additionally, WMI has entered into separate indemnification agreements with each of the members of its Board of Directors as well as its Chief Executive Officer, its President and its Chief Financial Officer. The charter and bylaw documents of certain of WMI’s subsidiaries, including WM Holdings, also include similar indemnification provisions, and some subsidiaries, including WM Holdings, entered into separate indemnification agreements with their officers and directors prior to our acquisition of them that provide for even greater rights and protections for the individuals than WMI’s charter and bylaws. A company’s obligations to indemnify and advance expenses are determined based on the governing documents in effect and the status of the individual at the time the actions giving rise to the claim occurred. As a result, we may have obligations to individuals after they leave the Company, to individuals that were associated with companies prior to our acquisition of them and to individuals that are or were employees of the Company, but who were neither an officer or a director, even though the current documents only require indemnification and advancement to officers and directors. The Company may incur substantial expenses in connection with the fulfillment of its advancement of costs and indemnification</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obligations in connection with current actions involving former officers of the Company or its subsidiaries or other actions or proceedings that may be brought against its former or current officers, directors and employees.</w:t>
      </w:r>
    </w:p>
    <w:p>
      <w:pPr>
        <w:spacing w:after="0" w:line="59" w:lineRule="exact"/>
        <w:rPr>
          <w:sz w:val="20"/>
          <w:szCs w:val="20"/>
          <w:color w:val="auto"/>
        </w:rPr>
      </w:pPr>
    </w:p>
    <w:p>
      <w:pPr>
        <w:jc w:val="both"/>
        <w:ind w:left="680" w:right="240" w:firstLine="399"/>
        <w:spacing w:after="0" w:line="301" w:lineRule="auto"/>
        <w:rPr>
          <w:sz w:val="20"/>
          <w:szCs w:val="20"/>
          <w:color w:val="auto"/>
        </w:rPr>
      </w:pPr>
      <w:r>
        <w:rPr>
          <w:rFonts w:ascii="Arial" w:cs="Arial" w:eastAsia="Arial" w:hAnsi="Arial"/>
          <w:sz w:val="11"/>
          <w:szCs w:val="11"/>
          <w:i w:val="1"/>
          <w:iCs w:val="1"/>
          <w:color w:val="auto"/>
        </w:rPr>
        <w:t xml:space="preserve">Tax matters </w:t>
      </w:r>
      <w:r>
        <w:rPr>
          <w:rFonts w:ascii="Arial" w:cs="Arial" w:eastAsia="Arial" w:hAnsi="Arial"/>
          <w:sz w:val="11"/>
          <w:szCs w:val="11"/>
          <w:color w:val="auto"/>
        </w:rPr>
        <w:t>— We are currently under audit by the IRS and from time to time are audited by other taxing authorities. We fully cooperate with all audits, but defend our positions</w:t>
      </w:r>
      <w:r>
        <w:rPr>
          <w:rFonts w:ascii="Arial" w:cs="Arial" w:eastAsia="Arial" w:hAnsi="Arial"/>
          <w:sz w:val="11"/>
          <w:szCs w:val="11"/>
          <w:i w:val="1"/>
          <w:iCs w:val="1"/>
          <w:color w:val="auto"/>
        </w:rPr>
        <w:t xml:space="preserve"> </w:t>
      </w:r>
      <w:r>
        <w:rPr>
          <w:rFonts w:ascii="Arial" w:cs="Arial" w:eastAsia="Arial" w:hAnsi="Arial"/>
          <w:sz w:val="11"/>
          <w:szCs w:val="11"/>
          <w:color w:val="auto"/>
        </w:rPr>
        <w:t>vigorously. Our audits are in various stages of completion. We have concluded several audits in the last two years. During the second quarter of 2006, we concluded the IRS audit for the years 2002 and 2003. In the first quarter of 2007, we concluded the IRS audit for the years 2004 and 2005. The current period financial statement impact of concluding various audits is discussed in Note 8. In addition, we are currently in the examination phase of an IRS audit for the years 2006 and 2007. We expect this audit to be completed within the next 12 months.</w:t>
      </w:r>
    </w:p>
    <w:p>
      <w:pPr>
        <w:spacing w:after="0" w:line="2"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Audits associated with state and local jurisdictions date back to 1999 and examinations associated with Canada date back to 2002. To provide for certain potential tax exposures, we maintain a liability for unrecognized tax benefits, the balance of which management believes is adequate. For additional information related to our liability for unrecognized tax benefits refer to Note 8. Results of audit assessments by taxing authorities could have a material effect on our quarterly or annual cash flows as audits are completed, although we do not believe that current tax audit matters will have a material adverse impact on our results of operations.</w:t>
      </w:r>
    </w:p>
    <w:p>
      <w:pPr>
        <w:spacing w:after="0" w:line="72"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As discussed in Note 7, we have approximately $2.8 billion of tax-exempt financings as of December 31, 2007. Tax-exempt financings are structured pursuant to certain terms and conditions of the Internal Revenue Code of 1986, as amended (the “Code”), which exempts from taxation the interest income earned by the bondholders in the transactions. The requirements of the Code can be complex, and failure to comply with these requirements could cause certain past interest payments made on the bonds to be taxable and could cause either outstanding principal amounts on the bonds to be accelerated or future interest payments on the bonds to be taxable. Some of the Company’s tax-exempt financings have been, or currently are, the subject of examinations by the IRS to determine whether the financings meet the requirements of the Code and applicable regulations. It is possible that an adverse determination by the IRS could have a material adverse effect on the Company’s cash flows and results of operations.</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Unclaimed property audits </w:t>
      </w:r>
      <w:r>
        <w:rPr>
          <w:rFonts w:ascii="Arial" w:cs="Arial" w:eastAsia="Arial" w:hAnsi="Arial"/>
          <w:sz w:val="12"/>
          <w:szCs w:val="12"/>
          <w:color w:val="auto"/>
        </w:rPr>
        <w:t>— State escheat laws generally require entities to report and remit abandoned and unclaimed property including unclaimed wages, vendor payments and</w:t>
      </w:r>
      <w:r>
        <w:rPr>
          <w:rFonts w:ascii="Arial" w:cs="Arial" w:eastAsia="Arial" w:hAnsi="Arial"/>
          <w:sz w:val="12"/>
          <w:szCs w:val="12"/>
          <w:i w:val="1"/>
          <w:iCs w:val="1"/>
          <w:color w:val="auto"/>
        </w:rPr>
        <w:t xml:space="preserve"> </w:t>
      </w:r>
      <w:r>
        <w:rPr>
          <w:rFonts w:ascii="Arial" w:cs="Arial" w:eastAsia="Arial" w:hAnsi="Arial"/>
          <w:sz w:val="12"/>
          <w:szCs w:val="12"/>
          <w:color w:val="auto"/>
        </w:rPr>
        <w:t>customer refunds. Failure to timely report and remit the property can result in assessments that include substantial interest and penalties, in addition to the payment of the escheat liability itself. During 2007, all ongoing unclaimed property audits have been concluded, and we have satisfied all resulting financial obligations. As a result of the conclusion of these audits, we recognized a $5 million charge, including $2 million of “Selling, general and administrative” expenses and $3 million of “Interest expense,” in 2007. During 2006, we submitted unclaimed property filings with all of the states except those where we were under audit, and, as a result of our findings, we determined that we had estimated unrecorded obligations associated with unclaimed property for escheatable items for various periods between 1980 and 2004. Our “Selling, general and administrative” expenses for the year ended December 31, 2006 included a charge of approximately $20 million to fully record our estimated obligations for unclaimed property. During 2006, we also recognized $1 million of estimated interest obligations associated with our findings, which has been included in “Interest expense” in our Consolidated Statement of Operations. We have determined that the impact of these adjustments is not material to current or prior periods’ results of operations. Although we cannot currently estimate the potential financial impacts that our previous voluntary compliance filings may have, we do not expect any resulting obligations to have a material adverse effect on our consolidated results of operations or cash flows.</w:t>
      </w:r>
    </w:p>
    <w:p>
      <w:pPr>
        <w:spacing w:after="0" w:line="137" w:lineRule="exact"/>
        <w:rPr>
          <w:sz w:val="20"/>
          <w:szCs w:val="20"/>
          <w:color w:val="auto"/>
        </w:rPr>
      </w:pPr>
    </w:p>
    <w:p>
      <w:pPr>
        <w:ind w:left="1180" w:hanging="493"/>
        <w:spacing w:after="0"/>
        <w:tabs>
          <w:tab w:leader="none" w:pos="1180"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jc w:val="both"/>
        <w:ind w:left="680" w:right="420" w:firstLine="399"/>
        <w:spacing w:after="0" w:line="264" w:lineRule="auto"/>
        <w:rPr>
          <w:sz w:val="20"/>
          <w:szCs w:val="20"/>
          <w:color w:val="auto"/>
        </w:rPr>
      </w:pPr>
      <w:r>
        <w:rPr>
          <w:rFonts w:ascii="Arial" w:cs="Arial" w:eastAsia="Arial" w:hAnsi="Arial"/>
          <w:sz w:val="13"/>
          <w:szCs w:val="13"/>
          <w:i w:val="1"/>
          <w:iCs w:val="1"/>
          <w:color w:val="auto"/>
        </w:rPr>
        <w:t xml:space="preserve">2007 Restructuring and Realignment </w:t>
      </w:r>
      <w:r>
        <w:rPr>
          <w:rFonts w:ascii="Arial" w:cs="Arial" w:eastAsia="Arial" w:hAnsi="Arial"/>
          <w:sz w:val="13"/>
          <w:szCs w:val="13"/>
          <w:color w:val="auto"/>
        </w:rPr>
        <w:t>— In the first quarter of 2007, we restructured certain operations and functions, resulting in the recognition of a charge of approximately</w:t>
      </w:r>
      <w:r>
        <w:rPr>
          <w:rFonts w:ascii="Arial" w:cs="Arial" w:eastAsia="Arial" w:hAnsi="Arial"/>
          <w:sz w:val="13"/>
          <w:szCs w:val="13"/>
          <w:i w:val="1"/>
          <w:iCs w:val="1"/>
          <w:color w:val="auto"/>
        </w:rPr>
        <w:t xml:space="preserve"> </w:t>
      </w:r>
      <w:r>
        <w:rPr>
          <w:rFonts w:ascii="Arial" w:cs="Arial" w:eastAsia="Arial" w:hAnsi="Arial"/>
          <w:sz w:val="13"/>
          <w:szCs w:val="13"/>
          <w:color w:val="auto"/>
        </w:rPr>
        <w:t>$9 million. We incurred an additional $1 million of costs for this restructuring during the second quarter of 2007, increasing the costs incurred to date to $10 million. Approximately $7 million of our restructuring costs was incurred by our Corporate organization, $2 million was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340"/>
        <w:spacing w:after="0" w:line="276" w:lineRule="auto"/>
        <w:rPr>
          <w:sz w:val="20"/>
          <w:szCs w:val="20"/>
          <w:color w:val="auto"/>
        </w:rPr>
      </w:pPr>
      <w:r>
        <w:rPr>
          <w:rFonts w:ascii="Arial" w:cs="Arial" w:eastAsia="Arial" w:hAnsi="Arial"/>
          <w:sz w:val="13"/>
          <w:szCs w:val="13"/>
          <w:color w:val="auto"/>
        </w:rPr>
        <w:t>incurred by our Midwest Group and $1 million was incurred by our Western Group. These charges included approximately $8 million for employee severance and benefit costs and approximately $2 million related to operating lease agreements.</w:t>
      </w:r>
    </w:p>
    <w:p>
      <w:pPr>
        <w:spacing w:after="0" w:line="59"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Through December 31, 2007, we had paid approximately $6 million of the employee severance and benefit costs incurred as a result of this restructuring. The length of time we are obligated to make severance payments varies, with the longest obligation continuing through the first quarter of 2009.</w:t>
      </w:r>
    </w:p>
    <w:p>
      <w:pPr>
        <w:spacing w:after="0" w:line="59"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i w:val="1"/>
          <w:iCs w:val="1"/>
          <w:color w:val="auto"/>
        </w:rPr>
        <w:t xml:space="preserve">2005 Restructuring and Workforce Reduction </w:t>
      </w:r>
      <w:r>
        <w:rPr>
          <w:rFonts w:ascii="Arial" w:cs="Arial" w:eastAsia="Arial" w:hAnsi="Arial"/>
          <w:sz w:val="13"/>
          <w:szCs w:val="13"/>
          <w:color w:val="auto"/>
        </w:rPr>
        <w:t>— During the third quarter of 2005, we reorganized and simplified our management structure by reducing our Group and corporate</w:t>
      </w:r>
      <w:r>
        <w:rPr>
          <w:rFonts w:ascii="Arial" w:cs="Arial" w:eastAsia="Arial" w:hAnsi="Arial"/>
          <w:sz w:val="13"/>
          <w:szCs w:val="13"/>
          <w:i w:val="1"/>
          <w:iCs w:val="1"/>
          <w:color w:val="auto"/>
        </w:rPr>
        <w:t xml:space="preserve"> </w:t>
      </w:r>
      <w:r>
        <w:rPr>
          <w:rFonts w:ascii="Arial" w:cs="Arial" w:eastAsia="Arial" w:hAnsi="Arial"/>
          <w:sz w:val="13"/>
          <w:szCs w:val="13"/>
          <w:color w:val="auto"/>
        </w:rPr>
        <w:t>office staffing levels. This reorganization increased the accountability and responsibility of our Market Areas and allowed us to streamline business decisions and to reduce costs at the Group and Corporate offices. Additionally, as part of our restructuring, the responsibility for the management of our Canadian operations was assumed by our Eastern, Midwest and Western Groups, thus eliminating the Canadian Group. See discussion at Note 20.</w:t>
      </w:r>
    </w:p>
    <w:p>
      <w:pPr>
        <w:spacing w:after="0" w:line="70" w:lineRule="exact"/>
        <w:rPr>
          <w:sz w:val="20"/>
          <w:szCs w:val="20"/>
          <w:color w:val="auto"/>
        </w:rPr>
      </w:pPr>
    </w:p>
    <w:p>
      <w:pPr>
        <w:ind w:left="680" w:right="860" w:firstLine="399"/>
        <w:spacing w:after="0" w:line="264" w:lineRule="auto"/>
        <w:rPr>
          <w:sz w:val="20"/>
          <w:szCs w:val="20"/>
          <w:color w:val="auto"/>
        </w:rPr>
      </w:pPr>
      <w:r>
        <w:rPr>
          <w:rFonts w:ascii="Arial" w:cs="Arial" w:eastAsia="Arial" w:hAnsi="Arial"/>
          <w:sz w:val="13"/>
          <w:szCs w:val="13"/>
          <w:color w:val="auto"/>
        </w:rPr>
        <w:t>The reorganization eliminated about 600 employee positions throughout the Company. In 2005, we recorded $28 million for costs associated with the implementation of the new structure. These charges included $25 million for employee severance and benefit costs, $1 million related to abandoned operating lease agreements and $2 million related to consulting fees incurred to align our sales strategy to our changes in both resources and leadership that resulted from the reorganization.</w:t>
      </w:r>
    </w:p>
    <w:p>
      <w:pPr>
        <w:spacing w:after="0" w:line="67" w:lineRule="exact"/>
        <w:rPr>
          <w:sz w:val="20"/>
          <w:szCs w:val="20"/>
          <w:color w:val="auto"/>
        </w:rPr>
      </w:pPr>
    </w:p>
    <w:p>
      <w:pPr>
        <w:jc w:val="both"/>
        <w:ind w:left="680" w:right="840" w:firstLine="399"/>
        <w:spacing w:after="0" w:line="264" w:lineRule="auto"/>
        <w:rPr>
          <w:sz w:val="20"/>
          <w:szCs w:val="20"/>
          <w:color w:val="auto"/>
        </w:rPr>
      </w:pPr>
      <w:r>
        <w:rPr>
          <w:rFonts w:ascii="Arial" w:cs="Arial" w:eastAsia="Arial" w:hAnsi="Arial"/>
          <w:sz w:val="13"/>
          <w:szCs w:val="13"/>
          <w:color w:val="auto"/>
        </w:rPr>
        <w:t>Through December 31, 2007, all employee severance and benefit costs incurred as a result of this restructuring have been paid. Approximately $1 million, $6 million and $18 million of these payments were made during 2007, 2006 and 2005, respectively. The length of time we were obligated to make severance payments varied, with the longest obligation ending in the third quarter of 2007.</w:t>
      </w:r>
    </w:p>
    <w:p>
      <w:pPr>
        <w:spacing w:after="0" w:line="67" w:lineRule="exact"/>
        <w:rPr>
          <w:sz w:val="20"/>
          <w:szCs w:val="20"/>
          <w:color w:val="auto"/>
        </w:rPr>
      </w:pPr>
    </w:p>
    <w:tbl>
      <w:tblPr>
        <w:tblLayout w:type="fixed"/>
        <w:tblInd w:w="1080" w:type="dxa"/>
        <w:tblCellMar>
          <w:top w:w="0" w:type="dxa"/>
          <w:left w:w="0" w:type="dxa"/>
          <w:bottom w:w="0" w:type="dxa"/>
          <w:right w:w="0" w:type="dxa"/>
        </w:tblCellMar>
      </w:tblPr>
      <w:tr>
        <w:trPr>
          <w:trHeight w:val="165"/>
        </w:trPr>
        <w:tc>
          <w:tcPr>
            <w:tcW w:w="7520" w:type="dxa"/>
            <w:vAlign w:val="bottom"/>
            <w:gridSpan w:val="2"/>
          </w:tcPr>
          <w:p>
            <w:pPr>
              <w:spacing w:after="0"/>
              <w:rPr>
                <w:sz w:val="20"/>
                <w:szCs w:val="20"/>
                <w:color w:val="auto"/>
              </w:rPr>
            </w:pPr>
            <w:r>
              <w:rPr>
                <w:rFonts w:ascii="Arial" w:cs="Arial" w:eastAsia="Arial" w:hAnsi="Arial"/>
                <w:sz w:val="13"/>
                <w:szCs w:val="13"/>
                <w:color w:val="auto"/>
              </w:rPr>
              <w:t>The following table summarizes the total costs recorded for this restructuring by our current reportable segments (in millions):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00"/>
        </w:trPr>
        <w:tc>
          <w:tcPr>
            <w:tcW w:w="1400" w:type="dxa"/>
            <w:vAlign w:val="bottom"/>
          </w:tcPr>
          <w:p>
            <w:pPr>
              <w:spacing w:after="0"/>
              <w:rPr>
                <w:sz w:val="8"/>
                <w:szCs w:val="8"/>
                <w:color w:val="auto"/>
              </w:rPr>
            </w:pPr>
          </w:p>
        </w:tc>
        <w:tc>
          <w:tcPr>
            <w:tcW w:w="6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57"/>
        </w:trPr>
        <w:tc>
          <w:tcPr>
            <w:tcW w:w="1400" w:type="dxa"/>
            <w:vAlign w:val="bottom"/>
          </w:tcPr>
          <w:p>
            <w:pPr>
              <w:spacing w:after="0"/>
              <w:rPr>
                <w:sz w:val="13"/>
                <w:szCs w:val="13"/>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60" w:type="dxa"/>
            <w:vAlign w:val="bottom"/>
            <w:shd w:val="clear" w:color="auto" w:fill="CCEEFF"/>
          </w:tcPr>
          <w:p>
            <w:pPr>
              <w:spacing w:after="0"/>
              <w:rPr>
                <w:sz w:val="13"/>
                <w:szCs w:val="13"/>
                <w:color w:val="auto"/>
              </w:rPr>
            </w:pPr>
          </w:p>
        </w:tc>
      </w:tr>
      <w:tr>
        <w:trPr>
          <w:trHeight w:val="157"/>
        </w:trPr>
        <w:tc>
          <w:tcPr>
            <w:tcW w:w="1400" w:type="dxa"/>
            <w:vAlign w:val="bottom"/>
          </w:tcPr>
          <w:p>
            <w:pPr>
              <w:spacing w:after="0"/>
              <w:rPr>
                <w:sz w:val="13"/>
                <w:szCs w:val="13"/>
                <w:color w:val="auto"/>
              </w:rPr>
            </w:pPr>
          </w:p>
        </w:tc>
        <w:tc>
          <w:tcPr>
            <w:tcW w:w="6120" w:type="dxa"/>
            <w:vAlign w:val="bottom"/>
          </w:tcPr>
          <w:p>
            <w:pPr>
              <w:spacing w:after="0"/>
              <w:rPr>
                <w:sz w:val="20"/>
                <w:szCs w:val="20"/>
                <w:color w:val="auto"/>
              </w:rPr>
            </w:pPr>
            <w:r>
              <w:rPr>
                <w:rFonts w:ascii="Arial" w:cs="Arial" w:eastAsia="Arial" w:hAnsi="Arial"/>
                <w:sz w:val="13"/>
                <w:szCs w:val="13"/>
                <w:color w:val="auto"/>
              </w:rPr>
              <w:t>Midwest</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3"/>
                <w:szCs w:val="13"/>
                <w:color w:val="auto"/>
              </w:rPr>
            </w:pPr>
          </w:p>
        </w:tc>
      </w:tr>
      <w:tr>
        <w:trPr>
          <w:trHeight w:val="157"/>
        </w:trPr>
        <w:tc>
          <w:tcPr>
            <w:tcW w:w="1400" w:type="dxa"/>
            <w:vAlign w:val="bottom"/>
          </w:tcPr>
          <w:p>
            <w:pPr>
              <w:spacing w:after="0"/>
              <w:rPr>
                <w:sz w:val="13"/>
                <w:szCs w:val="13"/>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60" w:type="dxa"/>
            <w:vAlign w:val="bottom"/>
            <w:shd w:val="clear" w:color="auto" w:fill="CCEEFF"/>
          </w:tcPr>
          <w:p>
            <w:pPr>
              <w:spacing w:after="0"/>
              <w:rPr>
                <w:sz w:val="13"/>
                <w:szCs w:val="13"/>
                <w:color w:val="auto"/>
              </w:rPr>
            </w:pPr>
          </w:p>
        </w:tc>
      </w:tr>
      <w:tr>
        <w:trPr>
          <w:trHeight w:val="157"/>
        </w:trPr>
        <w:tc>
          <w:tcPr>
            <w:tcW w:w="1400" w:type="dxa"/>
            <w:vAlign w:val="bottom"/>
          </w:tcPr>
          <w:p>
            <w:pPr>
              <w:spacing w:after="0"/>
              <w:rPr>
                <w:sz w:val="13"/>
                <w:szCs w:val="13"/>
                <w:color w:val="auto"/>
              </w:rPr>
            </w:pPr>
          </w:p>
        </w:tc>
        <w:tc>
          <w:tcPr>
            <w:tcW w:w="6120" w:type="dxa"/>
            <w:vAlign w:val="bottom"/>
          </w:tcPr>
          <w:p>
            <w:pPr>
              <w:spacing w:after="0"/>
              <w:rPr>
                <w:sz w:val="20"/>
                <w:szCs w:val="20"/>
                <w:color w:val="auto"/>
              </w:rPr>
            </w:pPr>
            <w:r>
              <w:rPr>
                <w:rFonts w:ascii="Arial" w:cs="Arial" w:eastAsia="Arial" w:hAnsi="Arial"/>
                <w:sz w:val="13"/>
                <w:szCs w:val="13"/>
                <w:color w:val="auto"/>
              </w:rPr>
              <w:t>Western</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3"/>
                <w:szCs w:val="13"/>
                <w:color w:val="auto"/>
              </w:rPr>
            </w:pPr>
          </w:p>
        </w:tc>
      </w:tr>
      <w:tr>
        <w:trPr>
          <w:trHeight w:val="157"/>
        </w:trPr>
        <w:tc>
          <w:tcPr>
            <w:tcW w:w="1400" w:type="dxa"/>
            <w:vAlign w:val="bottom"/>
          </w:tcPr>
          <w:p>
            <w:pPr>
              <w:spacing w:after="0"/>
              <w:rPr>
                <w:sz w:val="13"/>
                <w:szCs w:val="13"/>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80" w:type="dxa"/>
            <w:vAlign w:val="bottom"/>
            <w:shd w:val="clear" w:color="auto" w:fill="CCEEFF"/>
          </w:tcPr>
          <w:p>
            <w:pPr>
              <w:spacing w:after="0"/>
              <w:rPr>
                <w:sz w:val="13"/>
                <w:szCs w:val="13"/>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r>
      <w:tr>
        <w:trPr>
          <w:trHeight w:val="157"/>
        </w:trPr>
        <w:tc>
          <w:tcPr>
            <w:tcW w:w="1400" w:type="dxa"/>
            <w:vAlign w:val="bottom"/>
          </w:tcPr>
          <w:p>
            <w:pPr>
              <w:spacing w:after="0"/>
              <w:rPr>
                <w:sz w:val="13"/>
                <w:szCs w:val="13"/>
                <w:color w:val="auto"/>
              </w:rPr>
            </w:pPr>
          </w:p>
        </w:tc>
        <w:tc>
          <w:tcPr>
            <w:tcW w:w="6120" w:type="dxa"/>
            <w:vAlign w:val="bottom"/>
          </w:tcPr>
          <w:p>
            <w:pPr>
              <w:spacing w:after="0"/>
              <w:rPr>
                <w:sz w:val="20"/>
                <w:szCs w:val="20"/>
                <w:color w:val="auto"/>
              </w:rPr>
            </w:pPr>
            <w:r>
              <w:rPr>
                <w:rFonts w:ascii="Arial" w:cs="Arial" w:eastAsia="Arial" w:hAnsi="Arial"/>
                <w:sz w:val="13"/>
                <w:szCs w:val="13"/>
                <w:color w:val="auto"/>
              </w:rPr>
              <w:t>WMRA</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3"/>
                <w:szCs w:val="13"/>
                <w:color w:val="auto"/>
              </w:rPr>
            </w:pPr>
          </w:p>
        </w:tc>
      </w:tr>
      <w:tr>
        <w:trPr>
          <w:trHeight w:val="157"/>
        </w:trPr>
        <w:tc>
          <w:tcPr>
            <w:tcW w:w="1400" w:type="dxa"/>
            <w:vAlign w:val="bottom"/>
          </w:tcPr>
          <w:p>
            <w:pPr>
              <w:spacing w:after="0"/>
              <w:rPr>
                <w:sz w:val="13"/>
                <w:szCs w:val="13"/>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3"/>
                <w:szCs w:val="13"/>
                <w:color w:val="auto"/>
              </w:rPr>
              <w:t>Corporate</w:t>
            </w: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74"/>
              </w:rPr>
              <w:t>11</w:t>
            </w:r>
          </w:p>
        </w:tc>
        <w:tc>
          <w:tcPr>
            <w:tcW w:w="60" w:type="dxa"/>
            <w:vAlign w:val="bottom"/>
            <w:shd w:val="clear" w:color="auto" w:fill="CCEEFF"/>
          </w:tcPr>
          <w:p>
            <w:pPr>
              <w:spacing w:after="0"/>
              <w:rPr>
                <w:sz w:val="13"/>
                <w:szCs w:val="13"/>
                <w:color w:val="auto"/>
              </w:rPr>
            </w:pPr>
          </w:p>
        </w:tc>
      </w:tr>
      <w:tr>
        <w:trPr>
          <w:trHeight w:val="166"/>
        </w:trPr>
        <w:tc>
          <w:tcPr>
            <w:tcW w:w="1400" w:type="dxa"/>
            <w:vAlign w:val="bottom"/>
          </w:tcPr>
          <w:p>
            <w:pPr>
              <w:spacing w:after="0"/>
              <w:rPr>
                <w:sz w:val="14"/>
                <w:szCs w:val="14"/>
                <w:color w:val="auto"/>
              </w:rPr>
            </w:pPr>
          </w:p>
        </w:tc>
        <w:tc>
          <w:tcPr>
            <w:tcW w:w="6120" w:type="dxa"/>
            <w:vAlign w:val="bottom"/>
          </w:tcPr>
          <w:p>
            <w:pPr>
              <w:spacing w:after="0"/>
              <w:rPr>
                <w:sz w:val="20"/>
                <w:szCs w:val="20"/>
                <w:color w:val="auto"/>
              </w:rPr>
            </w:pPr>
            <w:r>
              <w:rPr>
                <w:rFonts w:ascii="Arial" w:cs="Arial" w:eastAsia="Arial" w:hAnsi="Arial"/>
                <w:sz w:val="13"/>
                <w:szCs w:val="13"/>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74"/>
              </w:rPr>
              <w:t>28</w:t>
            </w:r>
          </w:p>
        </w:tc>
        <w:tc>
          <w:tcPr>
            <w:tcW w:w="60" w:type="dxa"/>
            <w:vAlign w:val="bottom"/>
          </w:tcPr>
          <w:p>
            <w:pPr>
              <w:spacing w:after="0"/>
              <w:rPr>
                <w:sz w:val="14"/>
                <w:szCs w:val="14"/>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12. (Income) Expense from Divestitures, Asset Impairments and Unusual Items</w:t>
      </w:r>
    </w:p>
    <w:p>
      <w:pPr>
        <w:spacing w:after="0" w:line="100" w:lineRule="exact"/>
        <w:rPr>
          <w:sz w:val="20"/>
          <w:szCs w:val="20"/>
          <w:color w:val="auto"/>
        </w:rPr>
      </w:pPr>
    </w:p>
    <w:p>
      <w:pPr>
        <w:ind w:left="680" w:right="1260" w:firstLine="399"/>
        <w:spacing w:after="0" w:line="276" w:lineRule="auto"/>
        <w:rPr>
          <w:sz w:val="20"/>
          <w:szCs w:val="20"/>
          <w:color w:val="auto"/>
        </w:rPr>
      </w:pPr>
      <w:r>
        <w:rPr>
          <w:rFonts w:ascii="Arial" w:cs="Arial" w:eastAsia="Arial" w:hAnsi="Arial"/>
          <w:sz w:val="13"/>
          <w:szCs w:val="13"/>
          <w:color w:val="auto"/>
        </w:rPr>
        <w:t>The following table summarizes the major components of “(Income) expense from divestitures, asset impairments and unusual items” for the year ended December 31 for the respective periods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Years Ended December 31,</w:t>
            </w:r>
          </w:p>
        </w:tc>
        <w:tc>
          <w:tcPr>
            <w:tcW w:w="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28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(Income) expense from divestitures (including held-for-sale impairments)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4"/>
              </w:rPr>
              <w:t>(26)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00" w:type="dxa"/>
            <w:vAlign w:val="bottom"/>
          </w:tcPr>
          <w:p>
            <w:pPr>
              <w:spacing w:after="0"/>
              <w:rPr>
                <w:sz w:val="20"/>
                <w:szCs w:val="20"/>
                <w:color w:val="auto"/>
              </w:rPr>
            </w:pPr>
            <w:r>
              <w:rPr>
                <w:rFonts w:ascii="Arial" w:cs="Arial" w:eastAsia="Arial" w:hAnsi="Arial"/>
                <w:sz w:val="13"/>
                <w:szCs w:val="13"/>
                <w:color w:val="auto"/>
              </w:rPr>
              <w:t>Impairments of assets held-for-use</w:t>
            </w:r>
          </w:p>
        </w:tc>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116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3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340"/>
              <w:spacing w:after="0"/>
              <w:rPr>
                <w:sz w:val="20"/>
                <w:szCs w:val="20"/>
                <w:color w:val="auto"/>
              </w:rPr>
            </w:pPr>
            <w:r>
              <w:rPr>
                <w:rFonts w:ascii="Arial" w:cs="Arial" w:eastAsia="Arial" w:hAnsi="Arial"/>
                <w:sz w:val="13"/>
                <w:szCs w:val="13"/>
                <w:color w:val="auto"/>
              </w:rPr>
              <w:t>(47)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68</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800" w:type="dxa"/>
            <w:vAlign w:val="bottom"/>
          </w:tcPr>
          <w:p>
            <w:pPr>
              <w:jc w:val="right"/>
              <w:ind w:right="3074"/>
              <w:spacing w:after="0"/>
              <w:rPr>
                <w:sz w:val="20"/>
                <w:szCs w:val="20"/>
                <w:color w:val="auto"/>
              </w:rPr>
            </w:pPr>
            <w:r>
              <w:rPr>
                <w:rFonts w:ascii="Arial" w:cs="Arial" w:eastAsia="Arial" w:hAnsi="Arial"/>
                <w:sz w:val="13"/>
                <w:szCs w:val="13"/>
                <w:color w:val="auto"/>
              </w:rPr>
              <w:t>93</w:t>
            </w: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40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80" w:firstLine="399"/>
        <w:spacing w:after="0" w:line="260" w:lineRule="auto"/>
        <w:rPr>
          <w:sz w:val="20"/>
          <w:szCs w:val="20"/>
          <w:color w:val="auto"/>
        </w:rPr>
      </w:pPr>
      <w:r>
        <w:rPr>
          <w:rFonts w:ascii="Arial" w:cs="Arial" w:eastAsia="Arial" w:hAnsi="Arial"/>
          <w:sz w:val="13"/>
          <w:szCs w:val="13"/>
          <w:i w:val="1"/>
          <w:iCs w:val="1"/>
          <w:color w:val="auto"/>
        </w:rPr>
        <w:t xml:space="preserve">(Income) expense from divestitures (including held-for-sale impairments) </w:t>
      </w:r>
      <w:r>
        <w:rPr>
          <w:rFonts w:ascii="Arial" w:cs="Arial" w:eastAsia="Arial" w:hAnsi="Arial"/>
          <w:sz w:val="13"/>
          <w:szCs w:val="13"/>
          <w:color w:val="auto"/>
        </w:rPr>
        <w:t>— The net gains from divestitures in all three years were a result of our fix-or-seek exit initiative, and 2005</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also included a $39 million gain from the divestiture of a landfill in Canada as a result of a Divestiture Order by the Competition Bureau. Gains recognized from divestitures in 2006 were partially offset by the recognition of aggregate impairment charges of $18 million for operations held for sale as required by SFAS No. 144, </w:t>
      </w:r>
      <w:r>
        <w:rPr>
          <w:rFonts w:ascii="Arial" w:cs="Arial" w:eastAsia="Arial" w:hAnsi="Arial"/>
          <w:sz w:val="13"/>
          <w:szCs w:val="13"/>
          <w:i w:val="1"/>
          <w:iCs w:val="1"/>
          <w:color w:val="auto"/>
        </w:rPr>
        <w:t>Accounting for the Impairment or Disposal of</w:t>
      </w:r>
      <w:r>
        <w:rPr>
          <w:rFonts w:ascii="Arial" w:cs="Arial" w:eastAsia="Arial" w:hAnsi="Arial"/>
          <w:sz w:val="13"/>
          <w:szCs w:val="13"/>
          <w:color w:val="auto"/>
        </w:rPr>
        <w:t xml:space="preserve"> </w:t>
      </w:r>
      <w:r>
        <w:rPr>
          <w:rFonts w:ascii="Arial" w:cs="Arial" w:eastAsia="Arial" w:hAnsi="Arial"/>
          <w:sz w:val="13"/>
          <w:szCs w:val="13"/>
          <w:i w:val="1"/>
          <w:iCs w:val="1"/>
          <w:color w:val="auto"/>
        </w:rPr>
        <w:t>Long-Lived Assets</w:t>
      </w:r>
      <w:r>
        <w:rPr>
          <w:rFonts w:ascii="Arial" w:cs="Arial" w:eastAsia="Arial" w:hAnsi="Arial"/>
          <w:sz w:val="13"/>
          <w:szCs w:val="13"/>
          <w:color w:val="auto"/>
        </w:rPr>
        <w:t>.</w:t>
      </w:r>
    </w:p>
    <w:p>
      <w:pPr>
        <w:spacing w:after="0" w:line="70" w:lineRule="exact"/>
        <w:rPr>
          <w:sz w:val="20"/>
          <w:szCs w:val="20"/>
          <w:color w:val="auto"/>
        </w:rPr>
      </w:pPr>
    </w:p>
    <w:p>
      <w:pPr>
        <w:ind w:left="680" w:right="1020" w:firstLine="399"/>
        <w:spacing w:after="0" w:line="264" w:lineRule="auto"/>
        <w:rPr>
          <w:sz w:val="20"/>
          <w:szCs w:val="20"/>
          <w:color w:val="auto"/>
        </w:rPr>
      </w:pPr>
      <w:r>
        <w:rPr>
          <w:rFonts w:ascii="Arial" w:cs="Arial" w:eastAsia="Arial" w:hAnsi="Arial"/>
          <w:sz w:val="13"/>
          <w:szCs w:val="13"/>
          <w:i w:val="1"/>
          <w:iCs w:val="1"/>
          <w:color w:val="auto"/>
        </w:rPr>
        <w:t xml:space="preserve">Impairments of assets held-for-use </w:t>
      </w:r>
      <w:r>
        <w:rPr>
          <w:rFonts w:ascii="Arial" w:cs="Arial" w:eastAsia="Arial" w:hAnsi="Arial"/>
          <w:sz w:val="13"/>
          <w:szCs w:val="13"/>
          <w:color w:val="auto"/>
        </w:rPr>
        <w:t>— During 2007, we recognized $12 million in impairment charges due to impairments recognized for two landfills in our Southern Group. The</w:t>
      </w:r>
      <w:r>
        <w:rPr>
          <w:rFonts w:ascii="Arial" w:cs="Arial" w:eastAsia="Arial" w:hAnsi="Arial"/>
          <w:sz w:val="13"/>
          <w:szCs w:val="13"/>
          <w:i w:val="1"/>
          <w:iCs w:val="1"/>
          <w:color w:val="auto"/>
        </w:rPr>
        <w:t xml:space="preserve"> </w:t>
      </w:r>
      <w:r>
        <w:rPr>
          <w:rFonts w:ascii="Arial" w:cs="Arial" w:eastAsia="Arial" w:hAnsi="Arial"/>
          <w:sz w:val="13"/>
          <w:szCs w:val="13"/>
          <w:color w:val="auto"/>
        </w:rPr>
        <w:t>impairments were necessary as a result of the re-evaluation of our business alternatives for one landfill and the expiration of a contract that we had expected would be renewed that had significantly contributed to the volumes for the second landfill.</w:t>
      </w:r>
    </w:p>
    <w:p>
      <w:pPr>
        <w:spacing w:after="0" w:line="67" w:lineRule="exact"/>
        <w:rPr>
          <w:sz w:val="20"/>
          <w:szCs w:val="20"/>
          <w:color w:val="auto"/>
        </w:rPr>
      </w:pPr>
    </w:p>
    <w:p>
      <w:pPr>
        <w:ind w:left="680" w:right="940" w:firstLine="399"/>
        <w:spacing w:after="0" w:line="276" w:lineRule="auto"/>
        <w:rPr>
          <w:sz w:val="20"/>
          <w:szCs w:val="20"/>
          <w:color w:val="auto"/>
        </w:rPr>
      </w:pPr>
      <w:r>
        <w:rPr>
          <w:rFonts w:ascii="Arial" w:cs="Arial" w:eastAsia="Arial" w:hAnsi="Arial"/>
          <w:sz w:val="13"/>
          <w:szCs w:val="13"/>
          <w:color w:val="auto"/>
        </w:rPr>
        <w:t>The $24 million of impairment charges recognized during 2006 was primarily related to the impairment of a landfill in our Eastern Group as a result of a change in our expectations for future expansions and the impairment of under-performing operations in our WMRA Group.</w:t>
      </w:r>
    </w:p>
    <w:p>
      <w:pPr>
        <w:spacing w:after="0" w:line="59" w:lineRule="exact"/>
        <w:rPr>
          <w:sz w:val="20"/>
          <w:szCs w:val="20"/>
          <w:color w:val="auto"/>
        </w:rPr>
      </w:pPr>
    </w:p>
    <w:p>
      <w:pPr>
        <w:ind w:left="680" w:right="820" w:firstLine="399"/>
        <w:spacing w:after="0" w:line="258" w:lineRule="auto"/>
        <w:rPr>
          <w:sz w:val="20"/>
          <w:szCs w:val="20"/>
          <w:color w:val="auto"/>
        </w:rPr>
      </w:pPr>
      <w:r>
        <w:rPr>
          <w:rFonts w:ascii="Arial" w:cs="Arial" w:eastAsia="Arial" w:hAnsi="Arial"/>
          <w:sz w:val="13"/>
          <w:szCs w:val="13"/>
          <w:color w:val="auto"/>
        </w:rPr>
        <w:t>During the second quarter of 2005, our Eastern Group recorded a $35 million charge for the impairment of the Pottstown Landfill in Pennsylvania. We determined that the impairment was necessary after the denial of a permit application for a vertical expansion at the landfill was upheld and we decided not to pursue an appeal of that decision. In addition, during 2005 we recorded $68 million in impairment charges associated with capitalized software, driven by a $59 million charge for revenue management system software that had previously been under development. The remaining impairment charges recognized in 2005 were largely related to the impairment of a landfill in our Eastern Group as a result of a change in our expectations for future expansions.</w:t>
      </w:r>
    </w:p>
    <w:p>
      <w:pPr>
        <w:spacing w:after="0" w:line="71" w:lineRule="exact"/>
        <w:rPr>
          <w:sz w:val="20"/>
          <w:szCs w:val="20"/>
          <w:color w:val="auto"/>
        </w:rPr>
      </w:pPr>
    </w:p>
    <w:p>
      <w:pPr>
        <w:ind w:left="680" w:right="820" w:firstLine="399"/>
        <w:spacing w:after="0" w:line="257"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In both 2006 and 2005 we recognized charges associated with the termination of legal matters related to issues that arose in 2000 and earlier. In 2006, we recognized a</w:t>
      </w:r>
      <w:r>
        <w:rPr>
          <w:rFonts w:ascii="Arial" w:cs="Arial" w:eastAsia="Arial" w:hAnsi="Arial"/>
          <w:sz w:val="13"/>
          <w:szCs w:val="13"/>
          <w:i w:val="1"/>
          <w:iCs w:val="1"/>
          <w:color w:val="auto"/>
        </w:rPr>
        <w:t xml:space="preserve"> </w:t>
      </w:r>
      <w:r>
        <w:rPr>
          <w:rFonts w:ascii="Arial" w:cs="Arial" w:eastAsia="Arial" w:hAnsi="Arial"/>
          <w:sz w:val="13"/>
          <w:szCs w:val="13"/>
          <w:color w:val="auto"/>
        </w:rPr>
        <w:t>$26 million charge for the impact of an arbitration ruling against us related to the termination of a joint venture relationship in 2000. In 2005, we recognized a $16 million charge for the impact of a settlement reached with a group of stockholders that had opted not to participate in the settlement of the securities class action lawsuit against us related to 1998 and 1999 activity and a $27 million charge to settle our ongoing defense costs associated with possible indemnity obligations to former officers of WM Holdings related to the litigation brought against them by the SEC. The 2005 charges were partially offset by the recognition of a net benefit of $12 million, primarily for adjustments to receivables and estimated obligations for non-solid waste operations that had been sold in 1999 and 2000.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3"/>
                <w:szCs w:val="13"/>
                <w:b w:val="1"/>
                <w:bCs w:val="1"/>
                <w:color w:val="auto"/>
              </w:rPr>
              <w:t>13.</w:t>
            </w:r>
          </w:p>
        </w:tc>
        <w:tc>
          <w:tcPr>
            <w:tcW w:w="7920" w:type="dxa"/>
            <w:vAlign w:val="bottom"/>
          </w:tcPr>
          <w:p>
            <w:pPr>
              <w:jc w:val="right"/>
              <w:ind w:right="5174"/>
              <w:spacing w:after="0"/>
              <w:rPr>
                <w:sz w:val="20"/>
                <w:szCs w:val="20"/>
                <w:color w:val="auto"/>
              </w:rPr>
            </w:pPr>
            <w:r>
              <w:rPr>
                <w:rFonts w:ascii="Arial" w:cs="Arial" w:eastAsia="Arial" w:hAnsi="Arial"/>
                <w:sz w:val="13"/>
                <w:szCs w:val="13"/>
                <w:b w:val="1"/>
                <w:bCs w:val="1"/>
                <w:color w:val="auto"/>
                <w:w w:val="98"/>
              </w:rPr>
              <w:t>Accumulated Other Comprehensive Income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920" w:type="dxa"/>
            <w:vAlign w:val="bottom"/>
          </w:tcPr>
          <w:p>
            <w:pPr>
              <w:jc w:val="right"/>
              <w:ind w:right="2894"/>
              <w:spacing w:after="0"/>
              <w:rPr>
                <w:sz w:val="20"/>
                <w:szCs w:val="20"/>
                <w:color w:val="auto"/>
              </w:rPr>
            </w:pPr>
            <w:r>
              <w:rPr>
                <w:rFonts w:ascii="Arial" w:cs="Arial" w:eastAsia="Arial" w:hAnsi="Arial"/>
                <w:sz w:val="13"/>
                <w:szCs w:val="13"/>
                <w:color w:val="auto"/>
                <w:w w:val="94"/>
              </w:rPr>
              <w:t>The components of accumulated other comprehensive income were as follows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0"/>
                <w:szCs w:val="10"/>
                <w:b w:val="1"/>
                <w:bCs w:val="1"/>
                <w:color w:val="auto"/>
              </w:rPr>
              <w:t>December 31,</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920" w:type="dxa"/>
            <w:vAlign w:val="bottom"/>
          </w:tcPr>
          <w:p>
            <w:pPr>
              <w:spacing w:after="0"/>
              <w:rPr>
                <w:sz w:val="8"/>
                <w:szCs w:val="8"/>
                <w:color w:val="auto"/>
              </w:rPr>
            </w:pPr>
          </w:p>
        </w:tc>
        <w:tc>
          <w:tcPr>
            <w:tcW w:w="30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8"/>
                <w:szCs w:val="8"/>
                <w:color w:val="auto"/>
              </w:rPr>
            </w:pPr>
          </w:p>
        </w:tc>
        <w:tc>
          <w:tcPr>
            <w:tcW w:w="560" w:type="dxa"/>
            <w:vAlign w:val="bottom"/>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280" w:type="dxa"/>
            <w:vAlign w:val="bottom"/>
          </w:tcPr>
          <w:p>
            <w:pPr>
              <w:jc w:val="right"/>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Accumulated unrealized loss on derivative instruments, net of a tax benefit of $13 for 2007, $21 for 2006, and $17 for 2005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 (33)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 (27)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200" w:type="dxa"/>
            <w:vAlign w:val="bottom"/>
            <w:gridSpan w:val="2"/>
          </w:tcPr>
          <w:p>
            <w:pPr>
              <w:spacing w:after="0"/>
              <w:rPr>
                <w:sz w:val="20"/>
                <w:szCs w:val="20"/>
                <w:color w:val="auto"/>
              </w:rPr>
            </w:pPr>
            <w:r>
              <w:rPr>
                <w:rFonts w:ascii="Arial" w:cs="Arial" w:eastAsia="Arial" w:hAnsi="Arial"/>
                <w:sz w:val="13"/>
                <w:szCs w:val="13"/>
                <w:color w:val="auto"/>
              </w:rPr>
              <w:t>Accumulated unrealized gain on marketable securities, net of taxes of $3 for 2007, $6 for 2006 and $3 for 2005</w:t>
            </w:r>
          </w:p>
        </w:tc>
        <w:tc>
          <w:tcPr>
            <w:tcW w:w="10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5</w:t>
            </w:r>
          </w:p>
        </w:tc>
        <w:tc>
          <w:tcPr>
            <w:tcW w:w="960" w:type="dxa"/>
            <w:vAlign w:val="bottom"/>
            <w:gridSpan w:val="3"/>
          </w:tcPr>
          <w:p>
            <w:pPr>
              <w:jc w:val="right"/>
              <w:ind w:right="400"/>
              <w:spacing w:after="0"/>
              <w:rPr>
                <w:sz w:val="20"/>
                <w:szCs w:val="20"/>
                <w:color w:val="auto"/>
              </w:rPr>
            </w:pPr>
            <w:r>
              <w:rPr>
                <w:rFonts w:ascii="Arial" w:cs="Arial" w:eastAsia="Arial" w:hAnsi="Arial"/>
                <w:sz w:val="13"/>
                <w:szCs w:val="13"/>
                <w:color w:val="auto"/>
              </w:rPr>
              <w:t>10</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Cumulative translation adjustment of foreign currency statements</w:t>
            </w:r>
          </w:p>
        </w:tc>
        <w:tc>
          <w:tcPr>
            <w:tcW w:w="1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240</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151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200" w:type="dxa"/>
            <w:vAlign w:val="bottom"/>
            <w:gridSpan w:val="2"/>
          </w:tcPr>
          <w:p>
            <w:pPr>
              <w:spacing w:after="0"/>
              <w:rPr>
                <w:sz w:val="20"/>
                <w:szCs w:val="20"/>
                <w:color w:val="auto"/>
              </w:rPr>
            </w:pPr>
            <w:r>
              <w:rPr>
                <w:rFonts w:ascii="Arial" w:cs="Arial" w:eastAsia="Arial" w:hAnsi="Arial"/>
                <w:sz w:val="13"/>
                <w:szCs w:val="13"/>
                <w:color w:val="auto"/>
              </w:rPr>
              <w:t>Underfunded post-retirement benefit obligations, net of taxes of $0 for 2007 and $3 for 2006</w:t>
            </w:r>
          </w:p>
        </w:tc>
        <w:tc>
          <w:tcPr>
            <w:tcW w:w="10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4</w:t>
            </w:r>
          </w:p>
        </w:tc>
        <w:tc>
          <w:tcPr>
            <w:tcW w:w="960" w:type="dxa"/>
            <w:vAlign w:val="bottom"/>
            <w:gridSpan w:val="3"/>
          </w:tcPr>
          <w:p>
            <w:pPr>
              <w:jc w:val="right"/>
              <w:ind w:right="400"/>
              <w:spacing w:after="0"/>
              <w:rPr>
                <w:sz w:val="20"/>
                <w:szCs w:val="20"/>
                <w:color w:val="auto"/>
              </w:rPr>
            </w:pPr>
            <w:r>
              <w:rPr>
                <w:rFonts w:ascii="Arial" w:cs="Arial" w:eastAsia="Arial" w:hAnsi="Arial"/>
                <w:sz w:val="13"/>
                <w:szCs w:val="13"/>
                <w:color w:val="auto"/>
              </w:rPr>
              <w:t>1</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9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229</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$ 129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$ 126</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20" w:type="dxa"/>
            <w:vAlign w:val="bottom"/>
          </w:tcPr>
          <w:p>
            <w:pPr>
              <w:jc w:val="right"/>
              <w:ind w:right="3074"/>
              <w:spacing w:after="0"/>
              <w:rPr>
                <w:sz w:val="20"/>
                <w:szCs w:val="20"/>
                <w:color w:val="auto"/>
              </w:rPr>
            </w:pPr>
            <w:r>
              <w:rPr>
                <w:rFonts w:ascii="Arial" w:cs="Arial" w:eastAsia="Arial" w:hAnsi="Arial"/>
                <w:sz w:val="13"/>
                <w:szCs w:val="13"/>
                <w:color w:val="auto"/>
              </w:rPr>
              <w:t>94</w:t>
            </w: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79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Capital Stock, Share Repurchases and Dividends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 stock</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As of December 31, 2007, we have 500.1 million shares of common stock issued and outstanding. We have 1.5 billion shares of authorized common stock with a par value of $0.01 per common share.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ten million shares of authorized preferred stock, $0.01 par value, none of which is currently outstanding.</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 repurchases</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In 2004, our Board of Directors approved a capital allocation plan that allowed for up to $1.2 billion in annual share repurchases, and dividend payments, for each of 2005, 2006 and 2007. In June 2006, our Board of Directors approved up to $350 million of additional share repurchases for 2006, increasing the maximum amount of capital to be allocated to our share repurchases and dividend payments for 2006 to $1.55 billion. In March 2007, our Board of Directors approved up to $600 million of additional share repurchases for 2007 and in November 2007 our Board of Directors approved up to $300 million of additional share repurchases, which is not limited to any calendar year. As a result, the maximum amount of capital to be allocated to our share repurchases and dividend payments in 2007 was $2.1 billion. All share repurchases in 2005, 2006 and 2007 have been made pursuant to these Board authorized capital allocation plans.</w:t>
      </w:r>
    </w:p>
    <w:p>
      <w:pPr>
        <w:spacing w:after="0" w:line="72"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In December 2007, our Board of Directors approved a new capital allocation program that includes the authorization for up to $1.4 billion in combined cash dividends and common stock repurchases in 2008. Approximately $184 million of the November 2007 additional authorization of $300 million remained available for repurchases at year-end. As a result, the maximum amount of capital to be allocated to our share repurchases and dividend payments in 2008 is approximately $1,584 million.</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activity under our stock repurchase programs for each year presented: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200" w:type="dxa"/>
            <w:vAlign w:val="bottom"/>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w w:val="99"/>
              </w:rPr>
              <w:t>Years Ended December 31,</w:t>
            </w:r>
          </w:p>
        </w:tc>
        <w:tc>
          <w:tcPr>
            <w:tcW w:w="2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r>
        <w:trPr>
          <w:trHeight w:val="98"/>
        </w:trPr>
        <w:tc>
          <w:tcPr>
            <w:tcW w:w="5200" w:type="dxa"/>
            <w:vAlign w:val="bottom"/>
          </w:tcPr>
          <w:p>
            <w:pPr>
              <w:spacing w:after="0"/>
              <w:rPr>
                <w:sz w:val="8"/>
                <w:szCs w:val="8"/>
                <w:color w:val="auto"/>
              </w:rPr>
            </w:pPr>
          </w:p>
        </w:tc>
        <w:tc>
          <w:tcPr>
            <w:tcW w:w="14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8"/>
              </w:rPr>
              <w:t>2007</w:t>
            </w:r>
          </w:p>
        </w:tc>
        <w:tc>
          <w:tcPr>
            <w:tcW w:w="1700" w:type="dxa"/>
            <w:vAlign w:val="bottom"/>
            <w:gridSpan w:val="2"/>
          </w:tcPr>
          <w:p>
            <w:pPr>
              <w:jc w:val="center"/>
              <w:ind w:left="238"/>
              <w:spacing w:after="0" w:line="98" w:lineRule="exact"/>
              <w:rPr>
                <w:sz w:val="20"/>
                <w:szCs w:val="20"/>
                <w:color w:val="auto"/>
              </w:rPr>
            </w:pPr>
            <w:r>
              <w:rPr>
                <w:rFonts w:ascii="Arial" w:cs="Arial" w:eastAsia="Arial" w:hAnsi="Arial"/>
                <w:sz w:val="10"/>
                <w:szCs w:val="10"/>
                <w:b w:val="1"/>
                <w:bCs w:val="1"/>
                <w:color w:val="auto"/>
                <w:w w:val="89"/>
              </w:rPr>
              <w:t>2006</w:t>
            </w:r>
          </w:p>
        </w:tc>
        <w:tc>
          <w:tcPr>
            <w:tcW w:w="1680" w:type="dxa"/>
            <w:vAlign w:val="bottom"/>
            <w:gridSpan w:val="2"/>
          </w:tcPr>
          <w:p>
            <w:pPr>
              <w:jc w:val="center"/>
              <w:ind w:left="238"/>
              <w:spacing w:after="0" w:line="98" w:lineRule="exact"/>
              <w:rPr>
                <w:sz w:val="20"/>
                <w:szCs w:val="20"/>
                <w:color w:val="auto"/>
              </w:rPr>
            </w:pPr>
            <w:r>
              <w:rPr>
                <w:rFonts w:ascii="Arial" w:cs="Arial" w:eastAsia="Arial" w:hAnsi="Arial"/>
                <w:sz w:val="10"/>
                <w:szCs w:val="10"/>
                <w:b w:val="1"/>
                <w:bCs w:val="1"/>
                <w:color w:val="auto"/>
                <w:w w:val="98"/>
              </w:rPr>
              <w:t>2005</w:t>
            </w:r>
          </w:p>
        </w:tc>
      </w:tr>
      <w:tr>
        <w:trPr>
          <w:trHeight w:val="29"/>
        </w:trPr>
        <w:tc>
          <w:tcPr>
            <w:tcW w:w="52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Shares repurchased (in thousands)</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39,946</w:t>
            </w:r>
          </w:p>
        </w:tc>
        <w:tc>
          <w:tcPr>
            <w:tcW w:w="17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0"/>
              </w:rPr>
              <w:t>30,965</w:t>
            </w:r>
          </w:p>
        </w:tc>
        <w:tc>
          <w:tcPr>
            <w:tcW w:w="1680" w:type="dxa"/>
            <w:vAlign w:val="bottom"/>
            <w:gridSpan w:val="2"/>
            <w:shd w:val="clear" w:color="auto" w:fill="CCEEFF"/>
          </w:tcPr>
          <w:p>
            <w:pPr>
              <w:jc w:val="center"/>
              <w:ind w:left="218"/>
              <w:spacing w:after="0"/>
              <w:rPr>
                <w:sz w:val="20"/>
                <w:szCs w:val="20"/>
                <w:color w:val="auto"/>
              </w:rPr>
            </w:pPr>
            <w:r>
              <w:rPr>
                <w:rFonts w:ascii="Arial" w:cs="Arial" w:eastAsia="Arial" w:hAnsi="Arial"/>
                <w:sz w:val="13"/>
                <w:szCs w:val="13"/>
                <w:color w:val="auto"/>
                <w:w w:val="90"/>
              </w:rPr>
              <w:t>24,727</w:t>
            </w: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Per share purchase price</w:t>
            </w: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$33.00-$40.13</w:t>
            </w:r>
          </w:p>
        </w:tc>
        <w:tc>
          <w:tcPr>
            <w:tcW w:w="1700" w:type="dxa"/>
            <w:vAlign w:val="bottom"/>
            <w:gridSpan w:val="2"/>
          </w:tcPr>
          <w:p>
            <w:pPr>
              <w:jc w:val="center"/>
              <w:ind w:left="238"/>
              <w:spacing w:after="0"/>
              <w:rPr>
                <w:sz w:val="20"/>
                <w:szCs w:val="20"/>
                <w:color w:val="auto"/>
              </w:rPr>
            </w:pPr>
            <w:r>
              <w:rPr>
                <w:rFonts w:ascii="Arial" w:cs="Arial" w:eastAsia="Arial" w:hAnsi="Arial"/>
                <w:sz w:val="13"/>
                <w:szCs w:val="13"/>
                <w:color w:val="auto"/>
                <w:w w:val="90"/>
              </w:rPr>
              <w:t>$32.23-$38.49</w:t>
            </w:r>
          </w:p>
        </w:tc>
        <w:tc>
          <w:tcPr>
            <w:tcW w:w="1680" w:type="dxa"/>
            <w:vAlign w:val="bottom"/>
            <w:gridSpan w:val="2"/>
          </w:tcPr>
          <w:p>
            <w:pPr>
              <w:jc w:val="center"/>
              <w:ind w:left="218"/>
              <w:spacing w:after="0"/>
              <w:rPr>
                <w:sz w:val="20"/>
                <w:szCs w:val="20"/>
                <w:color w:val="auto"/>
              </w:rPr>
            </w:pPr>
            <w:r>
              <w:rPr>
                <w:rFonts w:ascii="Arial" w:cs="Arial" w:eastAsia="Arial" w:hAnsi="Arial"/>
                <w:sz w:val="13"/>
                <w:szCs w:val="13"/>
                <w:color w:val="auto"/>
                <w:w w:val="90"/>
              </w:rPr>
              <w:t>$27.01-$30.67</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Total repurchases (in millions)</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$1,421</w:t>
            </w:r>
          </w:p>
        </w:tc>
        <w:tc>
          <w:tcPr>
            <w:tcW w:w="17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0"/>
              </w:rPr>
              <w:t>$1,072</w:t>
            </w:r>
          </w:p>
        </w:tc>
        <w:tc>
          <w:tcPr>
            <w:tcW w:w="168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89"/>
              </w:rPr>
              <w:t>$706</w:t>
            </w:r>
          </w:p>
        </w:tc>
      </w:tr>
    </w:tbl>
    <w:p>
      <w:pPr>
        <w:spacing w:after="0" w:line="80"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Our 2006 share repurchase activity includes $291 million paid to repurchase our common stock through an accelerated share repurchase transaction. The number of shares we repurchased under the accelerated repurchase transaction was determined by dividing $275 million by the fair market value of our common stock on the repurchase date. At the end of the valuation period, which was in February 2006, we were required to make a settlement payment for the difference between the $275 million paid at the inception of the valuation period and the weighted average daily market price of our common stock during the valuation period times the number of shares we repurchased, or $16 million. We elected to make the required settlement payment in cash.</w:t>
      </w:r>
    </w:p>
    <w:p>
      <w:pPr>
        <w:spacing w:after="0" w:line="71" w:lineRule="exact"/>
        <w:rPr>
          <w:sz w:val="20"/>
          <w:szCs w:val="20"/>
          <w:color w:val="auto"/>
        </w:rPr>
      </w:pPr>
    </w:p>
    <w:p>
      <w:pPr>
        <w:jc w:val="both"/>
        <w:ind w:left="680" w:right="480" w:firstLine="399"/>
        <w:spacing w:after="0" w:line="371" w:lineRule="auto"/>
        <w:rPr>
          <w:sz w:val="20"/>
          <w:szCs w:val="20"/>
          <w:color w:val="auto"/>
        </w:rPr>
      </w:pPr>
      <w:r>
        <w:rPr>
          <w:rFonts w:ascii="Arial" w:cs="Arial" w:eastAsia="Arial" w:hAnsi="Arial"/>
          <w:sz w:val="11"/>
          <w:szCs w:val="11"/>
          <w:color w:val="auto"/>
        </w:rPr>
        <w:t>In November 2007, we entered into a plan under SEC Rule 10b5-1 to effect market purchases of our common stock in 2008. These common stock repurchases were made in accordance with our Board approved capital allocation program. We repurchased $175 million of our common stock pursuant to the plan, which was completed on February 7, 2008.</w:t>
      </w:r>
    </w:p>
    <w:p>
      <w:pPr>
        <w:spacing w:after="0" w:line="1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Future share repurchases will be made within the limits approved by our Board of Directors at the discretion of management, and will depend on factors similar to those considered by the Board in making dividend declarations.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quarterly dividends have been declared by our Board of Directors and paid in accordance with the capital allocation programs discussed above. The following is a summary of dividends declared and paid each year:</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5"/>
          </w:tcPr>
          <w:p>
            <w:pPr>
              <w:jc w:val="center"/>
              <w:ind w:left="259"/>
              <w:spacing w:after="0"/>
              <w:rPr>
                <w:sz w:val="20"/>
                <w:szCs w:val="20"/>
                <w:color w:val="auto"/>
              </w:rPr>
            </w:pPr>
            <w:r>
              <w:rPr>
                <w:rFonts w:ascii="Arial" w:cs="Arial" w:eastAsia="Arial" w:hAnsi="Arial"/>
                <w:sz w:val="10"/>
                <w:szCs w:val="10"/>
                <w:b w:val="1"/>
                <w:bCs w:val="1"/>
                <w:color w:val="auto"/>
                <w:w w:val="93"/>
              </w:rPr>
              <w:t>Years Ended December 31,</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9"/>
              <w:spacing w:after="0" w:line="98" w:lineRule="exact"/>
              <w:rPr>
                <w:sz w:val="20"/>
                <w:szCs w:val="20"/>
                <w:color w:val="auto"/>
              </w:rPr>
            </w:pPr>
            <w:r>
              <w:rPr>
                <w:rFonts w:ascii="Arial" w:cs="Arial" w:eastAsia="Arial" w:hAnsi="Arial"/>
                <w:sz w:val="10"/>
                <w:szCs w:val="10"/>
                <w:b w:val="1"/>
                <w:bCs w:val="1"/>
                <w:color w:val="auto"/>
                <w:w w:val="98"/>
              </w:rPr>
              <w:t>2007</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8"/>
                <w:szCs w:val="8"/>
                <w:color w:val="auto"/>
              </w:rPr>
            </w:pPr>
          </w:p>
        </w:tc>
      </w:tr>
      <w:tr>
        <w:trPr>
          <w:trHeight w:val="29"/>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Cash dividends per common share:</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Declared(a)</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0.96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0.66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1.02</w:t>
            </w: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Paid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0.80</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Total cash dividends (in millions):</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Declared(a)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495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571</w:t>
            </w:r>
          </w:p>
        </w:tc>
      </w:tr>
      <w:tr>
        <w:trPr>
          <w:trHeight w:val="165"/>
        </w:trPr>
        <w:tc>
          <w:tcPr>
            <w:tcW w:w="7900" w:type="dxa"/>
            <w:vAlign w:val="bottom"/>
          </w:tcPr>
          <w:p>
            <w:pPr>
              <w:ind w:left="140"/>
              <w:spacing w:after="0"/>
              <w:rPr>
                <w:sz w:val="20"/>
                <w:szCs w:val="20"/>
                <w:color w:val="auto"/>
              </w:rPr>
            </w:pPr>
            <w:r>
              <w:rPr>
                <w:rFonts w:ascii="Arial" w:cs="Arial" w:eastAsia="Arial" w:hAnsi="Arial"/>
                <w:sz w:val="13"/>
                <w:szCs w:val="13"/>
                <w:color w:val="auto"/>
              </w:rPr>
              <w:t>Paid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495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476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180" w:hanging="493"/>
        <w:spacing w:after="0"/>
        <w:tabs>
          <w:tab w:leader="none" w:pos="11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In 2005, the cash dividend declared amounts included the Board of Directors’ declaration of the first quarterly dividend for 2006 of $0.22 per share, or $122 million.</w:t>
      </w:r>
    </w:p>
    <w:p>
      <w:pPr>
        <w:spacing w:after="0" w:line="9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In December 2007, we announced that our Board of Directors expects to increase the per share quarterly dividend from $0.24 to $0.27 for dividends declared in 2008. However, all future dividend declarations are at the discretion of the Board of Directors, and depend on various factors, including our net earnings, financial condition, cash required for future business plans and other factors the Board may deem relevant.</w:t>
      </w:r>
    </w:p>
    <w:p>
      <w:pPr>
        <w:spacing w:after="0" w:line="142" w:lineRule="exact"/>
        <w:rPr>
          <w:sz w:val="20"/>
          <w:szCs w:val="20"/>
          <w:color w:val="auto"/>
        </w:rPr>
      </w:pPr>
    </w:p>
    <w:p>
      <w:pPr>
        <w:ind w:left="1180" w:hanging="493"/>
        <w:spacing w:after="0"/>
        <w:tabs>
          <w:tab w:leader="none" w:pos="118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Stock-Based Compensation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 Stock Purchase Plan</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have an Employee Stock Purchase Plan under which employees that have been employed for at least 30 days may purchase shares of our common stock at a discount. The plan provides for two offering periods for purchases: January through June and July through December. At the end of each offering period, employees are able to purchase shares of common stock at a price equal to 85% of the lesser of the market value of the stock on the first or last day of such offering period. The purchases are made through payroll deductions, and the number of shares that may be purchased is limited by IRS regulations. The total number of shares issued under the plan for the offering periods in each of 2007, 2006 and 2005 was approximately 713,000, 644,000, and 675,000, respectively. Including the impact of the January 2008 issuance of shares associated with the July to December 2007 offering period, approximately 1.3 million shares remain available for issuance under the plan.</w:t>
      </w:r>
    </w:p>
    <w:p>
      <w:pPr>
        <w:spacing w:after="0" w:line="72"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Our Employee Stock Purchase Plan is “compensatory” under the provisions of SFAS No. 123(R). Accordingly, beginning with our adoption of SFAS No. 123(R) on January 1, 2006 we recognize compensation expense associated with our employees’ participation in the Stock Purchase Plan. Our Employee Stock Purchase Plan increased annual compensation expense by approximately $5 million, or $3 million net of tax for both 2007 and 2006.</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 Stock Incentive Plans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Pursuant to our stock incentive plan, we have the ability to issue stock options, stock awards and stock appreciation rights, all on terms and conditions determined by the Management Development and Compensation Committee of our Board of Directors.</w:t>
      </w:r>
    </w:p>
    <w:p>
      <w:pPr>
        <w:spacing w:after="0" w:line="59"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As of January 1, 2004, we had two plans under which we granted stock options and restricted stock awards: the 2000 Stock Incentive Plan and the 2000 Broad-Based Plan. These two plans allowed for grants of stock options, appreciation rights and stock awards to key employees, except grants under the 2000 Broad-Based Plan could not be made to any executive officer. All of the options granted under these plans had exercise prices equal to the fair</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market value as of the date of the grant, expired no later than ten years from the date of grant and vested ratably over a four or five-year period.</w:t>
      </w:r>
    </w:p>
    <w:p>
      <w:pPr>
        <w:spacing w:after="0" w:line="96" w:lineRule="exact"/>
        <w:rPr>
          <w:sz w:val="20"/>
          <w:szCs w:val="20"/>
          <w:color w:val="auto"/>
        </w:rPr>
      </w:pPr>
    </w:p>
    <w:p>
      <w:pPr>
        <w:ind w:left="680" w:right="820" w:firstLine="399"/>
        <w:spacing w:after="0" w:line="282" w:lineRule="auto"/>
        <w:rPr>
          <w:sz w:val="20"/>
          <w:szCs w:val="20"/>
          <w:color w:val="auto"/>
        </w:rPr>
      </w:pPr>
      <w:r>
        <w:rPr>
          <w:rFonts w:ascii="Arial" w:cs="Arial" w:eastAsia="Arial" w:hAnsi="Arial"/>
          <w:sz w:val="12"/>
          <w:szCs w:val="12"/>
          <w:color w:val="auto"/>
        </w:rPr>
        <w:t>Since May 2004, all stock-based compensation awards described herein have been made under the Company’s 2004 Stock Incentive Plan, which authorizes the issuance of a maximum of 34 million shares of our common stock. Upon adoption by the Management Development and Compensation Committee of the Board of Directors and the approval by the stockholders of the 2004 Stock Incentive Plan at the 2004 Annual Meeting of stockholders, all of the Company’s other stock-based incentive plans were terminated, with the exception of the 2000 Broad-Based Employee Plan. The Broad-Based Employee Plan was not required to be approved by stockholders, as no executive officers of the Company may receive any grants under the plan. However, only approximately 100,000 shares remain available for issuance under that plan. We currently utilize treasury shares to meet the needs of our equity-based compensation programs under the 2004 Stock Incentive Plan and to settle outstanding awards granted pursuant to previous incentive plans.</w:t>
      </w:r>
    </w:p>
    <w:p>
      <w:pPr>
        <w:spacing w:after="0" w:line="59" w:lineRule="exact"/>
        <w:rPr>
          <w:sz w:val="20"/>
          <w:szCs w:val="20"/>
          <w:color w:val="auto"/>
        </w:rPr>
      </w:pPr>
    </w:p>
    <w:p>
      <w:pPr>
        <w:ind w:left="680" w:right="840" w:firstLine="399"/>
        <w:spacing w:after="0" w:line="258" w:lineRule="auto"/>
        <w:rPr>
          <w:sz w:val="20"/>
          <w:szCs w:val="20"/>
          <w:color w:val="auto"/>
        </w:rPr>
      </w:pPr>
      <w:r>
        <w:rPr>
          <w:rFonts w:ascii="Arial" w:cs="Arial" w:eastAsia="Arial" w:hAnsi="Arial"/>
          <w:sz w:val="13"/>
          <w:szCs w:val="13"/>
          <w:color w:val="auto"/>
        </w:rPr>
        <w:t>As a result of both the changes in accounting required by SFAS No. 123(R) for share-based payments and a desire to design our long-term incentive plans in a manner that creates a stronger link to operating and market performance, the Management Development and Compensation Committee approved a substantial change in the form of awards that we grant. As discussed above, through December 31, 2004, stock option awards were the primary form of equity-based compensation. Beginning in 2005, annual stock option grants were eliminated and, for key members of our management and operations personnel, replaced with grants of restricted stock units and performance share units. Stock option grants in connection with new hires and promotions were replaced with grants of restricted stock units.</w:t>
      </w:r>
    </w:p>
    <w:p>
      <w:pPr>
        <w:spacing w:after="0" w:line="71" w:lineRule="exact"/>
        <w:rPr>
          <w:sz w:val="20"/>
          <w:szCs w:val="20"/>
          <w:color w:val="auto"/>
        </w:rPr>
      </w:pPr>
    </w:p>
    <w:p>
      <w:pPr>
        <w:ind w:left="680" w:right="960" w:firstLine="399"/>
        <w:spacing w:after="0" w:line="285" w:lineRule="auto"/>
        <w:rPr>
          <w:sz w:val="20"/>
          <w:szCs w:val="20"/>
          <w:color w:val="auto"/>
        </w:rPr>
      </w:pPr>
      <w:r>
        <w:rPr>
          <w:rFonts w:ascii="Arial" w:cs="Arial" w:eastAsia="Arial" w:hAnsi="Arial"/>
          <w:sz w:val="12"/>
          <w:szCs w:val="12"/>
          <w:i w:val="1"/>
          <w:iCs w:val="1"/>
          <w:color w:val="auto"/>
        </w:rPr>
        <w:t xml:space="preserve">Restricted stock units — </w:t>
      </w:r>
      <w:r>
        <w:rPr>
          <w:rFonts w:ascii="Arial" w:cs="Arial" w:eastAsia="Arial" w:hAnsi="Arial"/>
          <w:sz w:val="12"/>
          <w:szCs w:val="12"/>
          <w:color w:val="auto"/>
        </w:rPr>
        <w:t>During the year ended December 31, 2007, we granted approximately 324,000 restricted stock units. Restricted stock units provide award recipients with</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 equivalents during the vesting period, but the units may not be voted or sold until time-based vesting restrictions have lapsed. Restricted stock units granted prior to 2007 vest ratably over a four-year period. In 2007, the Management Development and Compensation Committee changed the terms of the restricted stock units granted to provide for three-year cliff vesting. Unvested units are subject to forfeiture in the event of voluntary or for-cause termination. Restricted stock units granted in 2007 are subject to pro-rata vesting upon an employee’s retirement or involuntary termination other than for cause and become immediately vested in the event of an employee’s death or disability.</w:t>
      </w:r>
    </w:p>
    <w:p>
      <w:pPr>
        <w:spacing w:after="0" w:line="55" w:lineRule="exact"/>
        <w:rPr>
          <w:sz w:val="20"/>
          <w:szCs w:val="20"/>
          <w:color w:val="auto"/>
        </w:rPr>
      </w:pPr>
    </w:p>
    <w:p>
      <w:pPr>
        <w:ind w:left="680" w:right="1000" w:firstLine="399"/>
        <w:spacing w:after="0" w:line="264" w:lineRule="auto"/>
        <w:rPr>
          <w:sz w:val="20"/>
          <w:szCs w:val="20"/>
          <w:color w:val="auto"/>
        </w:rPr>
      </w:pPr>
      <w:r>
        <w:rPr>
          <w:rFonts w:ascii="Arial" w:cs="Arial" w:eastAsia="Arial" w:hAnsi="Arial"/>
          <w:sz w:val="13"/>
          <w:szCs w:val="13"/>
          <w:color w:val="auto"/>
        </w:rPr>
        <w:t>Compensation expense associated with restricted stock units is measured based on the grant-date fair value of our common stock and is recognized on a straight-line basis over the required employment period, which is generally the vesting period. Compensation expense is only recognized for those awards that we expect to vest, which we estimate based upon an assessment of current period and historical forfeitures.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our restricted stock units is presented in the table below (units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6"/>
          </w:tcPr>
          <w:p>
            <w:pPr>
              <w:spacing w:after="0"/>
              <w:rPr>
                <w:sz w:val="20"/>
                <w:szCs w:val="20"/>
                <w:color w:val="auto"/>
              </w:rPr>
            </w:pPr>
            <w:r>
              <w:rPr>
                <w:rFonts w:ascii="Arial" w:cs="Arial" w:eastAsia="Arial" w:hAnsi="Arial"/>
                <w:sz w:val="10"/>
                <w:szCs w:val="10"/>
                <w:b w:val="1"/>
                <w:bCs w:val="1"/>
                <w:color w:val="auto"/>
              </w:rPr>
              <w:t>Years Ended December 31,</w:t>
            </w: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2006</w:t>
            </w: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jc w:val="right"/>
              <w:ind w:right="20"/>
              <w:spacing w:after="0" w:line="98" w:lineRule="exact"/>
              <w:rPr>
                <w:sz w:val="20"/>
                <w:szCs w:val="20"/>
                <w:color w:val="auto"/>
              </w:rPr>
            </w:pPr>
            <w:r>
              <w:rPr>
                <w:rFonts w:ascii="Arial" w:cs="Arial" w:eastAsia="Arial" w:hAnsi="Arial"/>
                <w:sz w:val="10"/>
                <w:szCs w:val="10"/>
                <w:b w:val="1"/>
                <w:bCs w:val="1"/>
                <w:color w:val="auto"/>
              </w:rPr>
              <w:t>2005</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2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Weighted</w:t>
            </w: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1"/>
              </w:rPr>
              <w:t>Average</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rPr>
              <w:t>Fair</w:t>
            </w: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rPr>
              <w:t>Units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rPr>
              <w:t>Fair</w:t>
            </w: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Units</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7"/>
              </w:rPr>
              <w:t>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Value</w:t>
            </w:r>
          </w:p>
        </w:tc>
        <w:tc>
          <w:tcPr>
            <w:tcW w:w="5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Value</w:t>
            </w:r>
          </w:p>
        </w:tc>
        <w:tc>
          <w:tcPr>
            <w:tcW w:w="4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Unvested, Beginning of year</w:t>
            </w:r>
          </w:p>
        </w:tc>
        <w:tc>
          <w:tcPr>
            <w:tcW w:w="2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1,279</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30.63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29.04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Granted</w:t>
            </w:r>
          </w:p>
        </w:tc>
        <w:tc>
          <w:tcPr>
            <w:tcW w:w="2320" w:type="dxa"/>
            <w:vAlign w:val="bottom"/>
            <w:gridSpan w:val="3"/>
          </w:tcPr>
          <w:p>
            <w:pPr>
              <w:jc w:val="right"/>
              <w:ind w:right="120"/>
              <w:spacing w:after="0"/>
              <w:rPr>
                <w:sz w:val="20"/>
                <w:szCs w:val="20"/>
                <w:color w:val="auto"/>
              </w:rPr>
            </w:pPr>
            <w:r>
              <w:rPr>
                <w:rFonts w:ascii="Arial" w:cs="Arial" w:eastAsia="Arial" w:hAnsi="Arial"/>
                <w:sz w:val="13"/>
                <w:szCs w:val="13"/>
                <w:color w:val="auto"/>
              </w:rPr>
              <w:t>324</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37.28</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755</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31.82</w:t>
            </w: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762</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28.97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Vested(a)</w:t>
            </w:r>
          </w:p>
        </w:tc>
        <w:tc>
          <w:tcPr>
            <w:tcW w:w="23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(376)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29.11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Forfeited</w:t>
            </w:r>
          </w:p>
        </w:tc>
        <w:tc>
          <w:tcPr>
            <w:tcW w:w="178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(103)</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31.63</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(29)</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30.85</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(68)</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28.97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Unvested, End of year</w:t>
            </w:r>
          </w:p>
        </w:tc>
        <w:tc>
          <w:tcPr>
            <w:tcW w:w="17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1,124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32.71</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30.63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767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1"/>
        </w:trPr>
        <w:tc>
          <w:tcPr>
            <w:tcW w:w="6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00" w:type="dxa"/>
            <w:vAlign w:val="bottom"/>
            <w:gridSpan w:val="2"/>
          </w:tcPr>
          <w:p>
            <w:pPr>
              <w:jc w:val="right"/>
              <w:ind w:right="299"/>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20" w:type="dxa"/>
            <w:vAlign w:val="bottom"/>
            <w:tcBorders>
              <w:bottom w:val="single" w:sz="8" w:color="808080"/>
            </w:tcBorders>
          </w:tcPr>
          <w:p>
            <w:pPr>
              <w:spacing w:after="0"/>
              <w:rPr>
                <w:sz w:val="14"/>
                <w:szCs w:val="14"/>
                <w:color w:val="auto"/>
              </w:rPr>
            </w:pPr>
          </w:p>
        </w:tc>
        <w:tc>
          <w:tcPr>
            <w:tcW w:w="17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175260</wp:posOffset>
            </wp:positionV>
            <wp:extent cx="82359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306" w:lineRule="exact"/>
        <w:rPr>
          <w:sz w:val="20"/>
          <w:szCs w:val="20"/>
          <w:color w:val="auto"/>
        </w:rPr>
      </w:pPr>
    </w:p>
    <w:p>
      <w:pPr>
        <w:ind w:left="1000" w:right="500" w:hanging="313"/>
        <w:spacing w:after="0" w:line="276" w:lineRule="auto"/>
        <w:tabs>
          <w:tab w:leader="none" w:pos="10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total fair market value of the shares issued upon the vesting of restricted stock units during the years ended December 31, 2007 and 2006 were $14 million and $7 million, respectively. This amount was not material in 2005.</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Performance share units — </w:t>
      </w:r>
      <w:r>
        <w:rPr>
          <w:rFonts w:ascii="Arial" w:cs="Arial" w:eastAsia="Arial" w:hAnsi="Arial"/>
          <w:sz w:val="12"/>
          <w:szCs w:val="12"/>
          <w:color w:val="auto"/>
        </w:rPr>
        <w:t>During the year ended December 31, 2007, we granted approximately 907,000 performance share units. The performance share units are payable in shares</w:t>
      </w:r>
      <w:r>
        <w:rPr>
          <w:rFonts w:ascii="Arial" w:cs="Arial" w:eastAsia="Arial" w:hAnsi="Arial"/>
          <w:sz w:val="12"/>
          <w:szCs w:val="12"/>
          <w:i w:val="1"/>
          <w:iCs w:val="1"/>
          <w:color w:val="auto"/>
        </w:rPr>
        <w:t xml:space="preserve"> </w:t>
      </w:r>
      <w:r>
        <w:rPr>
          <w:rFonts w:ascii="Arial" w:cs="Arial" w:eastAsia="Arial" w:hAnsi="Arial"/>
          <w:sz w:val="12"/>
          <w:szCs w:val="12"/>
          <w:color w:val="auto"/>
        </w:rPr>
        <w:t>of common stock based on the achievement of certain financial measures, after the end of a three-year performance period. At the end of the three-year period, the number of shares awarded can range from 0% to 200% of the targeted amount. Performance share units have no voting rights and performance share units granted prior to 2007 received no dividend equivalents during the required performance period. Beginning in 2007, dividend equivalents are paid out in cash based on actual performance at the end of the awards’ performance period. These performance share units are payable to an employee (or his beneficiary) upon death or disability as if that employee had remained employed until the end of the performance period, subject to pro-rata vesting upon an employee’s retirement or involuntary termination other than for cause and subject to forfeiture in the event of voluntary or for-cause termination.</w:t>
      </w:r>
    </w:p>
    <w:p>
      <w:pPr>
        <w:spacing w:after="0" w:line="59"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Compensation expense associated with performance share units that continue to vest based on future performance is measured based on the grant-date fair value of our common stock, net of the present value of expected dividend payments on our common stock during the vesting period.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current period and historical forfeitures.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our performance share units is presented in the table below (units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6"/>
          </w:tcPr>
          <w:p>
            <w:pPr>
              <w:spacing w:after="0"/>
              <w:rPr>
                <w:sz w:val="20"/>
                <w:szCs w:val="20"/>
                <w:color w:val="auto"/>
              </w:rPr>
            </w:pPr>
            <w:r>
              <w:rPr>
                <w:rFonts w:ascii="Arial" w:cs="Arial" w:eastAsia="Arial" w:hAnsi="Arial"/>
                <w:sz w:val="10"/>
                <w:szCs w:val="10"/>
                <w:b w:val="1"/>
                <w:bCs w:val="1"/>
                <w:color w:val="auto"/>
              </w:rPr>
              <w:t>Years Ended December 31,</w:t>
            </w: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7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2006</w:t>
            </w: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jc w:val="right"/>
              <w:ind w:right="20"/>
              <w:spacing w:after="0" w:line="98" w:lineRule="exact"/>
              <w:rPr>
                <w:sz w:val="20"/>
                <w:szCs w:val="20"/>
                <w:color w:val="auto"/>
              </w:rPr>
            </w:pPr>
            <w:r>
              <w:rPr>
                <w:rFonts w:ascii="Arial" w:cs="Arial" w:eastAsia="Arial" w:hAnsi="Arial"/>
                <w:sz w:val="10"/>
                <w:szCs w:val="10"/>
                <w:b w:val="1"/>
                <w:bCs w:val="1"/>
                <w:color w:val="auto"/>
              </w:rPr>
              <w:t>2005</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Weighted</w:t>
            </w: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1"/>
              </w:rPr>
              <w:t>Average</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700" w:type="dxa"/>
            <w:vAlign w:val="bottom"/>
          </w:tcPr>
          <w:p>
            <w:pPr>
              <w:spacing w:after="0"/>
              <w:rPr>
                <w:sz w:val="9"/>
                <w:szCs w:val="9"/>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rPr>
              <w:t>Fair</w:t>
            </w: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rPr>
              <w:t>Units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rPr>
              <w:t>Fair</w:t>
            </w: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Units</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Value</w:t>
            </w:r>
          </w:p>
        </w:tc>
        <w:tc>
          <w:tcPr>
            <w:tcW w:w="5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Value</w:t>
            </w:r>
          </w:p>
        </w:tc>
        <w:tc>
          <w:tcPr>
            <w:tcW w:w="4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Beginning of year</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1,391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29.52</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27.05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7"/>
        </w:trPr>
        <w:tc>
          <w:tcPr>
            <w:tcW w:w="50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907</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37.28</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724</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31.93</w:t>
            </w: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760</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27.05</w:t>
            </w:r>
          </w:p>
        </w:tc>
        <w:tc>
          <w:tcPr>
            <w:tcW w:w="0" w:type="dxa"/>
            <w:vAlign w:val="bottom"/>
          </w:tcPr>
          <w:p>
            <w:pPr>
              <w:spacing w:after="0"/>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Vested(a)</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27.05</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N/A</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7"/>
        </w:trPr>
        <w:tc>
          <w:tcPr>
            <w:tcW w:w="500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(111)</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32.86</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(26)</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30.80</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(67)</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27.05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End of year</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2,134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32.72</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29.52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693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27.05</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100" w:hanging="493"/>
        <w:spacing w:after="0" w:line="276" w:lineRule="auto"/>
        <w:tabs>
          <w:tab w:leader="none" w:pos="11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Company’s performance exceeded the target performance level established for the awards that vested in 2007. Accordingly, we issued approximately 65,000 shares with a fair market value of $2 million upon the vesting of these awards.</w:t>
      </w:r>
    </w:p>
    <w:p>
      <w:pPr>
        <w:spacing w:after="0" w:line="59"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color w:val="auto"/>
        </w:rPr>
        <w:t>For the years ended December 31, 2007 and 2006, we recognized $31 million and $21 million, respectively, of compensation expense associated with restricted stock unit and performance share unit awards as a component of “Selling, general and administrative” expenses in our Consolidated Statement of Operations. Our “Provision for (benefit from) income taxes” for the years ended December 31, 2007 and 2006 include a related deferred income tax benefit of $12 million and $8 million, respectively. We have not capitalized any equity-based compensation costs during the years ended December 31, 2007 and 2006. As of December 31, 2007, we estimate that a total of approximately $50 million of currently unrecognized compensation expense will be recognized in future periods for unvested restricted stock unit and performance share unit awards issued and outstanding. This expense is expected to be recognized over a weighted average period of approximately 1.9 years.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0" w:firstLine="399"/>
        <w:spacing w:after="0" w:line="256" w:lineRule="auto"/>
        <w:rPr>
          <w:sz w:val="20"/>
          <w:szCs w:val="20"/>
          <w:color w:val="auto"/>
        </w:rPr>
      </w:pPr>
      <w:r>
        <w:rPr>
          <w:rFonts w:ascii="Arial" w:cs="Arial" w:eastAsia="Arial" w:hAnsi="Arial"/>
          <w:sz w:val="13"/>
          <w:szCs w:val="13"/>
          <w:i w:val="1"/>
          <w:iCs w:val="1"/>
          <w:color w:val="auto"/>
        </w:rPr>
        <w:t xml:space="preserve">Stock options — </w:t>
      </w:r>
      <w:r>
        <w:rPr>
          <w:rFonts w:ascii="Arial" w:cs="Arial" w:eastAsia="Arial" w:hAnsi="Arial"/>
          <w:sz w:val="13"/>
          <w:szCs w:val="13"/>
          <w:color w:val="auto"/>
        </w:rPr>
        <w:t>Prior to 2005, stock options were the primary form of equity-based compensation we granted to our employees. On December 16, 2005, the Management</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and Compensation Committee of our Board of Directors approved the acceleration of the vesting of all unvested stock options awarded under our stock incentive plans effective December 28, 2005. The decision to accelerate the vesting of outstanding stock options was made primarily to reduce the future non-cash compensation expense that we would have otherwise recorded as a result of our January 1, 2006 adoption of SFAS No. 123(R). We estimate that the acceleration eliminated approximately $55 million of cumulative pre-tax compensation charges that would have been recognized during 2006, 2007 and 2008 as the stock options would have continued to vest. We recognized a $2 million pre-tax charge to compensation expense during the fourth quarter of 2005 as a result of the acceleration, but do not expect to recognize future compensation expense for the accelerated options under SFAS No. 123(R).</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our stock options is presented in the table below (shares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6"/>
          </w:tcPr>
          <w:p>
            <w:pPr>
              <w:ind w:left="160"/>
              <w:spacing w:after="0"/>
              <w:rPr>
                <w:sz w:val="20"/>
                <w:szCs w:val="20"/>
                <w:color w:val="auto"/>
              </w:rPr>
            </w:pPr>
            <w:r>
              <w:rPr>
                <w:rFonts w:ascii="Arial" w:cs="Arial" w:eastAsia="Arial" w:hAnsi="Arial"/>
                <w:sz w:val="10"/>
                <w:szCs w:val="10"/>
                <w:b w:val="1"/>
                <w:bCs w:val="1"/>
                <w:color w:val="auto"/>
              </w:rPr>
              <w:t>Years Ended December 31,</w:t>
            </w: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98"/>
              </w:rPr>
              <w:t>2006</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1"/>
              </w:rPr>
              <w:t>Average</w:t>
            </w: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1"/>
              </w:rPr>
              <w:t>Average</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Shares</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87"/>
              </w:rPr>
              <w:t>Exercise</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Shares</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2"/>
              </w:rPr>
              <w:t>Exercise</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Shares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Exercise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Price</w:t>
            </w:r>
          </w:p>
        </w:tc>
        <w:tc>
          <w:tcPr>
            <w:tcW w:w="6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Price</w:t>
            </w:r>
          </w:p>
        </w:tc>
        <w:tc>
          <w:tcPr>
            <w:tcW w:w="5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Price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Beginning of year</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21,779</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29.52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33,004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28.06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41,971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27.53</w:t>
            </w:r>
          </w:p>
        </w:tc>
        <w:tc>
          <w:tcPr>
            <w:tcW w:w="0" w:type="dxa"/>
            <w:vAlign w:val="bottom"/>
          </w:tcPr>
          <w:p>
            <w:pPr>
              <w:spacing w:after="0"/>
              <w:rPr>
                <w:sz w:val="1"/>
                <w:szCs w:val="1"/>
                <w:color w:val="auto"/>
              </w:rPr>
            </w:pPr>
          </w:p>
        </w:tc>
      </w:tr>
      <w:tr>
        <w:trPr>
          <w:trHeight w:val="157"/>
        </w:trPr>
        <w:tc>
          <w:tcPr>
            <w:tcW w:w="45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52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38.47</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88</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37.42</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29.17</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Exercised(a)</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(5,252)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25.96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(10,820)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24.47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(5,938)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22.58</w:t>
            </w:r>
          </w:p>
        </w:tc>
        <w:tc>
          <w:tcPr>
            <w:tcW w:w="0" w:type="dxa"/>
            <w:vAlign w:val="bottom"/>
          </w:tcPr>
          <w:p>
            <w:pPr>
              <w:spacing w:after="0"/>
              <w:rPr>
                <w:sz w:val="1"/>
                <w:szCs w:val="1"/>
                <w:color w:val="auto"/>
              </w:rPr>
            </w:pPr>
          </w:p>
        </w:tc>
      </w:tr>
      <w:tr>
        <w:trPr>
          <w:trHeight w:val="157"/>
        </w:trPr>
        <w:tc>
          <w:tcPr>
            <w:tcW w:w="4500" w:type="dxa"/>
            <w:vAlign w:val="bottom"/>
            <w:gridSpan w:val="2"/>
          </w:tcPr>
          <w:p>
            <w:pPr>
              <w:spacing w:after="0"/>
              <w:rPr>
                <w:sz w:val="20"/>
                <w:szCs w:val="20"/>
                <w:color w:val="auto"/>
              </w:rPr>
            </w:pPr>
            <w:r>
              <w:rPr>
                <w:rFonts w:ascii="Arial" w:cs="Arial" w:eastAsia="Arial" w:hAnsi="Arial"/>
                <w:sz w:val="13"/>
                <w:szCs w:val="13"/>
                <w:color w:val="auto"/>
              </w:rPr>
              <w:t>Forfeited or expired</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(1,924)</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40.75</w:t>
            </w: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(493)</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43.47</w:t>
            </w: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(3,059)</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31.45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End of year(b)</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14,620</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29.33</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21,779</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29.52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33,004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28.06</w:t>
            </w:r>
          </w:p>
        </w:tc>
        <w:tc>
          <w:tcPr>
            <w:tcW w:w="0" w:type="dxa"/>
            <w:vAlign w:val="bottom"/>
          </w:tcPr>
          <w:p>
            <w:pPr>
              <w:spacing w:after="0"/>
              <w:rPr>
                <w:sz w:val="1"/>
                <w:szCs w:val="1"/>
                <w:color w:val="auto"/>
              </w:rPr>
            </w:pPr>
          </w:p>
        </w:tc>
      </w:tr>
      <w:tr>
        <w:trPr>
          <w:trHeight w:val="29"/>
        </w:trPr>
        <w:tc>
          <w:tcPr>
            <w:tcW w:w="4500" w:type="dxa"/>
            <w:vAlign w:val="bottom"/>
            <w:gridSpan w:val="2"/>
            <w:vMerge w:val="restart"/>
          </w:tcPr>
          <w:p>
            <w:pPr>
              <w:spacing w:after="0"/>
              <w:rPr>
                <w:sz w:val="20"/>
                <w:szCs w:val="20"/>
                <w:color w:val="auto"/>
              </w:rPr>
            </w:pPr>
            <w:r>
              <w:rPr>
                <w:rFonts w:ascii="Arial" w:cs="Arial" w:eastAsia="Arial" w:hAnsi="Arial"/>
                <w:sz w:val="13"/>
                <w:szCs w:val="13"/>
                <w:color w:val="auto"/>
              </w:rPr>
              <w:t>Exercisable, End of year</w:t>
            </w: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29.33</w:t>
            </w: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29.49</w:t>
            </w: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28.06</w:t>
            </w:r>
          </w:p>
        </w:tc>
        <w:tc>
          <w:tcPr>
            <w:tcW w:w="0" w:type="dxa"/>
            <w:vAlign w:val="bottom"/>
          </w:tcPr>
          <w:p>
            <w:pPr>
              <w:spacing w:after="0" w:line="20" w:lineRule="exact"/>
              <w:rPr>
                <w:sz w:val="1"/>
                <w:szCs w:val="1"/>
                <w:color w:val="auto"/>
              </w:rPr>
            </w:pPr>
          </w:p>
        </w:tc>
      </w:tr>
      <w:tr>
        <w:trPr>
          <w:trHeight w:val="177"/>
        </w:trPr>
        <w:tc>
          <w:tcPr>
            <w:tcW w:w="4500" w:type="dxa"/>
            <w:vAlign w:val="bottom"/>
            <w:gridSpan w:val="2"/>
            <w:vMerge w:val="continue"/>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14,618</w:t>
            </w:r>
          </w:p>
        </w:tc>
        <w:tc>
          <w:tcPr>
            <w:tcW w:w="1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21,694</w:t>
            </w:r>
          </w:p>
        </w:tc>
        <w:tc>
          <w:tcPr>
            <w:tcW w:w="6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33,004</w:t>
            </w:r>
          </w:p>
        </w:tc>
        <w:tc>
          <w:tcPr>
            <w:tcW w:w="38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hanging="493"/>
        <w:spacing w:after="0"/>
        <w:tabs>
          <w:tab w:leader="none" w:pos="11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aggregate intrinsic value of stock options exercised during the years ended December 31, 2007, 2006 and 2005 was $62 million, $112 million and $41 million, respectively.</w:t>
      </w:r>
    </w:p>
    <w:p>
      <w:pPr>
        <w:spacing w:after="0" w:line="47" w:lineRule="exact"/>
        <w:rPr>
          <w:rFonts w:ascii="Arial" w:cs="Arial" w:eastAsia="Arial" w:hAnsi="Arial"/>
          <w:sz w:val="13"/>
          <w:szCs w:val="13"/>
          <w:color w:val="auto"/>
        </w:rPr>
      </w:pPr>
    </w:p>
    <w:p>
      <w:pPr>
        <w:ind w:left="1180" w:right="980" w:hanging="493"/>
        <w:spacing w:after="0" w:line="276" w:lineRule="auto"/>
        <w:tabs>
          <w:tab w:leader="none" w:pos="11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Stock options outstanding as of December 31, 2007 have a weighted average remaining contractual term of 3.9 years and an aggregate intrinsic value of $88 million based on the market value of our common stock on December 31, 2007.</w:t>
      </w:r>
    </w:p>
    <w:p>
      <w:pPr>
        <w:spacing w:after="0" w:line="59"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We received $135 million and $270 million during the years ended December 31, 2007 and 2006, respectively, from our employees’ stock option exercises. We also realized tax benefits from these stock option exercises during the years ended December 31, 2007 and 2006 of $24 million and $42 million, respectively. These amounts have been presented in the “Cash flows from financing activities” section of our Consolidated Statements of Cash Flows.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Exercisable stock options at December 31, 2007, were as follows (shares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680" w:type="dxa"/>
            <w:vAlign w:val="bottom"/>
          </w:tcPr>
          <w:p>
            <w:pPr>
              <w:spacing w:after="0"/>
              <w:rPr>
                <w:sz w:val="10"/>
                <w:szCs w:val="10"/>
                <w:color w:val="auto"/>
              </w:rPr>
            </w:pPr>
          </w:p>
        </w:tc>
        <w:tc>
          <w:tcPr>
            <w:tcW w:w="30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R</w:t>
            </w:r>
            <w:r>
              <w:rPr>
                <w:rFonts w:ascii="Arial" w:cs="Arial" w:eastAsia="Arial" w:hAnsi="Arial"/>
                <w:sz w:val="10"/>
                <w:szCs w:val="10"/>
                <w:b w:val="1"/>
                <w:bCs w:val="1"/>
                <w:color w:val="auto"/>
              </w:rPr>
              <w:t>ange of Exercise Prices</w:t>
            </w:r>
          </w:p>
        </w:tc>
        <w:tc>
          <w:tcPr>
            <w:tcW w:w="2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Weighted Average</w:t>
            </w:r>
          </w:p>
        </w:tc>
        <w:tc>
          <w:tcPr>
            <w:tcW w:w="138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Weighted Average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2980" w:type="dxa"/>
            <w:vAlign w:val="bottom"/>
          </w:tcPr>
          <w:p>
            <w:pPr>
              <w:spacing w:after="0"/>
              <w:rPr>
                <w:sz w:val="10"/>
                <w:szCs w:val="10"/>
                <w:color w:val="auto"/>
              </w:rPr>
            </w:pPr>
          </w:p>
        </w:tc>
        <w:tc>
          <w:tcPr>
            <w:tcW w:w="92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0"/>
                <w:szCs w:val="10"/>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Exercise Price</w:t>
            </w:r>
          </w:p>
        </w:tc>
        <w:tc>
          <w:tcPr>
            <w:tcW w:w="138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Remaining Years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$13.31-$20.00</w:t>
            </w:r>
          </w:p>
        </w:tc>
        <w:tc>
          <w:tcPr>
            <w:tcW w:w="39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2,489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18.66</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$20.01-$30.00</w:t>
            </w:r>
          </w:p>
        </w:tc>
        <w:tc>
          <w:tcPr>
            <w:tcW w:w="3900" w:type="dxa"/>
            <w:vAlign w:val="bottom"/>
            <w:gridSpan w:val="3"/>
          </w:tcPr>
          <w:p>
            <w:pPr>
              <w:jc w:val="right"/>
              <w:ind w:right="400"/>
              <w:spacing w:after="0"/>
              <w:rPr>
                <w:sz w:val="20"/>
                <w:szCs w:val="20"/>
                <w:color w:val="auto"/>
              </w:rPr>
            </w:pPr>
            <w:r>
              <w:rPr>
                <w:rFonts w:ascii="Arial" w:cs="Arial" w:eastAsia="Arial" w:hAnsi="Arial"/>
                <w:sz w:val="13"/>
                <w:szCs w:val="13"/>
                <w:color w:val="auto"/>
              </w:rPr>
              <w:t>9,126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26.92</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4.69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$30.01-$40.00</w:t>
            </w:r>
          </w:p>
        </w:tc>
        <w:tc>
          <w:tcPr>
            <w:tcW w:w="39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1,126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35.73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$40.01-$50.00</w:t>
            </w:r>
          </w:p>
        </w:tc>
        <w:tc>
          <w:tcPr>
            <w:tcW w:w="3900" w:type="dxa"/>
            <w:vAlign w:val="bottom"/>
            <w:gridSpan w:val="3"/>
          </w:tcPr>
          <w:p>
            <w:pPr>
              <w:jc w:val="right"/>
              <w:ind w:right="400"/>
              <w:spacing w:after="0"/>
              <w:rPr>
                <w:sz w:val="20"/>
                <w:szCs w:val="20"/>
                <w:color w:val="auto"/>
              </w:rPr>
            </w:pPr>
            <w:r>
              <w:rPr>
                <w:rFonts w:ascii="Arial" w:cs="Arial" w:eastAsia="Arial" w:hAnsi="Arial"/>
                <w:sz w:val="13"/>
                <w:szCs w:val="13"/>
                <w:color w:val="auto"/>
              </w:rPr>
              <w:t>493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47.22</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0.72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$50.01-$56.44</w:t>
            </w:r>
          </w:p>
        </w:tc>
        <w:tc>
          <w:tcPr>
            <w:tcW w:w="29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52.85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$13.31-$56.44</w:t>
            </w:r>
          </w:p>
        </w:tc>
        <w:tc>
          <w:tcPr>
            <w:tcW w:w="3900" w:type="dxa"/>
            <w:vAlign w:val="bottom"/>
            <w:gridSpan w:val="3"/>
          </w:tcPr>
          <w:p>
            <w:pPr>
              <w:jc w:val="right"/>
              <w:ind w:right="400"/>
              <w:spacing w:after="0"/>
              <w:rPr>
                <w:sz w:val="20"/>
                <w:szCs w:val="20"/>
                <w:color w:val="auto"/>
              </w:rPr>
            </w:pPr>
            <w:r>
              <w:rPr>
                <w:rFonts w:ascii="Arial" w:cs="Arial" w:eastAsia="Arial" w:hAnsi="Arial"/>
                <w:sz w:val="13"/>
                <w:szCs w:val="13"/>
                <w:color w:val="auto"/>
              </w:rPr>
              <w:t>14,618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29.33</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3.85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980" w:type="dxa"/>
            <w:vAlign w:val="bottom"/>
          </w:tcPr>
          <w:p>
            <w:pPr>
              <w:jc w:val="right"/>
              <w:ind w:right="874"/>
              <w:spacing w:after="0"/>
              <w:rPr>
                <w:sz w:val="20"/>
                <w:szCs w:val="20"/>
                <w:color w:val="auto"/>
              </w:rPr>
            </w:pPr>
            <w:r>
              <w:rPr>
                <w:rFonts w:ascii="Arial" w:cs="Arial" w:eastAsia="Arial" w:hAnsi="Arial"/>
                <w:sz w:val="13"/>
                <w:szCs w:val="13"/>
                <w:color w:val="auto"/>
              </w:rPr>
              <w:t>99</w:t>
            </w:r>
          </w:p>
        </w:tc>
        <w:tc>
          <w:tcPr>
            <w:tcW w:w="5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20" w:type="dxa"/>
            <w:vAlign w:val="bottom"/>
            <w:tcBorders>
              <w:bottom w:val="single" w:sz="8" w:color="808080"/>
            </w:tcBorders>
          </w:tcPr>
          <w:p>
            <w:pPr>
              <w:spacing w:after="0"/>
              <w:rPr>
                <w:sz w:val="14"/>
                <w:szCs w:val="14"/>
                <w:color w:val="auto"/>
              </w:rPr>
            </w:pPr>
          </w:p>
        </w:tc>
        <w:tc>
          <w:tcPr>
            <w:tcW w:w="29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Non-Employee Director Plans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Pursuant to our 2003 Directors’ Deferred Compensation Plan, a portion of the cash compensation that our directors would otherwise receive is deferred until after their termination from board service and each director may elect to defer the remaining cash compensation to a date that he chooses, which must be after termination of board service. At that time, all deferred compensation is paid in shares of our common stock. The number of shares the directors receive is calculated on the date the cash compensation would have been payable, based on the fair market value of our common stock on that day. Beginning in 2008, directors receive stock awards in lieu of units. The stock awards are granted under our 2004 Stock Incentive Plan and allow the directors to be taxed on the value of the award immediately upon grant.</w:t>
      </w:r>
    </w:p>
    <w:p>
      <w:pPr>
        <w:spacing w:after="0" w:line="146" w:lineRule="exact"/>
        <w:rPr>
          <w:sz w:val="20"/>
          <w:szCs w:val="20"/>
          <w:color w:val="auto"/>
        </w:rPr>
      </w:pPr>
    </w:p>
    <w:p>
      <w:pPr>
        <w:ind w:left="1180" w:hanging="493"/>
        <w:spacing w:after="0"/>
        <w:tabs>
          <w:tab w:leader="none" w:pos="118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following table reconciles the number of common shares outstanding at December 31 of each year to the number of weighted average basic common shares outstanding and the number of weighted average diluted common shares outstanding for the purposes of calculating basic and diluted earnings per common share. The table also provides the number of shares of common stock potentially issuable at the end of each period and the number of potentially issuable shares excluded from the diluted earnings per share computation for each period (shares in millions):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640" w:type="dxa"/>
            <w:vAlign w:val="bottom"/>
            <w:tcBorders>
              <w:bottom w:val="single" w:sz="8" w:color="auto"/>
            </w:tcBorders>
            <w:gridSpan w:val="4"/>
          </w:tcPr>
          <w:p>
            <w:pPr>
              <w:jc w:val="center"/>
              <w:ind w:left="297"/>
              <w:spacing w:after="0"/>
              <w:rPr>
                <w:sz w:val="20"/>
                <w:szCs w:val="20"/>
                <w:color w:val="auto"/>
              </w:rPr>
            </w:pPr>
            <w:r>
              <w:rPr>
                <w:rFonts w:ascii="Arial" w:cs="Arial" w:eastAsia="Arial" w:hAnsi="Arial"/>
                <w:sz w:val="10"/>
                <w:szCs w:val="10"/>
                <w:b w:val="1"/>
                <w:bCs w:val="1"/>
                <w:color w:val="auto"/>
                <w:w w:val="93"/>
              </w:rPr>
              <w:t>Years Ended December 31,</w:t>
            </w:r>
          </w:p>
        </w:tc>
        <w:tc>
          <w:tcPr>
            <w:tcW w:w="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00" w:type="dxa"/>
            <w:vAlign w:val="bottom"/>
          </w:tcPr>
          <w:p>
            <w:pPr>
              <w:spacing w:after="0"/>
              <w:rPr>
                <w:sz w:val="8"/>
                <w:szCs w:val="8"/>
                <w:color w:val="auto"/>
              </w:rPr>
            </w:pPr>
          </w:p>
        </w:tc>
        <w:tc>
          <w:tcPr>
            <w:tcW w:w="4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40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rPr>
              <w:t>2006</w:t>
            </w:r>
          </w:p>
        </w:tc>
        <w:tc>
          <w:tcPr>
            <w:tcW w:w="440" w:type="dxa"/>
            <w:vAlign w:val="bottom"/>
          </w:tcPr>
          <w:p>
            <w:pPr>
              <w:spacing w:after="0"/>
              <w:rPr>
                <w:sz w:val="8"/>
                <w:szCs w:val="8"/>
                <w:color w:val="auto"/>
              </w:rPr>
            </w:pPr>
          </w:p>
        </w:tc>
        <w:tc>
          <w:tcPr>
            <w:tcW w:w="34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Number of common shares outstanding at year-end</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500.1</w:t>
            </w: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533.7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552.3</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Effect of using weighted average common shares outstanding</w:t>
            </w:r>
          </w:p>
        </w:tc>
        <w:tc>
          <w:tcPr>
            <w:tcW w:w="420" w:type="dxa"/>
            <w:vAlign w:val="bottom"/>
          </w:tcPr>
          <w:p>
            <w:pPr>
              <w:jc w:val="right"/>
              <w:spacing w:after="0"/>
              <w:rPr>
                <w:sz w:val="20"/>
                <w:szCs w:val="20"/>
                <w:color w:val="auto"/>
              </w:rPr>
            </w:pPr>
            <w:r>
              <w:rPr>
                <w:rFonts w:ascii="Arial" w:cs="Arial" w:eastAsia="Arial" w:hAnsi="Arial"/>
                <w:sz w:val="13"/>
                <w:szCs w:val="13"/>
                <w:color w:val="auto"/>
              </w:rPr>
              <w:t>17.2</w:t>
            </w:r>
          </w:p>
        </w:tc>
        <w:tc>
          <w:tcPr>
            <w:tcW w:w="38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6.7</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basic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517.3</w:t>
            </w:r>
          </w:p>
        </w:tc>
        <w:tc>
          <w:tcPr>
            <w:tcW w:w="3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540.4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561.5</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Dilutive effect of equity-based compensation awards, warrants and other contingently issuable shares</w:t>
            </w:r>
          </w:p>
        </w:tc>
        <w:tc>
          <w:tcPr>
            <w:tcW w:w="420" w:type="dxa"/>
            <w:vAlign w:val="bottom"/>
          </w:tcPr>
          <w:p>
            <w:pPr>
              <w:jc w:val="right"/>
              <w:spacing w:after="0"/>
              <w:rPr>
                <w:sz w:val="20"/>
                <w:szCs w:val="20"/>
                <w:color w:val="auto"/>
              </w:rPr>
            </w:pPr>
            <w:r>
              <w:rPr>
                <w:rFonts w:ascii="Arial" w:cs="Arial" w:eastAsia="Arial" w:hAnsi="Arial"/>
                <w:sz w:val="13"/>
                <w:szCs w:val="13"/>
                <w:color w:val="auto"/>
              </w:rPr>
              <w:t>4.5</w:t>
            </w:r>
          </w:p>
        </w:tc>
        <w:tc>
          <w:tcPr>
            <w:tcW w:w="38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5.7</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diluted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521.8</w:t>
            </w:r>
          </w:p>
        </w:tc>
        <w:tc>
          <w:tcPr>
            <w:tcW w:w="3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546.1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565.1</w:t>
            </w:r>
          </w:p>
        </w:tc>
        <w:tc>
          <w:tcPr>
            <w:tcW w:w="0" w:type="dxa"/>
            <w:vAlign w:val="bottom"/>
          </w:tcPr>
          <w:p>
            <w:pPr>
              <w:spacing w:after="0"/>
              <w:rPr>
                <w:sz w:val="1"/>
                <w:szCs w:val="1"/>
                <w:color w:val="auto"/>
              </w:rPr>
            </w:pPr>
          </w:p>
        </w:tc>
      </w:tr>
      <w:tr>
        <w:trPr>
          <w:trHeight w:val="29"/>
        </w:trPr>
        <w:tc>
          <w:tcPr>
            <w:tcW w:w="7900" w:type="dxa"/>
            <w:vAlign w:val="bottom"/>
            <w:vMerge w:val="restart"/>
          </w:tcPr>
          <w:p>
            <w:pPr>
              <w:spacing w:after="0"/>
              <w:rPr>
                <w:sz w:val="20"/>
                <w:szCs w:val="20"/>
                <w:color w:val="auto"/>
              </w:rPr>
            </w:pPr>
            <w:r>
              <w:rPr>
                <w:rFonts w:ascii="Arial" w:cs="Arial" w:eastAsia="Arial" w:hAnsi="Arial"/>
                <w:sz w:val="13"/>
                <w:szCs w:val="13"/>
                <w:color w:val="auto"/>
              </w:rPr>
              <w:t>Potentially issuable shares</w:t>
            </w: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18.2</w:t>
            </w:r>
          </w:p>
        </w:tc>
        <w:tc>
          <w:tcPr>
            <w:tcW w:w="38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26.0</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36.3</w:t>
            </w: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Number of anti-dilutive potentially issuable shares excluded from diluted common shares outstanding</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w:t>
            </w: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4.6</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180" w:hanging="493"/>
        <w:spacing w:after="0"/>
        <w:tabs>
          <w:tab w:leader="none" w:pos="118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of Financial Instruments</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have determined the estimated fair value amounts of our financial instruments using available market information and commonly accepted valuation methodologies. However,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information available as of December 31, 2007 and 2006. These amounts have not been revalued since those dates, and current estimates of fair value could differ significantly from the amounts presented.</w:t>
      </w:r>
    </w:p>
    <w:p>
      <w:pPr>
        <w:spacing w:after="0" w:line="7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carrying values of cash and cash equivalents, short-term investments, trade accounts receivable, trade accounts payable, financial instruments included in other receivables and certain financial instruments included in other assets or other liabilities are reflected in our Consolidated Financial Statements at historical cost, which is materially representative of their fair value principally because of the short-term maturities of these instruments.</w:t>
      </w:r>
    </w:p>
    <w:p>
      <w:pPr>
        <w:spacing w:after="0" w:line="67" w:lineRule="exact"/>
        <w:rPr>
          <w:sz w:val="20"/>
          <w:szCs w:val="20"/>
          <w:color w:val="auto"/>
        </w:rPr>
      </w:pPr>
    </w:p>
    <w:p>
      <w:pPr>
        <w:ind w:left="680" w:right="600" w:firstLine="399"/>
        <w:spacing w:after="0" w:line="320" w:lineRule="auto"/>
        <w:rPr>
          <w:sz w:val="20"/>
          <w:szCs w:val="20"/>
          <w:color w:val="auto"/>
        </w:rPr>
      </w:pPr>
      <w:r>
        <w:rPr>
          <w:rFonts w:ascii="Arial" w:cs="Arial" w:eastAsia="Arial" w:hAnsi="Arial"/>
          <w:sz w:val="12"/>
          <w:szCs w:val="12"/>
          <w:i w:val="1"/>
          <w:iCs w:val="1"/>
          <w:color w:val="auto"/>
        </w:rPr>
        <w:t xml:space="preserve">Long-term investments </w:t>
      </w:r>
      <w:r>
        <w:rPr>
          <w:rFonts w:ascii="Arial" w:cs="Arial" w:eastAsia="Arial" w:hAnsi="Arial"/>
          <w:sz w:val="12"/>
          <w:szCs w:val="12"/>
          <w:color w:val="auto"/>
        </w:rPr>
        <w:t>— Included as a component of “Other assets” in our Consolidated Balance Sheets at December 31, 2007 and December 31, 2006 is $73 million and</w:t>
      </w:r>
      <w:r>
        <w:rPr>
          <w:rFonts w:ascii="Arial" w:cs="Arial" w:eastAsia="Arial" w:hAnsi="Arial"/>
          <w:sz w:val="12"/>
          <w:szCs w:val="12"/>
          <w:i w:val="1"/>
          <w:iCs w:val="1"/>
          <w:color w:val="auto"/>
        </w:rPr>
        <w:t xml:space="preserve"> </w:t>
      </w:r>
      <w:r>
        <w:rPr>
          <w:rFonts w:ascii="Arial" w:cs="Arial" w:eastAsia="Arial" w:hAnsi="Arial"/>
          <w:sz w:val="12"/>
          <w:szCs w:val="12"/>
          <w:color w:val="auto"/>
        </w:rPr>
        <w:t>$72 million, respectively, for the cost basis of restricted investments in equity-based mutual funds. Unrealized holding gains and losses on these instruments are</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371" w:lineRule="auto"/>
        <w:rPr>
          <w:sz w:val="20"/>
          <w:szCs w:val="20"/>
          <w:color w:val="auto"/>
        </w:rPr>
      </w:pPr>
      <w:r>
        <w:rPr>
          <w:rFonts w:ascii="Arial" w:cs="Arial" w:eastAsia="Arial" w:hAnsi="Arial"/>
          <w:sz w:val="11"/>
          <w:szCs w:val="11"/>
          <w:color w:val="auto"/>
        </w:rPr>
        <w:t>recorded as either an increase or decrease to the asset balance and deferred as a component of “Accumulated other comprehensive income” in the equity section of our Consolidated Balance Sheets. The net unrealized holding gains on these instruments, net of taxes, were $5 million as of December 31, 2007 and $10 million as of December 31, 2006. Refer to Note 13.</w:t>
      </w:r>
    </w:p>
    <w:p>
      <w:pPr>
        <w:spacing w:after="0" w:line="12"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Debt and interest rate derivatives </w:t>
      </w:r>
      <w:r>
        <w:rPr>
          <w:rFonts w:ascii="Arial" w:cs="Arial" w:eastAsia="Arial" w:hAnsi="Arial"/>
          <w:sz w:val="12"/>
          <w:szCs w:val="12"/>
          <w:color w:val="auto"/>
        </w:rPr>
        <w:t>— At December 31, 2007 and 2006, the carrying value of our debt was approximately $8.3 billion. The carrying value includes adjustments for both</w:t>
      </w:r>
      <w:r>
        <w:rPr>
          <w:rFonts w:ascii="Arial" w:cs="Arial" w:eastAsia="Arial" w:hAnsi="Arial"/>
          <w:sz w:val="12"/>
          <w:szCs w:val="12"/>
          <w:i w:val="1"/>
          <w:iCs w:val="1"/>
          <w:color w:val="auto"/>
        </w:rPr>
        <w:t xml:space="preserve"> </w:t>
      </w:r>
      <w:r>
        <w:rPr>
          <w:rFonts w:ascii="Arial" w:cs="Arial" w:eastAsia="Arial" w:hAnsi="Arial"/>
          <w:sz w:val="12"/>
          <w:szCs w:val="12"/>
          <w:color w:val="auto"/>
        </w:rPr>
        <w:t>the unamortized fair value adjustments related to terminated hedge arrangements and fair value adjustments of debt instruments that are currently hedged. See Note 7. For active hedge arrangements, the fair value of the derivative is included in other current assets, other long-term assets, accrued liabilities or other long-term liabilities, as appropriate. The estimated fair value of our debt was approximately $8.5 billion at December 31, 2007 and approximately $8.7 billion at December 31, 2006. The estimated fair values of our senior notes and convertible subordinated notes are based on quoted market prices. The carrying value of remarketable debt approximates fair value due to the short-term nature of the attached interest rates. The fair value of our other debt is estimated using discounted cash flow analysis, based on rates we would currently pay for similar types of instruments.</w:t>
      </w:r>
    </w:p>
    <w:p>
      <w:pPr>
        <w:spacing w:after="0" w:line="134" w:lineRule="exact"/>
        <w:rPr>
          <w:sz w:val="20"/>
          <w:szCs w:val="20"/>
          <w:color w:val="auto"/>
        </w:rPr>
      </w:pPr>
    </w:p>
    <w:p>
      <w:pPr>
        <w:ind w:left="1180" w:hanging="493"/>
        <w:spacing w:after="0"/>
        <w:tabs>
          <w:tab w:leader="none" w:pos="118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Business Combinations and Divestitures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Purchase Acquisitions</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We continue to pursue the acquisition of businesses that are accretive to our solid waste operations. We have seen the greatest opportunities for realizing superior returns from tuck-in acquisitions, which are primarily the purchases of collection operations that enhance our existing route structures and are strategically located near our existing disposal operations. During the years ended December 31, 2007, 2006, and 2005 we completed several acquisitions for a cost, net of cash acquired, of $90 million, $32 million, and $142 million, respectively.</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Divestitures</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aggregate sales price for divestitures of operations was $224 million in 2007, $184 million in 2006 and $172 million in 2005. The proceeds from these sales were comprised substantially of cash. We recognized net gains on these divestitures of $59 million in 2007, $26 million in 2006 and $79 million in 2005.</w:t>
      </w:r>
    </w:p>
    <w:p>
      <w:pPr>
        <w:spacing w:after="0" w:line="59"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color w:val="auto"/>
        </w:rPr>
        <w:t>Our 2007 divestitures have been made as part of our initiative to improve or divest certain under-performing and non-strategic operations. As of December 31, 2007, our current “Other assets” included $5 million of operations and properties held for sale. This balance is primarily attributable to our efforts to execute the strategy. As discussed in Note 3, held-for-sale assets are recorded at the lower of their carrying amount or their fair value less the estimated cost to sell. Additional information related to our divestitures activity is included in Note 12.</w:t>
      </w:r>
    </w:p>
    <w:p>
      <w:pPr>
        <w:spacing w:after="0" w:line="107" w:lineRule="exact"/>
        <w:rPr>
          <w:sz w:val="20"/>
          <w:szCs w:val="20"/>
          <w:color w:val="auto"/>
        </w:rPr>
      </w:pPr>
    </w:p>
    <w:p>
      <w:pPr>
        <w:ind w:left="1180" w:hanging="493"/>
        <w:spacing w:after="0"/>
        <w:tabs>
          <w:tab w:leader="none" w:pos="118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Variable Interest Entities</w:t>
      </w:r>
    </w:p>
    <w:p>
      <w:pPr>
        <w:spacing w:after="0" w:line="10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We have financial interests in various variable interest entities. Following is a description of all interests that we consider significant. For purposes of applying FIN 46(R), we are considered the primary beneficiary of certain of these entities. Such entities have been consolidated into our financial statements as noted below.</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Consolidated variable interest entities</w:t>
      </w:r>
    </w:p>
    <w:p>
      <w:pPr>
        <w:spacing w:after="0" w:line="96"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i w:val="1"/>
          <w:iCs w:val="1"/>
          <w:color w:val="auto"/>
        </w:rPr>
        <w:t xml:space="preserve">Waste-to-Energy LLCs </w:t>
      </w:r>
      <w:r>
        <w:rPr>
          <w:rFonts w:ascii="Arial" w:cs="Arial" w:eastAsia="Arial" w:hAnsi="Arial"/>
          <w:sz w:val="13"/>
          <w:szCs w:val="13"/>
          <w:color w:val="auto"/>
        </w:rPr>
        <w:t>— On June 30, 2000, two limited liability companies were established to purchase interests in existing leveraged lease financings at three waste-to-energy</w:t>
      </w:r>
      <w:r>
        <w:rPr>
          <w:rFonts w:ascii="Arial" w:cs="Arial" w:eastAsia="Arial" w:hAnsi="Arial"/>
          <w:sz w:val="13"/>
          <w:szCs w:val="13"/>
          <w:i w:val="1"/>
          <w:iCs w:val="1"/>
          <w:color w:val="auto"/>
        </w:rPr>
        <w:t xml:space="preserve"> </w:t>
      </w:r>
      <w:r>
        <w:rPr>
          <w:rFonts w:ascii="Arial" w:cs="Arial" w:eastAsia="Arial" w:hAnsi="Arial"/>
          <w:sz w:val="13"/>
          <w:szCs w:val="13"/>
          <w:color w:val="auto"/>
        </w:rPr>
        <w:t>facilities that we operate under an agreement with the owner. John Hancock Life Insurance Company has a 99.5% ownership interest in one of the LLCs (“LLC I”), and the second LLC (“LLC II”) is 99.75% collectively owned by LLC I and the CIT Group. We own the remaining equity interest in each LLC. Hancock and CIT made an initial investment of $167 million in the LLCs. The LLCs used these proceeds to purchase the three waste-to-energy facilities that we operate and assumed the seller’s indebtedness related to these facilities. Under the LLC agreements, the LLCs shall be dissolved upon the</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occurrence of any of the following events: (i) a written decision of all the members of the LLCs to dissolve, (ii) December 31, 2063, (iii) the entry of a decree of judicial dissolution under the Delaware Limited Liability Company Act, or (iv) the LLCs ceasing to own any interest in the waste-to-energy facilities.</w:t>
      </w:r>
    </w:p>
    <w:p>
      <w:pPr>
        <w:spacing w:after="0" w:line="59"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Income, losses and cash flows are allocated to the members based on their initial capital account balances until Hancock and CIT achieve targeted returns; thereafter, the earnings of LLC I will be allocated 20% to Hancock and 80% to us and the earnings of LLC II will be allocated 20% to Hancock and CIT and 80% to us. All capital allocations made through December 31, 2007 have been based on initial capital account balances as the target returns have not yet been achieved. We are required under certain circumstances to make capital contributions to the LLCs in the amount of the difference between the stipulated loss amounts and terminated values under the LLC agreements to the extent they are different from the underlying lease agreements. We believe that the likelihood of the occurrence of these circumstances is remote. Additionally, upon exercising certain renewal options under the leases, we will be required to make payments to the LLCs for the difference between fair market rents and the scheduled renewal rents.</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As of December 31, 2007, our Consolidated Balance Sheet includes $354 million of net property and equipment associated with the LLCs’ waste-to-energy facilities, $13 million of debt associated with the financing of the facilities and $235 million in minority interest associated with Hancock and CIT’s interests in the LLCs.</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Trusts for Closure, Post-Closure or Environmental Remediation Obligations </w:t>
      </w:r>
      <w:r>
        <w:rPr>
          <w:rFonts w:ascii="Arial" w:cs="Arial" w:eastAsia="Arial" w:hAnsi="Arial"/>
          <w:sz w:val="13"/>
          <w:szCs w:val="13"/>
          <w:color w:val="auto"/>
        </w:rPr>
        <w:t>— We have determined that we are the primary beneficiary of trust funds that were created to settle</w:t>
      </w:r>
      <w:r>
        <w:rPr>
          <w:rFonts w:ascii="Arial" w:cs="Arial" w:eastAsia="Arial" w:hAnsi="Arial"/>
          <w:sz w:val="13"/>
          <w:szCs w:val="13"/>
          <w:i w:val="1"/>
          <w:iCs w:val="1"/>
          <w:color w:val="auto"/>
        </w:rPr>
        <w:t xml:space="preserve"> </w:t>
      </w:r>
      <w:r>
        <w:rPr>
          <w:rFonts w:ascii="Arial" w:cs="Arial" w:eastAsia="Arial" w:hAnsi="Arial"/>
          <w:sz w:val="13"/>
          <w:szCs w:val="13"/>
          <w:color w:val="auto"/>
        </w:rPr>
        <w:t>certain of our closure, post-closure or environmental remediation obligations. As the trust funds are expected to continue to meet the statutory requirements for which they were established, we do not believe that there is any material exposure to loss associated with the trusts. The consolidation of these variable interest entities has not materially affected our financial position or results of operations.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Significant unconsolidated variable interest entities</w:t>
      </w:r>
    </w:p>
    <w:p>
      <w:pPr>
        <w:spacing w:after="0" w:line="96"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i w:val="1"/>
          <w:iCs w:val="1"/>
          <w:color w:val="auto"/>
        </w:rPr>
        <w:t xml:space="preserve">Investments in Coal-Based Synthetic Fuel Production Facilities </w:t>
      </w:r>
      <w:r>
        <w:rPr>
          <w:rFonts w:ascii="Arial" w:cs="Arial" w:eastAsia="Arial" w:hAnsi="Arial"/>
          <w:sz w:val="11"/>
          <w:szCs w:val="11"/>
          <w:color w:val="auto"/>
        </w:rPr>
        <w:t>— As discussed in Note 8, we own an interest in two coal-based synthetic fuel production facilities. Along with the</w:t>
      </w:r>
      <w:r>
        <w:rPr>
          <w:rFonts w:ascii="Arial" w:cs="Arial" w:eastAsia="Arial" w:hAnsi="Arial"/>
          <w:sz w:val="11"/>
          <w:szCs w:val="11"/>
          <w:i w:val="1"/>
          <w:iCs w:val="1"/>
          <w:color w:val="auto"/>
        </w:rPr>
        <w:t xml:space="preserve"> </w:t>
      </w:r>
      <w:r>
        <w:rPr>
          <w:rFonts w:ascii="Arial" w:cs="Arial" w:eastAsia="Arial" w:hAnsi="Arial"/>
          <w:sz w:val="11"/>
          <w:szCs w:val="11"/>
          <w:color w:val="auto"/>
        </w:rPr>
        <w:t>other equity investors, we have supported the operations of the entities in exchange for a pro-rata share of the tax credits generated by the facilities. Our obligation to support the facilities’ operations was, therefore, limited to the tax benefit we expected to receive. We are not the primary beneficiary of either of these entities, and we do not believe that we have any material exposure to loss, as measured under the provisions of FIN 46(R), as a result of our investments. As such, we account for these investments under the equity method of accounting and do not consolidate the facilities. As of December 31, 2007, our Consolidated Balance Sheet includes $90 million of assets and $31 million of liabilities associated with our interests in the facilities.</w:t>
      </w:r>
    </w:p>
    <w:p>
      <w:pPr>
        <w:spacing w:after="0" w:line="117" w:lineRule="exact"/>
        <w:rPr>
          <w:sz w:val="20"/>
          <w:szCs w:val="20"/>
          <w:color w:val="auto"/>
        </w:rPr>
      </w:pPr>
    </w:p>
    <w:p>
      <w:pPr>
        <w:ind w:left="1180" w:hanging="493"/>
        <w:spacing w:after="0"/>
        <w:tabs>
          <w:tab w:leader="none" w:pos="1180" w:val="left"/>
        </w:tabs>
        <w:numPr>
          <w:ilvl w:val="0"/>
          <w:numId w:val="73"/>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Related Information</w:t>
      </w:r>
    </w:p>
    <w:p>
      <w:pPr>
        <w:spacing w:after="0" w:line="10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We manage and evaluate our operations primarily through our Eastern, Midwest, Southern, Western, Wheelabrator and WMRA Groups. These six Groups are presented below as our reportable segments. Our segments provide integrated waste management services consisting of collection, disposal (solid waste and hazardous waste landfills), transfer, waste-to-energy facilities and independent power production plants that are managed by Wheelabrator, recycling services and other services to commercial, industrial, municipal and residential customers throughout the United States and in Puerto Rico and Canada. The operations not managed through our six operating Groups are presented herein as “Other.”</w:t>
      </w:r>
    </w:p>
    <w:p>
      <w:pPr>
        <w:spacing w:after="0" w:line="5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the third quarter of 2005, we eliminated our Canadian Group as a separate operating and reporting unit, and the management of our Canadian operations was allocated among our Eastern, Midwest and Western Groups. The historical operating results of our Canadian operations was allocated to the Eastern, Midwest and Western Groups to provide financial information that consistently reflects our current approach to managing our operations.</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Our third quarter 2005 reorganization, as discussed in Note 11, also resulted in the centralization of certain Group office functions. The administrative costs associated with these functions were included in the measurement of income from operations for our reportable segments through August 2005, when the integration of these functions with our existing centralized processes was complete. Beginning in September 2005, these administrative costs have been included in income from operations of “Corporate and other.” The reallocation of these costs has not significantly affected the operating results of our reportable segments for the periods presented.</w:t>
      </w:r>
    </w:p>
    <w:p>
      <w:pPr>
        <w:spacing w:after="0" w:line="53"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Effective January 1, 2007, we realigned our Eastern, Midwest and Western Group organizations to facilitate improved business execution. We reassigned responsibility for the management of certain Eastern Group market areas representing $799 million in assets, including $163 million in goodwill, to the Midwest Group; and we reassigned responsibility for the management of certain Midwest Group market areas representing $435 million in assets, including $231 million in goodwill, to the Western Group. In addition, in early 2007 we moved certain of our WMRA operations to our Western Group to more closely align their recycling operations with the related collection, transfer and disposal operations. The prior period segment information provided in the following table has been reclassified to reflect the impact of these realignments to provide financial information that consistently reflects our current approach to managing our operations.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Summarized financial information concerning our reportable segments for the respective years ended December 31 is shown in the following table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89"/>
              </w:rPr>
              <w:t>Gross</w:t>
            </w:r>
          </w:p>
        </w:tc>
        <w:tc>
          <w:tcPr>
            <w:tcW w:w="10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7"/>
              </w:rPr>
              <w:t>Intercompany</w:t>
            </w:r>
          </w:p>
        </w:tc>
        <w:tc>
          <w:tcPr>
            <w:tcW w:w="80" w:type="dxa"/>
            <w:vAlign w:val="bottom"/>
          </w:tcPr>
          <w:p>
            <w:pPr>
              <w:spacing w:after="0"/>
              <w:rPr>
                <w:sz w:val="10"/>
                <w:szCs w:val="10"/>
                <w:color w:val="auto"/>
              </w:rPr>
            </w:pPr>
          </w:p>
        </w:tc>
        <w:tc>
          <w:tcPr>
            <w:tcW w:w="8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9"/>
              </w:rPr>
              <w:t>Net</w:t>
            </w:r>
          </w:p>
        </w:tc>
        <w:tc>
          <w:tcPr>
            <w:tcW w:w="80" w:type="dxa"/>
            <w:vAlign w:val="bottom"/>
          </w:tcPr>
          <w:p>
            <w:pPr>
              <w:spacing w:after="0"/>
              <w:rPr>
                <w:sz w:val="10"/>
                <w:szCs w:val="10"/>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1"/>
              </w:rPr>
              <w:t>Income</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Depreciation</w:t>
            </w:r>
          </w:p>
        </w:tc>
        <w:tc>
          <w:tcPr>
            <w:tcW w:w="80" w:type="dxa"/>
            <w:vAlign w:val="bottom"/>
          </w:tcPr>
          <w:p>
            <w:pPr>
              <w:spacing w:after="0"/>
              <w:rPr>
                <w:sz w:val="10"/>
                <w:szCs w:val="10"/>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Capital</w:t>
            </w:r>
          </w:p>
        </w:tc>
        <w:tc>
          <w:tcPr>
            <w:tcW w:w="100" w:type="dxa"/>
            <w:vAlign w:val="bottom"/>
          </w:tcPr>
          <w:p>
            <w:pPr>
              <w:spacing w:after="0"/>
              <w:rPr>
                <w:sz w:val="10"/>
                <w:szCs w:val="10"/>
                <w:color w:val="auto"/>
              </w:rPr>
            </w:pPr>
          </w:p>
        </w:tc>
        <w:tc>
          <w:tcPr>
            <w:tcW w:w="5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1"/>
              </w:rPr>
              <w:t>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11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Operating</w:t>
            </w:r>
          </w:p>
        </w:tc>
        <w:tc>
          <w:tcPr>
            <w:tcW w:w="80" w:type="dxa"/>
            <w:vAlign w:val="bottom"/>
          </w:tcPr>
          <w:p>
            <w:pPr>
              <w:spacing w:after="0"/>
              <w:rPr>
                <w:sz w:val="9"/>
                <w:szCs w:val="9"/>
                <w:color w:val="auto"/>
              </w:rPr>
            </w:pPr>
          </w:p>
        </w:tc>
        <w:tc>
          <w:tcPr>
            <w:tcW w:w="82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7"/>
              </w:rPr>
              <w:t>Operating</w:t>
            </w:r>
          </w:p>
        </w:tc>
        <w:tc>
          <w:tcPr>
            <w:tcW w:w="80" w:type="dxa"/>
            <w:vAlign w:val="bottom"/>
          </w:tcPr>
          <w:p>
            <w:pPr>
              <w:spacing w:after="0"/>
              <w:rPr>
                <w:sz w:val="9"/>
                <w:szCs w:val="9"/>
                <w:color w:val="auto"/>
              </w:rPr>
            </w:pPr>
          </w:p>
        </w:tc>
        <w:tc>
          <w:tcPr>
            <w:tcW w:w="9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4"/>
              </w:rPr>
              <w:t>Operations</w:t>
            </w:r>
          </w:p>
        </w:tc>
        <w:tc>
          <w:tcPr>
            <w:tcW w:w="80" w:type="dxa"/>
            <w:vAlign w:val="bottom"/>
          </w:tcPr>
          <w:p>
            <w:pPr>
              <w:spacing w:after="0"/>
              <w:rPr>
                <w:sz w:val="9"/>
                <w:szCs w:val="9"/>
                <w:color w:val="auto"/>
              </w:rPr>
            </w:pPr>
          </w:p>
        </w:tc>
        <w:tc>
          <w:tcPr>
            <w:tcW w:w="10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rPr>
              <w:t>and</w:t>
            </w:r>
          </w:p>
        </w:tc>
        <w:tc>
          <w:tcPr>
            <w:tcW w:w="80" w:type="dxa"/>
            <w:vAlign w:val="bottom"/>
          </w:tcPr>
          <w:p>
            <w:pPr>
              <w:spacing w:after="0"/>
              <w:rPr>
                <w:sz w:val="9"/>
                <w:szCs w:val="9"/>
                <w:color w:val="auto"/>
              </w:rPr>
            </w:pPr>
          </w:p>
        </w:tc>
        <w:tc>
          <w:tcPr>
            <w:tcW w:w="10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4"/>
              </w:rPr>
              <w:t>Expenditures</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85"/>
              </w:rPr>
              <w:t>Assets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Revenues</w:t>
            </w:r>
          </w:p>
        </w:tc>
        <w:tc>
          <w:tcPr>
            <w:tcW w:w="100" w:type="dxa"/>
            <w:vAlign w:val="bottom"/>
          </w:tcPr>
          <w:p>
            <w:pPr>
              <w:spacing w:after="0"/>
              <w:rPr>
                <w:sz w:val="10"/>
                <w:szCs w:val="1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Revenues(d)</w:t>
            </w:r>
          </w:p>
        </w:tc>
        <w:tc>
          <w:tcPr>
            <w:tcW w:w="80" w:type="dxa"/>
            <w:vAlign w:val="bottom"/>
          </w:tcPr>
          <w:p>
            <w:pPr>
              <w:spacing w:after="0"/>
              <w:rPr>
                <w:sz w:val="10"/>
                <w:szCs w:val="10"/>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Revenues</w:t>
            </w:r>
          </w:p>
        </w:tc>
        <w:tc>
          <w:tcPr>
            <w:tcW w:w="80" w:type="dxa"/>
            <w:vAlign w:val="bottom"/>
          </w:tcPr>
          <w:p>
            <w:pPr>
              <w:spacing w:after="0"/>
              <w:rPr>
                <w:sz w:val="10"/>
                <w:szCs w:val="10"/>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(e), (f)</w:t>
            </w:r>
          </w:p>
        </w:tc>
        <w:tc>
          <w:tcPr>
            <w:tcW w:w="80" w:type="dxa"/>
            <w:vAlign w:val="bottom"/>
          </w:tcPr>
          <w:p>
            <w:pPr>
              <w:spacing w:after="0"/>
              <w:rPr>
                <w:sz w:val="10"/>
                <w:szCs w:val="10"/>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8"/>
              </w:rPr>
              <w:t>Amortization</w:t>
            </w:r>
          </w:p>
        </w:tc>
        <w:tc>
          <w:tcPr>
            <w:tcW w:w="80" w:type="dxa"/>
            <w:vAlign w:val="bottom"/>
          </w:tcPr>
          <w:p>
            <w:pPr>
              <w:spacing w:after="0"/>
              <w:rPr>
                <w:sz w:val="10"/>
                <w:szCs w:val="10"/>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6"/>
              </w:rPr>
              <w:t>(g), (h)</w:t>
            </w:r>
          </w:p>
        </w:tc>
        <w:tc>
          <w:tcPr>
            <w:tcW w:w="100" w:type="dxa"/>
            <w:vAlign w:val="bottom"/>
          </w:tcPr>
          <w:p>
            <w:pPr>
              <w:spacing w:after="0"/>
              <w:rPr>
                <w:sz w:val="10"/>
                <w:szCs w:val="10"/>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(i), (j)</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Eastern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3,281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(631)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2,650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520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289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245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4,279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Midwest</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2,983</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(492)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2,491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471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287</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Southern</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3,681</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(540)</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3,141</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816</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298</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268</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3,105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Western</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3,508</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(444)</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3,064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635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238</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Wheelabrator</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868</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797</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292</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2,399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WMRA</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953</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932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Other(a)</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307</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235</w:t>
            </w:r>
          </w:p>
        </w:tc>
        <w:tc>
          <w:tcPr>
            <w:tcW w:w="8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760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15,581</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(2,271)</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13,310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2,772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1,205</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1,146</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Corporate and Other(b)</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(518)</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54</w:t>
            </w:r>
          </w:p>
        </w:tc>
        <w:tc>
          <w:tcPr>
            <w:tcW w:w="8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1,489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15,581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(2,271)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13,310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2,254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1,259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20,832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b w:val="1"/>
                <w:bCs w:val="1"/>
                <w:color w:val="auto"/>
              </w:rPr>
              <w:t>2006</w:t>
            </w:r>
          </w:p>
        </w:tc>
        <w:tc>
          <w:tcPr>
            <w:tcW w:w="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3,614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(739)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2,875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389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322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Midwest</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3,003</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(516)</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2,487</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428</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299</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4,462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3,759</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(568)</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3,191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804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302</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Western</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3,511</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(465)</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3,046</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647</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246</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347</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3,642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902</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(71)</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831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315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WMRA</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740</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720</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Other(a)</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283</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15,812</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(2,449)</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13,363</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2,574</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1,256</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1,314</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19,165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Corporate and Other(b)</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(545)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2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15,812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(2,449)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13,363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2,029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1,334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1,371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21,182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2005</w:t>
            </w:r>
          </w:p>
        </w:tc>
        <w:tc>
          <w:tcPr>
            <w:tcW w:w="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Eastern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3,632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(784)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2,848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333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328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268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4,429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Midwest</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2,922</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(508)</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2,414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378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298</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243</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Southern</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3,590</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(556)</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3,034</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699</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311</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3,193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Western</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3,416</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(447)</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2,969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549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242</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Wheelabrator</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879</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817</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305</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54</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2,524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WMRA</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805</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776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Other(a)</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(80)</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216</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706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15,540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(2,466)</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13,074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2,280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1,279</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1,121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Corporate and Other(b),(c)</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(570)</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2,310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15,540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(2,466)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13,074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1,361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1"/>
        </w:trPr>
        <w:tc>
          <w:tcPr>
            <w:tcW w:w="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175260</wp:posOffset>
            </wp:positionV>
            <wp:extent cx="82359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306" w:lineRule="exact"/>
        <w:rPr>
          <w:sz w:val="20"/>
          <w:szCs w:val="20"/>
          <w:color w:val="auto"/>
        </w:rPr>
      </w:pPr>
    </w:p>
    <w:p>
      <w:pPr>
        <w:ind w:left="1180" w:right="20" w:hanging="493"/>
        <w:spacing w:after="0" w:line="285" w:lineRule="auto"/>
        <w:tabs>
          <w:tab w:leader="none" w:pos="11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Our “Other” net operating revenues and “Other” income from operations include the effects of those elements of our in-plant services, methane gas recovery and third-party sub-contract and administration revenues managed by our Renewable Energy, National Accounts and Upstream organizations that are not included with the operations of our reportable segments. In addition, our “Other” income from operations reflect the impacts of (i) non-operating entities that provide financial assurance and self-insurance support for the operating Groups or financing for our Canadian operations; and (ii) certain year-end adjustments recorded in consolidation related to the reportable segments that were not included in the measure of segment profit or loss used to assess their performance for the periods disclosed</w:t>
      </w:r>
    </w:p>
    <w:p>
      <w:pPr>
        <w:spacing w:after="0" w:line="6" w:lineRule="exact"/>
        <w:rPr>
          <w:rFonts w:ascii="Arial" w:cs="Arial" w:eastAsia="Arial" w:hAnsi="Arial"/>
          <w:sz w:val="12"/>
          <w:szCs w:val="12"/>
          <w:color w:val="auto"/>
        </w:rPr>
      </w:pPr>
    </w:p>
    <w:p>
      <w:pPr>
        <w:ind w:left="1180" w:hanging="493"/>
        <w:spacing w:after="0" w:line="257" w:lineRule="auto"/>
        <w:tabs>
          <w:tab w:leader="none" w:pos="11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Corporate operating results reflect the costs incurred for various support services that are not allocated to our six operating Groups.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managing our international and non-solid waste divested operations, which primarily includes administrative expenses and the impact of revisions to our estimated obligations. As discussed above, in 2005 we centralized support functions that had been provided by our Group offices. Beginning in the third quarter of 2005, our “Corporate and other” operating results also include the costs associated with these support functions.</w:t>
      </w:r>
    </w:p>
    <w:p>
      <w:pPr>
        <w:spacing w:after="0" w:line="22" w:lineRule="exact"/>
        <w:rPr>
          <w:rFonts w:ascii="Arial" w:cs="Arial" w:eastAsia="Arial" w:hAnsi="Arial"/>
          <w:sz w:val="13"/>
          <w:szCs w:val="13"/>
          <w:color w:val="auto"/>
        </w:rPr>
      </w:pPr>
    </w:p>
    <w:p>
      <w:pPr>
        <w:ind w:left="1180" w:right="120" w:hanging="493"/>
        <w:spacing w:after="0" w:line="264" w:lineRule="auto"/>
        <w:tabs>
          <w:tab w:leader="none" w:pos="11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Corporate expenses in 2005 include impairment charges of $68 million associated with capitalized software costs and $31 million of net charges associated with various legal and divestiture matters. These items are discussed further in Note 12. Also included in our 2005 Corporate results are costs associated with our 2005 restructuring charge and organizational changes, which were partially offset by associated savings at Corporate.</w:t>
      </w:r>
    </w:p>
    <w:p>
      <w:pPr>
        <w:spacing w:after="0" w:line="17" w:lineRule="exact"/>
        <w:rPr>
          <w:rFonts w:ascii="Arial" w:cs="Arial" w:eastAsia="Arial" w:hAnsi="Arial"/>
          <w:sz w:val="13"/>
          <w:szCs w:val="13"/>
          <w:color w:val="auto"/>
        </w:rPr>
      </w:pPr>
    </w:p>
    <w:p>
      <w:pPr>
        <w:ind w:left="1180" w:right="140" w:hanging="493"/>
        <w:spacing w:after="0" w:line="276" w:lineRule="auto"/>
        <w:tabs>
          <w:tab w:leader="none" w:pos="11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0" w:lineRule="exact"/>
        <w:rPr>
          <w:rFonts w:ascii="Arial" w:cs="Arial" w:eastAsia="Arial" w:hAnsi="Arial"/>
          <w:sz w:val="13"/>
          <w:szCs w:val="13"/>
          <w:color w:val="auto"/>
        </w:rPr>
      </w:pPr>
    </w:p>
    <w:p>
      <w:pPr>
        <w:ind w:left="1180" w:hanging="493"/>
        <w:spacing w:after="0"/>
        <w:tabs>
          <w:tab w:leader="none" w:pos="11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For those items included in the determination of income from operations, the accounting policies of the segments are the same as those described in Note 3.</w:t>
      </w:r>
    </w:p>
    <w:p>
      <w:pPr>
        <w:spacing w:after="0" w:line="47" w:lineRule="exact"/>
        <w:rPr>
          <w:rFonts w:ascii="Arial" w:cs="Arial" w:eastAsia="Arial" w:hAnsi="Arial"/>
          <w:sz w:val="13"/>
          <w:szCs w:val="13"/>
          <w:color w:val="auto"/>
        </w:rPr>
      </w:pPr>
    </w:p>
    <w:p>
      <w:pPr>
        <w:ind w:left="1180" w:right="20" w:hanging="493"/>
        <w:spacing w:after="0" w:line="256" w:lineRule="auto"/>
        <w:tabs>
          <w:tab w:leader="none" w:pos="11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income from operations provided by our four geographic segments is generally indicative of the margins provided by our collection, landfill and transfer businesses, although these Groups do provide recycling and other services that can affect these trends. The operating margins provided by our Wheelabrator segment (waste-to-energy facilities and independent power production plants) have historically been higher than the margins provided by our base business generally due to the combined impact of long-term disposal and energy contracts and the disposal demands of the regions in which our facilities are concentrated. Income from operations provided by our WMRA segment generally reflects operating margins typical of the recycling industry, which tend to be significantly lower than those provided by our base business. From time to time the operating results of our reportable segments are significantly affected by unusual or infrequent transactions or events. Refer to Note 11 and Note 12 for an explanation of transactions and events affecting the operating results of our reportable segments.</w:t>
      </w:r>
    </w:p>
    <w:p>
      <w:pPr>
        <w:spacing w:after="0" w:line="23" w:lineRule="exact"/>
        <w:rPr>
          <w:rFonts w:ascii="Arial" w:cs="Arial" w:eastAsia="Arial" w:hAnsi="Arial"/>
          <w:sz w:val="13"/>
          <w:szCs w:val="13"/>
          <w:color w:val="auto"/>
        </w:rPr>
      </w:pPr>
    </w:p>
    <w:p>
      <w:pPr>
        <w:ind w:left="1180" w:hanging="493"/>
        <w:spacing w:after="0" w:line="276" w:lineRule="auto"/>
        <w:tabs>
          <w:tab w:leader="none" w:pos="11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non-cash items. Capital expenditures are reported in our operating segments at the time they are recorded within the segments’ property, plant and equipment balances and, therefore, may include amounts that have been accrued but not yet paid.</w:t>
      </w:r>
    </w:p>
    <w:p>
      <w:pPr>
        <w:spacing w:after="0" w:line="10" w:lineRule="exact"/>
        <w:rPr>
          <w:rFonts w:ascii="Arial" w:cs="Arial" w:eastAsia="Arial" w:hAnsi="Arial"/>
          <w:sz w:val="13"/>
          <w:szCs w:val="13"/>
          <w:color w:val="auto"/>
        </w:rPr>
      </w:pPr>
    </w:p>
    <w:p>
      <w:pPr>
        <w:ind w:left="1180" w:right="40" w:hanging="493"/>
        <w:spacing w:after="0" w:line="289" w:lineRule="auto"/>
        <w:tabs>
          <w:tab w:leader="none" w:pos="11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Because of the length of time inherent in certain fleet purchases, our Corporate and Other segment initiates certain fleet-related purchases on behalf of our operating segments. The related capital expenditures are recorded in our Corporate and Other segment until the time at which the fleet items are delivered to our operating groups. Once delivery occurs, the total cost of the items received are reported as capital expenditures in our operating groups with an offset for the costs previously reported by the Corporate and Other segment. In 2007, the quantity of fleet purchases previously reported by the Corporate and Other segment that were</w:t>
      </w:r>
    </w:p>
    <w:p>
      <w:pPr>
        <w:spacing w:after="0" w:line="24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delivered to our operating groups more than offset the quantity of new fleet purchases initiated by our Corporate and Other segment.</w:t>
      </w:r>
    </w:p>
    <w:p>
      <w:pPr>
        <w:spacing w:after="0" w:line="47" w:lineRule="exact"/>
        <w:rPr>
          <w:sz w:val="20"/>
          <w:szCs w:val="20"/>
          <w:color w:val="auto"/>
        </w:rPr>
      </w:pPr>
    </w:p>
    <w:p>
      <w:pPr>
        <w:ind w:left="1180" w:hanging="493"/>
        <w:spacing w:after="0"/>
        <w:tabs>
          <w:tab w:leader="none" w:pos="11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reconciliation of total assets reported above to “Total assets” in the Consolidated Balance Sheets is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0"/>
                <w:szCs w:val="10"/>
                <w:b w:val="1"/>
                <w:bCs w:val="1"/>
                <w:color w:val="auto"/>
                <w:w w:val="95"/>
              </w:rPr>
              <w:t>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2007</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assets, as reported above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20,832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21,182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21,723</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Elimination of intercompany investments and advances</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(657)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(582)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(588)</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 per Consolidated Balance Sheets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20,175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20,600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21,135</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180" w:right="880" w:hanging="493"/>
        <w:spacing w:after="0" w:line="264" w:lineRule="auto"/>
        <w:tabs>
          <w:tab w:leader="none" w:pos="11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Goodwill is included within each Group’s total assets. Effective January 1, 2007, we realigned our Eastern, Midwest, Western and WMRA Group organizations to facilitate improved business execution. These realignments resulted in a reallocation of goodwill among our segments as of January 1, 2007. The following table shows changes in goodwill during 2006 and 2007 by reportable segment on a realigned basis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w w:val="92"/>
              </w:rPr>
              <w:t>Eastern</w:t>
            </w:r>
          </w:p>
        </w:tc>
        <w:tc>
          <w:tcPr>
            <w:tcW w:w="80" w:type="dxa"/>
            <w:vAlign w:val="bottom"/>
          </w:tcPr>
          <w:p>
            <w:pPr>
              <w:spacing w:after="0"/>
              <w:rPr>
                <w:sz w:val="10"/>
                <w:szCs w:val="1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Midwest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1"/>
              </w:rPr>
              <w:t>Southern</w:t>
            </w:r>
          </w:p>
        </w:tc>
        <w:tc>
          <w:tcPr>
            <w:tcW w:w="78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rPr>
              <w:t>Western</w:t>
            </w:r>
          </w:p>
        </w:tc>
        <w:tc>
          <w:tcPr>
            <w:tcW w:w="140" w:type="dxa"/>
            <w:vAlign w:val="bottom"/>
          </w:tcPr>
          <w:p>
            <w:pPr>
              <w:spacing w:after="0"/>
              <w:rPr>
                <w:sz w:val="10"/>
                <w:szCs w:val="10"/>
                <w:color w:val="auto"/>
              </w:rPr>
            </w:pPr>
          </w:p>
        </w:tc>
        <w:tc>
          <w:tcPr>
            <w:tcW w:w="1120" w:type="dxa"/>
            <w:vAlign w:val="bottom"/>
            <w:gridSpan w:val="5"/>
          </w:tcPr>
          <w:p>
            <w:pPr>
              <w:jc w:val="right"/>
              <w:ind w:right="440"/>
              <w:spacing w:after="0"/>
              <w:rPr>
                <w:sz w:val="20"/>
                <w:szCs w:val="20"/>
                <w:color w:val="auto"/>
              </w:rPr>
            </w:pPr>
            <w:r>
              <w:rPr>
                <w:rFonts w:ascii="Arial" w:cs="Arial" w:eastAsia="Arial" w:hAnsi="Arial"/>
                <w:sz w:val="10"/>
                <w:szCs w:val="10"/>
                <w:b w:val="1"/>
                <w:bCs w:val="1"/>
                <w:color w:val="auto"/>
              </w:rPr>
              <w:t>Wheelabrator</w:t>
            </w:r>
          </w:p>
        </w:tc>
        <w:tc>
          <w:tcPr>
            <w:tcW w:w="100" w:type="dxa"/>
            <w:vAlign w:val="bottom"/>
          </w:tcPr>
          <w:p>
            <w:pPr>
              <w:spacing w:after="0"/>
              <w:rPr>
                <w:sz w:val="10"/>
                <w:szCs w:val="10"/>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rPr>
              <w:t>WMRA</w:t>
            </w:r>
          </w:p>
        </w:tc>
        <w:tc>
          <w:tcPr>
            <w:tcW w:w="240" w:type="dxa"/>
            <w:vAlign w:val="bottom"/>
          </w:tcPr>
          <w:p>
            <w:pPr>
              <w:spacing w:after="0"/>
              <w:rPr>
                <w:sz w:val="10"/>
                <w:szCs w:val="10"/>
                <w:color w:val="auto"/>
              </w:rPr>
            </w:pPr>
          </w:p>
        </w:tc>
        <w:tc>
          <w:tcPr>
            <w:tcW w:w="500" w:type="dxa"/>
            <w:vAlign w:val="bottom"/>
            <w:gridSpan w:val="4"/>
          </w:tcPr>
          <w:p>
            <w:pPr>
              <w:ind w:left="20"/>
              <w:spacing w:after="0"/>
              <w:rPr>
                <w:sz w:val="20"/>
                <w:szCs w:val="20"/>
                <w:color w:val="auto"/>
              </w:rPr>
            </w:pPr>
            <w:r>
              <w:rPr>
                <w:rFonts w:ascii="Arial" w:cs="Arial" w:eastAsia="Arial" w:hAnsi="Arial"/>
                <w:sz w:val="10"/>
                <w:szCs w:val="10"/>
                <w:b w:val="1"/>
                <w:bCs w:val="1"/>
                <w:color w:val="auto"/>
              </w:rPr>
              <w:t>Other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567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788</w:t>
            </w:r>
          </w:p>
        </w:tc>
        <w:tc>
          <w:tcPr>
            <w:tcW w:w="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5,364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Acquired goodwill</w:t>
            </w:r>
          </w:p>
        </w:tc>
        <w:tc>
          <w:tcPr>
            <w:tcW w:w="8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Divested goodwill, net of assets held-for-sale</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(27)</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Translation adjustments</w:t>
            </w:r>
          </w:p>
        </w:tc>
        <w:tc>
          <w:tcPr>
            <w:tcW w:w="8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1,462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568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1,174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788</w:t>
            </w:r>
          </w:p>
        </w:tc>
        <w:tc>
          <w:tcPr>
            <w:tcW w:w="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5,292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Acquired goodwill</w:t>
            </w:r>
          </w:p>
        </w:tc>
        <w:tc>
          <w:tcPr>
            <w:tcW w:w="8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Divested goodwill, net of assets held-for-sale</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Translation adjustments</w:t>
            </w:r>
          </w:p>
        </w:tc>
        <w:tc>
          <w:tcPr>
            <w:tcW w:w="8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17</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1,471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581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1,217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788</w:t>
            </w:r>
          </w:p>
        </w:tc>
        <w:tc>
          <w:tcPr>
            <w:tcW w:w="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right w:val="single" w:sz="8" w:color="CCEEFF"/>
            </w:tcBorders>
            <w:shd w:val="clear" w:color="auto" w:fill="CCEEFF"/>
          </w:tcPr>
          <w:p>
            <w:pPr>
              <w:spacing w:after="0"/>
              <w:rPr>
                <w:sz w:val="13"/>
                <w:szCs w:val="13"/>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99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5,406</w:t>
            </w:r>
          </w:p>
        </w:tc>
        <w:tc>
          <w:tcPr>
            <w:tcW w:w="800" w:type="dxa"/>
            <w:vAlign w:val="bottom"/>
          </w:tcPr>
          <w:p>
            <w:pPr>
              <w:spacing w:after="0"/>
              <w:rPr>
                <w:sz w:val="13"/>
                <w:szCs w:val="13"/>
                <w:color w:val="auto"/>
              </w:rPr>
            </w:pPr>
          </w:p>
        </w:tc>
      </w:tr>
      <w:tr>
        <w:trPr>
          <w:trHeight w:val="29"/>
        </w:trPr>
        <w:tc>
          <w:tcPr>
            <w:tcW w:w="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20" w:type="dxa"/>
            <w:vAlign w:val="bottom"/>
            <w:gridSpan w:val="2"/>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4"/>
        </w:trPr>
        <w:tc>
          <w:tcPr>
            <w:tcW w:w="680" w:type="dxa"/>
            <w:vAlign w:val="bottom"/>
          </w:tcPr>
          <w:p>
            <w:pPr>
              <w:spacing w:after="0"/>
              <w:rPr>
                <w:sz w:val="22"/>
                <w:szCs w:val="22"/>
                <w:color w:val="auto"/>
              </w:rPr>
            </w:pPr>
          </w:p>
        </w:tc>
        <w:tc>
          <w:tcPr>
            <w:tcW w:w="4840" w:type="dxa"/>
            <w:vAlign w:val="bottom"/>
            <w:gridSpan w:val="7"/>
          </w:tcPr>
          <w:p>
            <w:pPr>
              <w:ind w:left="400"/>
              <w:spacing w:after="0"/>
              <w:rPr>
                <w:sz w:val="20"/>
                <w:szCs w:val="20"/>
                <w:color w:val="auto"/>
              </w:rPr>
            </w:pPr>
            <w:r>
              <w:rPr>
                <w:rFonts w:ascii="Arial" w:cs="Arial" w:eastAsia="Arial" w:hAnsi="Arial"/>
                <w:sz w:val="13"/>
                <w:szCs w:val="13"/>
                <w:color w:val="auto"/>
                <w:w w:val="93"/>
              </w:rPr>
              <w:t>The table below shows the total revenues by principal line of business (in millions):</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08"/>
        </w:trPr>
        <w:tc>
          <w:tcPr>
            <w:tcW w:w="6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9"/>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1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auto"/>
            </w:tcBorders>
            <w:gridSpan w:val="3"/>
          </w:tcPr>
          <w:p>
            <w:pPr>
              <w:jc w:val="right"/>
              <w:ind w:right="14"/>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8,714</w:t>
            </w:r>
          </w:p>
        </w:tc>
        <w:tc>
          <w:tcPr>
            <w:tcW w:w="100" w:type="dxa"/>
            <w:vAlign w:val="bottom"/>
            <w:tcBorders>
              <w:right w:val="single" w:sz="8" w:color="CCEEFF"/>
            </w:tcBorders>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8"/>
              </w:rPr>
              <w:t>8,837</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8,633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Landfill</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3"/>
                <w:szCs w:val="13"/>
                <w:color w:val="auto"/>
              </w:rPr>
              <w:t>3,047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3"/>
                <w:szCs w:val="13"/>
                <w:color w:val="auto"/>
                <w:w w:val="98"/>
              </w:rPr>
              <w:t>3,197</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3,089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1,654</w:t>
            </w:r>
          </w:p>
        </w:tc>
        <w:tc>
          <w:tcPr>
            <w:tcW w:w="100" w:type="dxa"/>
            <w:vAlign w:val="bottom"/>
            <w:tcBorders>
              <w:right w:val="single" w:sz="8" w:color="CCEEFF"/>
            </w:tcBorders>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8"/>
              </w:rPr>
              <w:t>1,802</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Wheelabrator</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3"/>
                <w:szCs w:val="13"/>
                <w:color w:val="auto"/>
              </w:rPr>
              <w:t>868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3"/>
                <w:szCs w:val="13"/>
                <w:color w:val="auto"/>
              </w:rPr>
              <w:t>902</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879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Recycling and other(a)</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1,298</w:t>
            </w:r>
          </w:p>
        </w:tc>
        <w:tc>
          <w:tcPr>
            <w:tcW w:w="100" w:type="dxa"/>
            <w:vAlign w:val="bottom"/>
            <w:tcBorders>
              <w:right w:val="single" w:sz="8" w:color="CCEEFF"/>
            </w:tcBorders>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8"/>
              </w:rPr>
              <w:t>1,074</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Intercompany(b)</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(2,271)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3"/>
                <w:szCs w:val="13"/>
                <w:color w:val="auto"/>
                <w:w w:val="87"/>
              </w:rPr>
              <w:t>(2,449)</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(2,466)</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13,310</w:t>
            </w:r>
          </w:p>
        </w:tc>
        <w:tc>
          <w:tcPr>
            <w:tcW w:w="10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5"/>
            <w:shd w:val="clear" w:color="auto" w:fill="CCEEFF"/>
          </w:tcPr>
          <w:p>
            <w:pPr>
              <w:jc w:val="right"/>
              <w:ind w:right="60"/>
              <w:spacing w:after="0"/>
              <w:rPr>
                <w:sz w:val="20"/>
                <w:szCs w:val="20"/>
                <w:color w:val="auto"/>
              </w:rPr>
            </w:pPr>
            <w:r>
              <w:rPr>
                <w:rFonts w:ascii="Arial" w:cs="Arial" w:eastAsia="Arial" w:hAnsi="Arial"/>
                <w:sz w:val="13"/>
                <w:szCs w:val="13"/>
                <w:color w:val="auto"/>
              </w:rPr>
              <w:t>13,363</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13,074</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106</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175260</wp:posOffset>
            </wp:positionV>
            <wp:extent cx="82359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306" w:lineRule="exact"/>
        <w:rPr>
          <w:sz w:val="20"/>
          <w:szCs w:val="20"/>
          <w:color w:val="auto"/>
        </w:rPr>
      </w:pPr>
    </w:p>
    <w:p>
      <w:pPr>
        <w:ind w:left="1180" w:right="400" w:hanging="493"/>
        <w:spacing w:after="0" w:line="276" w:lineRule="auto"/>
        <w:tabs>
          <w:tab w:leader="none" w:pos="11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 addition to the revenue generated by WMRA, we have included recycling revenues generated within our four geographic operating Groups, in-plant services, methane gas operations, Port-O-Let</w:t>
      </w:r>
      <w:r>
        <w:rPr>
          <w:rFonts w:ascii="Arial" w:cs="Arial" w:eastAsia="Arial" w:hAnsi="Arial"/>
          <w:sz w:val="11"/>
          <w:szCs w:val="11"/>
          <w:color w:val="auto"/>
        </w:rPr>
        <w:t>®</w:t>
      </w:r>
      <w:r>
        <w:rPr>
          <w:rFonts w:ascii="Arial" w:cs="Arial" w:eastAsia="Arial" w:hAnsi="Arial"/>
          <w:sz w:val="13"/>
          <w:szCs w:val="13"/>
          <w:color w:val="auto"/>
        </w:rPr>
        <w:t xml:space="preserve"> services and street and parking lot sweeping services in the “Recycling and other” line-of-business.</w:t>
      </w:r>
    </w:p>
    <w:p>
      <w:pPr>
        <w:spacing w:after="0" w:line="10" w:lineRule="exact"/>
        <w:rPr>
          <w:rFonts w:ascii="Arial" w:cs="Arial" w:eastAsia="Arial" w:hAnsi="Arial"/>
          <w:sz w:val="13"/>
          <w:szCs w:val="13"/>
          <w:color w:val="auto"/>
        </w:rPr>
      </w:pPr>
    </w:p>
    <w:p>
      <w:pPr>
        <w:ind w:left="1180" w:hanging="493"/>
        <w:spacing w:after="0"/>
        <w:tabs>
          <w:tab w:leader="none" w:pos="11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Intercompany revenues between lines of business are eliminated within the Consolidated Financial Statements included herein.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operating revenues relating to operations in the United States and Puerto Rico, as well as Canada are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jc w:val="right"/>
              <w:ind w:right="5654"/>
              <w:spacing w:after="0"/>
              <w:rPr>
                <w:sz w:val="20"/>
                <w:szCs w:val="20"/>
                <w:color w:val="auto"/>
              </w:rPr>
            </w:pPr>
            <w:r>
              <w:rPr>
                <w:rFonts w:ascii="Arial" w:cs="Arial" w:eastAsia="Arial" w:hAnsi="Arial"/>
                <w:sz w:val="13"/>
                <w:szCs w:val="13"/>
                <w:color w:val="auto"/>
                <w:w w:val="89"/>
              </w:rPr>
              <w:t>United States and Puerto Rico</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12,566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12,674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12,430</w:t>
            </w:r>
          </w:p>
        </w:tc>
      </w:tr>
      <w:tr>
        <w:trPr>
          <w:trHeight w:val="157"/>
        </w:trPr>
        <w:tc>
          <w:tcPr>
            <w:tcW w:w="7300" w:type="dxa"/>
            <w:vAlign w:val="bottom"/>
          </w:tcPr>
          <w:p>
            <w:pPr>
              <w:jc w:val="right"/>
              <w:ind w:right="6834"/>
              <w:spacing w:after="0"/>
              <w:rPr>
                <w:sz w:val="20"/>
                <w:szCs w:val="20"/>
                <w:color w:val="auto"/>
              </w:rPr>
            </w:pPr>
            <w:r>
              <w:rPr>
                <w:rFonts w:ascii="Arial" w:cs="Arial" w:eastAsia="Arial" w:hAnsi="Arial"/>
                <w:sz w:val="13"/>
                <w:szCs w:val="13"/>
                <w:color w:val="auto"/>
                <w:w w:val="83"/>
              </w:rPr>
              <w:t>Canada</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744</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689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644</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jc w:val="right"/>
              <w:ind w:right="6834"/>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13,310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13,363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13,074</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Property and equipment (net) relating to operations in the United States and Puerto Rico, as well as Canada are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jc w:val="right"/>
              <w:ind w:right="5654"/>
              <w:spacing w:after="0"/>
              <w:rPr>
                <w:sz w:val="20"/>
                <w:szCs w:val="20"/>
                <w:color w:val="auto"/>
              </w:rPr>
            </w:pPr>
            <w:r>
              <w:rPr>
                <w:rFonts w:ascii="Arial" w:cs="Arial" w:eastAsia="Arial" w:hAnsi="Arial"/>
                <w:sz w:val="13"/>
                <w:szCs w:val="13"/>
                <w:color w:val="auto"/>
                <w:w w:val="89"/>
              </w:rPr>
              <w:t>United States and Puerto Rico</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10,122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10,163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10,229</w:t>
            </w:r>
          </w:p>
        </w:tc>
      </w:tr>
      <w:tr>
        <w:trPr>
          <w:trHeight w:val="157"/>
        </w:trPr>
        <w:tc>
          <w:tcPr>
            <w:tcW w:w="7300" w:type="dxa"/>
            <w:vAlign w:val="bottom"/>
          </w:tcPr>
          <w:p>
            <w:pPr>
              <w:jc w:val="right"/>
              <w:ind w:right="6834"/>
              <w:spacing w:after="0"/>
              <w:rPr>
                <w:sz w:val="20"/>
                <w:szCs w:val="20"/>
                <w:color w:val="auto"/>
              </w:rPr>
            </w:pPr>
            <w:r>
              <w:rPr>
                <w:rFonts w:ascii="Arial" w:cs="Arial" w:eastAsia="Arial" w:hAnsi="Arial"/>
                <w:sz w:val="13"/>
                <w:szCs w:val="13"/>
                <w:color w:val="auto"/>
                <w:w w:val="83"/>
              </w:rPr>
              <w:t>Canada</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1,229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1,016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992</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jc w:val="right"/>
              <w:ind w:right="6834"/>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11,351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11,179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11,221</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180" w:hanging="493"/>
        <w:spacing w:after="0"/>
        <w:tabs>
          <w:tab w:leader="none" w:pos="1180"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Quarterly Financial Data (Unaudited)</w:t>
      </w:r>
    </w:p>
    <w:p>
      <w:pPr>
        <w:spacing w:after="0" w:line="10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Fluctuations in our operating results between quarters may be caused by many factors, including period-to-period changes in the relative contribution of revenue by each line of business and operating segment and general economic conditions. Our revenues and income from operations typically reflect seasonal patterns.</w:t>
      </w:r>
    </w:p>
    <w:p>
      <w:pPr>
        <w:spacing w:after="0" w:line="59"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experienced during 2004 and 2005,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27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unaudited quarterly results of operations for 2007 and 2006 (in millions, except per share amounts):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First</w:t>
            </w:r>
          </w:p>
        </w:tc>
        <w:tc>
          <w:tcPr>
            <w:tcW w:w="8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0"/>
                <w:szCs w:val="10"/>
                <w:b w:val="1"/>
                <w:bCs w:val="1"/>
                <w:color w:val="auto"/>
              </w:rPr>
              <w:t>Second</w:t>
            </w:r>
          </w:p>
        </w:tc>
        <w:tc>
          <w:tcPr>
            <w:tcW w:w="100" w:type="dxa"/>
            <w:vAlign w:val="bottom"/>
          </w:tcPr>
          <w:p>
            <w:pPr>
              <w:spacing w:after="0"/>
              <w:rPr>
                <w:sz w:val="10"/>
                <w:szCs w:val="10"/>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Third</w:t>
            </w:r>
          </w:p>
        </w:tc>
        <w:tc>
          <w:tcPr>
            <w:tcW w:w="80" w:type="dxa"/>
            <w:vAlign w:val="bottom"/>
          </w:tcPr>
          <w:p>
            <w:pPr>
              <w:spacing w:after="0"/>
              <w:rPr>
                <w:sz w:val="10"/>
                <w:szCs w:val="10"/>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4"/>
              </w:rPr>
              <w:t>Fourth</w:t>
            </w:r>
          </w:p>
        </w:tc>
      </w:tr>
      <w:tr>
        <w:trPr>
          <w:trHeight w:val="125"/>
        </w:trPr>
        <w:tc>
          <w:tcPr>
            <w:tcW w:w="6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Quarter</w:t>
            </w:r>
          </w:p>
        </w:tc>
        <w:tc>
          <w:tcPr>
            <w:tcW w:w="880" w:type="dxa"/>
            <w:vAlign w:val="bottom"/>
            <w:gridSpan w:val="3"/>
          </w:tcPr>
          <w:p>
            <w:pPr>
              <w:ind w:left="60"/>
              <w:spacing w:after="0"/>
              <w:rPr>
                <w:sz w:val="20"/>
                <w:szCs w:val="20"/>
                <w:color w:val="auto"/>
              </w:rPr>
            </w:pPr>
            <w:r>
              <w:rPr>
                <w:rFonts w:ascii="Arial" w:cs="Arial" w:eastAsia="Arial" w:hAnsi="Arial"/>
                <w:sz w:val="10"/>
                <w:szCs w:val="10"/>
                <w:b w:val="1"/>
                <w:bCs w:val="1"/>
                <w:color w:val="auto"/>
              </w:rPr>
              <w:t>Quarter</w:t>
            </w:r>
          </w:p>
        </w:tc>
        <w:tc>
          <w:tcPr>
            <w:tcW w:w="90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Quarter</w:t>
            </w:r>
          </w:p>
        </w:tc>
        <w:tc>
          <w:tcPr>
            <w:tcW w:w="58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rPr>
              <w:t>Quarter</w:t>
            </w:r>
          </w:p>
        </w:tc>
      </w:tr>
      <w:tr>
        <w:trPr>
          <w:trHeight w:val="29"/>
        </w:trPr>
        <w:tc>
          <w:tcPr>
            <w:tcW w:w="67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Operating revenues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3,188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3,358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3,403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3,361</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operations(a), (b), (c), (d), (e), (f)</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481</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565</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575</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Net income(g), (h), (i)</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238</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338</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278</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309</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Income per common share:</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Basic:</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income(g), (h), (i)</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0.45</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0.65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0.54</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0.61</w:t>
            </w: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Diluted:</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income(g), (h), (i)</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0.45</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0.64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0.54</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0.61</w:t>
            </w:r>
          </w:p>
        </w:tc>
      </w:tr>
      <w:tr>
        <w:trPr>
          <w:trHeight w:val="157"/>
        </w:trPr>
        <w:tc>
          <w:tcPr>
            <w:tcW w:w="6700" w:type="dxa"/>
            <w:vAlign w:val="bottom"/>
          </w:tcPr>
          <w:p>
            <w:pPr>
              <w:spacing w:after="0"/>
              <w:rPr>
                <w:sz w:val="20"/>
                <w:szCs w:val="20"/>
                <w:color w:val="auto"/>
              </w:rPr>
            </w:pPr>
            <w:r>
              <w:rPr>
                <w:rFonts w:ascii="Arial" w:cs="Arial" w:eastAsia="Arial" w:hAnsi="Arial"/>
                <w:sz w:val="13"/>
                <w:szCs w:val="13"/>
                <w:b w:val="1"/>
                <w:bCs w:val="1"/>
                <w:color w:val="auto"/>
              </w:rPr>
              <w:t>2006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3,229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3,410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3,283</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Income from operations(j), (k)</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435</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565</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557</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472</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Net income(i), (l), (m)</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300</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246</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Income per common share:</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700" w:type="dxa"/>
            <w:vAlign w:val="bottom"/>
          </w:tcPr>
          <w:p>
            <w:pPr>
              <w:ind w:left="280"/>
              <w:spacing w:after="0"/>
              <w:rPr>
                <w:sz w:val="20"/>
                <w:szCs w:val="20"/>
                <w:color w:val="auto"/>
              </w:rPr>
            </w:pPr>
            <w:r>
              <w:rPr>
                <w:rFonts w:ascii="Arial" w:cs="Arial" w:eastAsia="Arial" w:hAnsi="Arial"/>
                <w:sz w:val="13"/>
                <w:szCs w:val="13"/>
                <w:color w:val="auto"/>
              </w:rPr>
              <w:t>Net income(i), (l), (m)</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0.34</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0.77</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0.56</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0.46</w:t>
            </w: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5"/>
        </w:trPr>
        <w:tc>
          <w:tcPr>
            <w:tcW w:w="6700" w:type="dxa"/>
            <w:vAlign w:val="bottom"/>
          </w:tcPr>
          <w:p>
            <w:pPr>
              <w:ind w:left="280"/>
              <w:spacing w:after="0"/>
              <w:rPr>
                <w:sz w:val="20"/>
                <w:szCs w:val="20"/>
                <w:color w:val="auto"/>
              </w:rPr>
            </w:pPr>
            <w:r>
              <w:rPr>
                <w:rFonts w:ascii="Arial" w:cs="Arial" w:eastAsia="Arial" w:hAnsi="Arial"/>
                <w:sz w:val="13"/>
                <w:szCs w:val="13"/>
                <w:color w:val="auto"/>
              </w:rPr>
              <w:t>Net income(i), (l), (m)</w:t>
            </w:r>
          </w:p>
        </w:tc>
        <w:tc>
          <w:tcPr>
            <w:tcW w:w="8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0.34</w:t>
            </w:r>
          </w:p>
        </w:tc>
        <w:tc>
          <w:tcPr>
            <w:tcW w:w="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0.76</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0.55</w:t>
            </w: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0.46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jc w:val="both"/>
        <w:ind w:left="1180" w:right="240" w:hanging="493"/>
        <w:spacing w:after="0" w:line="264" w:lineRule="auto"/>
        <w:tabs>
          <w:tab w:leader="none" w:pos="11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In the second and fourth quarters of 2007, “(Income) expense from divestitures, asset impairments and unusual items” increased our income from operations by $33 million and $14 million, respectively. These benefits are due to gains from divestitures as a result of our fix-or-seek exit initiative. Gains recognized during the second quarter of 2007 were partially offset by impairment charges required for two landfills in our Southern Group.</w:t>
      </w:r>
    </w:p>
    <w:p>
      <w:pPr>
        <w:spacing w:after="0" w:line="17" w:lineRule="exact"/>
        <w:rPr>
          <w:rFonts w:ascii="Arial" w:cs="Arial" w:eastAsia="Arial" w:hAnsi="Arial"/>
          <w:sz w:val="13"/>
          <w:szCs w:val="13"/>
          <w:color w:val="auto"/>
        </w:rPr>
      </w:pPr>
    </w:p>
    <w:p>
      <w:pPr>
        <w:ind w:left="1180" w:right="200" w:hanging="493"/>
        <w:spacing w:after="0" w:line="276" w:lineRule="auto"/>
        <w:tabs>
          <w:tab w:leader="none" w:pos="11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Our “Income from operations” for the first and third quarters of 2007, was improved by $15 million and $3 million, respectively, due to the favorable resolution of a disposal tax matter in our Eastern Group, which has been recognized as reductions to disposal fees and taxes within our “Operating” expenses.</w:t>
      </w:r>
    </w:p>
    <w:p>
      <w:pPr>
        <w:spacing w:after="0" w:line="10" w:lineRule="exact"/>
        <w:rPr>
          <w:rFonts w:ascii="Arial" w:cs="Arial" w:eastAsia="Arial" w:hAnsi="Arial"/>
          <w:sz w:val="13"/>
          <w:szCs w:val="13"/>
          <w:color w:val="auto"/>
        </w:rPr>
      </w:pPr>
    </w:p>
    <w:p>
      <w:pPr>
        <w:ind w:left="1180" w:right="80" w:hanging="493"/>
        <w:spacing w:after="0" w:line="276" w:lineRule="auto"/>
        <w:tabs>
          <w:tab w:leader="none" w:pos="11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Our “Income from operations” for the first quarter of 2007 was negatively affected by approximately $21 million of charges incurred for the early termination of a lease agreement in connection with the purchase of one of our independent power production plants. This charge was recorded as “Operating” expenses.</w:t>
      </w:r>
    </w:p>
    <w:p>
      <w:pPr>
        <w:spacing w:after="0" w:line="10" w:lineRule="exact"/>
        <w:rPr>
          <w:rFonts w:ascii="Arial" w:cs="Arial" w:eastAsia="Arial" w:hAnsi="Arial"/>
          <w:sz w:val="13"/>
          <w:szCs w:val="13"/>
          <w:color w:val="auto"/>
        </w:rPr>
      </w:pPr>
    </w:p>
    <w:p>
      <w:pPr>
        <w:ind w:left="1180" w:right="20" w:hanging="493"/>
        <w:spacing w:after="0" w:line="276" w:lineRule="auto"/>
        <w:tabs>
          <w:tab w:leader="none" w:pos="11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During the fourth quarter of 2007, our “Income from operations” was positively affected by a $17 million reduction in landfill amortization expenses associated with changes in our expectations for the timing and cost of future final capping, closure and post-closure of fully utilized airspace.</w:t>
      </w:r>
    </w:p>
    <w:p>
      <w:pPr>
        <w:spacing w:after="0" w:line="10" w:lineRule="exact"/>
        <w:rPr>
          <w:rFonts w:ascii="Arial" w:cs="Arial" w:eastAsia="Arial" w:hAnsi="Arial"/>
          <w:sz w:val="13"/>
          <w:szCs w:val="13"/>
          <w:color w:val="auto"/>
        </w:rPr>
      </w:pPr>
    </w:p>
    <w:p>
      <w:pPr>
        <w:ind w:left="1180" w:right="180" w:hanging="493"/>
        <w:spacing w:after="0" w:line="260" w:lineRule="auto"/>
        <w:tabs>
          <w:tab w:leader="none" w:pos="11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During the third and fourth quarters of 2007, our “Income from operations” was negatively affected by $26 million and $8 million, respectively, principally for increased “Operating” expenses, due to a labor dispute in Oakland, California and, to a much lesser extent, the management of labor disputes and collective bargaining agreements in other parts of California. Costs incurred were largely related to security efforts and the deployment and lodging costs incurred for replacement workers who were brought to Oakland from across the organization.</w:t>
      </w:r>
    </w:p>
    <w:p>
      <w:pPr>
        <w:spacing w:after="0" w:line="20" w:lineRule="exact"/>
        <w:rPr>
          <w:rFonts w:ascii="Arial" w:cs="Arial" w:eastAsia="Arial" w:hAnsi="Arial"/>
          <w:sz w:val="13"/>
          <w:szCs w:val="13"/>
          <w:color w:val="auto"/>
        </w:rPr>
      </w:pPr>
    </w:p>
    <w:p>
      <w:pPr>
        <w:ind w:left="1180" w:right="680" w:hanging="493"/>
        <w:spacing w:after="0" w:line="320" w:lineRule="auto"/>
        <w:tabs>
          <w:tab w:leader="none" w:pos="11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Certain operations and functions were restructured resulting in the recognition of pre-tax charges of $9 million and $1 million, for the first and second quarters of 2007, respectively. These charges were primarily related to employee severance and benefit costs. Refer to Note 11 for additional information.</w:t>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07" w:lineRule="exact"/>
        <w:rPr>
          <w:sz w:val="20"/>
          <w:szCs w:val="20"/>
          <w:color w:val="auto"/>
        </w:rPr>
      </w:pPr>
    </w:p>
    <w:p>
      <w:pPr>
        <w:ind w:left="1180" w:right="180" w:hanging="493"/>
        <w:spacing w:after="0" w:line="264" w:lineRule="auto"/>
        <w:tabs>
          <w:tab w:leader="none" w:pos="11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Throughout 2007, we reached audit settlements on various federal and state matters that resulted in the effective settlement of previously unrecognized tax benefits. These settlements reduced income tax expense by $16 million in the first quarter, $11 million in the second quarter, $3 million in the third quarter and $10 million in the fourth quarter. Refer to Note 8 for additional information.</w:t>
      </w:r>
    </w:p>
    <w:p>
      <w:pPr>
        <w:spacing w:after="0" w:line="17" w:lineRule="exact"/>
        <w:rPr>
          <w:rFonts w:ascii="Arial" w:cs="Arial" w:eastAsia="Arial" w:hAnsi="Arial"/>
          <w:sz w:val="13"/>
          <w:szCs w:val="13"/>
          <w:color w:val="auto"/>
        </w:rPr>
      </w:pPr>
    </w:p>
    <w:p>
      <w:pPr>
        <w:ind w:left="1180" w:right="20" w:hanging="493"/>
        <w:spacing w:after="0" w:line="260" w:lineRule="auto"/>
        <w:tabs>
          <w:tab w:leader="none" w:pos="11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During the second quarter of 2007, we recognized a $3 million tax benefit related to scheduled tax rate reductions in Canada and an $8 million tax benefit related to the expected utilization of state net operating loss carryforwards and state tax credits. During the fourth quarter of 2007, we recognized a $27 million tax benefit related to scheduled tax rate reductions in Canada and a $1 million tax benefit related to the expected utilization of state net operating loss carryforwards and state tax credits. These adjustments were the result of the revaluation of our deferred tax balances.</w:t>
      </w:r>
    </w:p>
    <w:p>
      <w:pPr>
        <w:spacing w:after="0" w:line="20" w:lineRule="exact"/>
        <w:rPr>
          <w:rFonts w:ascii="Arial" w:cs="Arial" w:eastAsia="Arial" w:hAnsi="Arial"/>
          <w:sz w:val="13"/>
          <w:szCs w:val="13"/>
          <w:color w:val="auto"/>
        </w:rPr>
      </w:pPr>
    </w:p>
    <w:p>
      <w:pPr>
        <w:ind w:left="1180" w:right="180" w:hanging="493"/>
        <w:spacing w:after="0" w:line="289" w:lineRule="auto"/>
        <w:tabs>
          <w:tab w:leader="none" w:pos="11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As discussed in Note 8, the Company qualifies for Section 45K tax credits as a result of methane gas projects at its landfills and its investments in two coal-based synthetic fuel production facilities. The credits are phased-out if the price of crude oil exceeds an annual average price threshold as determined by the U.S. Internal Revenue Service. On a quarterly basis, we develop our estimate of the phase-out of credits using market information for crude oil prices. The impact of any revision in our estimates is reflected in both “Equity in net losses of unconsolidated entities” and “Provision for (benefit from) income taxes” for the quarter.</w:t>
      </w:r>
    </w:p>
    <w:p>
      <w:pPr>
        <w:spacing w:after="0" w:line="3" w:lineRule="exact"/>
        <w:rPr>
          <w:rFonts w:ascii="Arial" w:cs="Arial" w:eastAsia="Arial" w:hAnsi="Arial"/>
          <w:sz w:val="12"/>
          <w:szCs w:val="12"/>
          <w:color w:val="auto"/>
        </w:rPr>
      </w:pPr>
    </w:p>
    <w:p>
      <w:pPr>
        <w:ind w:left="1180" w:hanging="493"/>
        <w:spacing w:after="0" w:line="260" w:lineRule="auto"/>
        <w:tabs>
          <w:tab w:leader="none" w:pos="11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In the first and second quarters of 2006, net gains on divestitures increased our income from operations by $2 million and $27 million, respectively. In the second half of 2006, our income from operations was unfavorably affected by charges for impairments of assets and businesses associated with our ongoing operations and the resolution of a legal matter related to the termination of a joint venture relationship in 2000. These items, net of gains on divestitures, negatively affected our income from operations by $19 million during the third quarter of 2006 and $35 million during the fourth quarter of 2006.</w:t>
      </w:r>
    </w:p>
    <w:p>
      <w:pPr>
        <w:spacing w:after="0" w:line="20" w:lineRule="exact"/>
        <w:rPr>
          <w:rFonts w:ascii="Arial" w:cs="Arial" w:eastAsia="Arial" w:hAnsi="Arial"/>
          <w:sz w:val="13"/>
          <w:szCs w:val="13"/>
          <w:color w:val="auto"/>
        </w:rPr>
      </w:pPr>
    </w:p>
    <w:p>
      <w:pPr>
        <w:ind w:left="1180" w:right="20" w:hanging="493"/>
        <w:spacing w:after="0" w:line="264" w:lineRule="auto"/>
        <w:tabs>
          <w:tab w:leader="none" w:pos="11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Our “Selling, general and administrative” expenses for the first and fourth quarters of 2006 include charges of $19 million and $1 million, respectively, for unrecorded obligations associated with unclaimed property. We also recognized $1 million of estimated associated interest obligations during the first quarter of 2006, which has been included in “Interest expense.” Refer to Note 10 for additional information.</w:t>
      </w:r>
    </w:p>
    <w:p>
      <w:pPr>
        <w:spacing w:after="0" w:line="17" w:lineRule="exact"/>
        <w:rPr>
          <w:rFonts w:ascii="Arial" w:cs="Arial" w:eastAsia="Arial" w:hAnsi="Arial"/>
          <w:sz w:val="13"/>
          <w:szCs w:val="13"/>
          <w:color w:val="auto"/>
        </w:rPr>
      </w:pPr>
    </w:p>
    <w:p>
      <w:pPr>
        <w:jc w:val="both"/>
        <w:ind w:left="1180" w:right="300" w:hanging="493"/>
        <w:spacing w:after="0" w:line="264" w:lineRule="auto"/>
        <w:tabs>
          <w:tab w:leader="none" w:pos="11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When excluding the effect of interest income, the settlement of various federal and state tax audit matters during the first, second, third and fourth quarters of 2006 resulted in reductions in income tax expense of $6 million ($0.01 per diluted share), $128 million ($0.23 per diluted share), $7 million ($0.01 per diluted share) and $8 million ($0.01 per diluted share), respectively. During 2006, our net income also increased due to interest income related to these settlements.</w:t>
      </w:r>
    </w:p>
    <w:p>
      <w:pPr>
        <w:spacing w:after="0" w:line="17" w:lineRule="exact"/>
        <w:rPr>
          <w:rFonts w:ascii="Arial" w:cs="Arial" w:eastAsia="Arial" w:hAnsi="Arial"/>
          <w:sz w:val="13"/>
          <w:szCs w:val="13"/>
          <w:color w:val="auto"/>
        </w:rPr>
      </w:pPr>
    </w:p>
    <w:p>
      <w:pPr>
        <w:ind w:left="1180" w:right="60" w:hanging="493"/>
        <w:spacing w:after="0" w:line="320" w:lineRule="auto"/>
        <w:tabs>
          <w:tab w:leader="none" w:pos="11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 xml:space="preserve">During the second quarter of 2006, both the Canadian federal government and several provinces enacted tax rate reductions. SFAS No. 109, </w:t>
      </w:r>
      <w:r>
        <w:rPr>
          <w:rFonts w:ascii="Arial" w:cs="Arial" w:eastAsia="Arial" w:hAnsi="Arial"/>
          <w:sz w:val="12"/>
          <w:szCs w:val="12"/>
          <w:i w:val="1"/>
          <w:iCs w:val="1"/>
          <w:color w:val="auto"/>
        </w:rPr>
        <w:t>Accounting for Income Taxes</w:t>
      </w:r>
      <w:r>
        <w:rPr>
          <w:rFonts w:ascii="Arial" w:cs="Arial" w:eastAsia="Arial" w:hAnsi="Arial"/>
          <w:sz w:val="12"/>
          <w:szCs w:val="12"/>
          <w:color w:val="auto"/>
        </w:rPr>
        <w:t>, requires that deferred tax balances be revalued to reflect these tax rate changes. The revaluation resulted in a $20 million tax benefit for the second quarter of 2006.</w:t>
      </w:r>
    </w:p>
    <w:p>
      <w:pPr>
        <w:spacing w:after="0" w:line="35"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Basic and diluted earnings per common share for each of the quarters presented above is based on the respective weighted average number of common and dilutive potential common shares outstanding for each quarter and the sum of the quarters may not necessarily be equal to the full year basic and diluted earnings per common share amounts.</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81"/>
        </w:numPr>
        <w:rPr>
          <w:rFonts w:ascii="Arial" w:cs="Arial" w:eastAsia="Arial" w:hAnsi="Arial"/>
          <w:sz w:val="13"/>
          <w:szCs w:val="13"/>
          <w:b w:val="1"/>
          <w:bCs w:val="1"/>
          <w:color w:val="auto"/>
        </w:rPr>
      </w:pPr>
      <w:r>
        <w:rPr>
          <w:rFonts w:ascii="Arial" w:cs="Arial" w:eastAsia="Arial" w:hAnsi="Arial"/>
          <w:sz w:val="13"/>
          <w:szCs w:val="13"/>
          <w:b w:val="1"/>
          <w:bCs w:val="1"/>
          <w:color w:val="auto"/>
        </w:rPr>
        <w:t>Condensed Consolidating Financial Statements</w:t>
      </w:r>
    </w:p>
    <w:p>
      <w:pPr>
        <w:spacing w:after="0" w:line="100" w:lineRule="exact"/>
        <w:rPr>
          <w:sz w:val="20"/>
          <w:szCs w:val="20"/>
          <w:color w:val="auto"/>
        </w:rPr>
      </w:pPr>
    </w:p>
    <w:p>
      <w:pPr>
        <w:jc w:val="both"/>
        <w:ind w:left="680" w:right="960" w:firstLine="399"/>
        <w:spacing w:after="0" w:line="296" w:lineRule="auto"/>
        <w:rPr>
          <w:sz w:val="20"/>
          <w:szCs w:val="20"/>
          <w:color w:val="auto"/>
        </w:rPr>
      </w:pPr>
      <w:r>
        <w:rPr>
          <w:rFonts w:ascii="Arial" w:cs="Arial" w:eastAsia="Arial" w:hAnsi="Arial"/>
          <w:sz w:val="12"/>
          <w:szCs w:val="12"/>
          <w:color w:val="auto"/>
        </w:rPr>
        <w:t>WM Holdings has fully and unconditionally guaranteed all of WMI’s senior indebtedness. WMI has fully and unconditionally guaranteed all of WM Holdings’ senior indebtedness and its 5.75% convertible subordinated notes that matured and were repaid in January 2005. None of WMI’s other subsidiaries have guaranteed any of WMI’s or WM Holdings’ debt. As a result of these guarantee arrangements, we are required to present the following condensed consolidating financial information (in millions):</w:t>
      </w: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2007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WMI</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Current assets: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416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2,132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11,351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11,351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and advances to affiliates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9,617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10,622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(20,412)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Other assets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28</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6,301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6,344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10,061</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(20,480)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40" w:type="dxa"/>
            <w:vAlign w:val="bottom"/>
            <w:gridSpan w:val="7"/>
          </w:tcPr>
          <w:p>
            <w:pPr>
              <w:jc w:val="center"/>
              <w:ind w:left="34"/>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129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2,236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208</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2,436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4,034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3,085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Other liabilities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3,438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3,467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liabilities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4,269</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8,959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7"/>
              </w:rPr>
              <w:t>Minority interest in subsidiaries and variable interest entities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310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5,792</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9,724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10,688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(20,412)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vMerge w:val="restart"/>
          </w:tcPr>
          <w:p>
            <w:pPr>
              <w:ind w:left="140"/>
              <w:spacing w:after="0"/>
              <w:rPr>
                <w:sz w:val="20"/>
                <w:szCs w:val="20"/>
                <w:color w:val="auto"/>
              </w:rPr>
            </w:pPr>
            <w:r>
              <w:rPr>
                <w:rFonts w:ascii="Arial" w:cs="Arial" w:eastAsia="Arial" w:hAnsi="Arial"/>
                <w:sz w:val="13"/>
                <w:szCs w:val="13"/>
                <w:color w:val="auto"/>
              </w:rPr>
              <w:t>Total liabilities and stockholders’ equity</w:t>
            </w: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10,061</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10,637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19,957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(20,480)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20,175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92"/>
              </w:rPr>
              <w:t>110</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SHEETS — (Continued)</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2006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340"/>
              <w:spacing w:after="0"/>
              <w:rPr>
                <w:sz w:val="20"/>
                <w:szCs w:val="20"/>
                <w:color w:val="auto"/>
              </w:rPr>
            </w:pPr>
            <w:r>
              <w:rPr>
                <w:rFonts w:ascii="Arial" w:cs="Arial" w:eastAsia="Arial" w:hAnsi="Arial"/>
                <w:sz w:val="13"/>
                <w:szCs w:val="13"/>
                <w:b w:val="1"/>
                <w:bCs w:val="1"/>
                <w:color w:val="auto"/>
                <w:w w:val="92"/>
              </w:rPr>
              <w:t>ASSETS</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Current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2,384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11,179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11,179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Investments and advances to affiliates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9,692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9,282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(18,974)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Other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6,200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6,239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9,293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19,763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(19,035)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40" w:type="dxa"/>
            <w:vAlign w:val="bottom"/>
            <w:gridSpan w:val="7"/>
          </w:tcPr>
          <w:p>
            <w:pPr>
              <w:jc w:val="center"/>
              <w:ind w:left="34"/>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351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471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2,397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439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2,868</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3,268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2,798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Due to affiliates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1,404</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(1,404)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3,225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vMerge w:val="restart"/>
          </w:tcPr>
          <w:p>
            <w:pPr>
              <w:ind w:left="140"/>
              <w:spacing w:after="0"/>
              <w:rPr>
                <w:sz w:val="20"/>
                <w:szCs w:val="20"/>
                <w:color w:val="auto"/>
              </w:rPr>
            </w:pPr>
            <w:r>
              <w:rPr>
                <w:rFonts w:ascii="Arial" w:cs="Arial" w:eastAsia="Arial" w:hAnsi="Arial"/>
                <w:sz w:val="13"/>
                <w:szCs w:val="13"/>
                <w:color w:val="auto"/>
              </w:rPr>
              <w:t>Total liabilities</w:t>
            </w: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4,357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916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10,295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(1,465)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14,103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7"/>
              </w:rPr>
              <w:t>Minority interest in subsidiaries and variable interest entities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Stockholders’ equity</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6,222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8,377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9,193</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(17,570)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6,222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liabilities and stockholders’ equity</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10,579</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9,293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19,763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(19,035)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111</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2007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Operating revenues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13,310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13,310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11,056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2,254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2,254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Interest income (expense)</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(291)</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8"/>
              </w:rPr>
              <w:t>1,347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(2,736)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Minority interest</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net losses of unconsolidated entities and other,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1,056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1,323</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(2,736)</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1,056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2,060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(2,736)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671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1,163</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3"/>
                <w:szCs w:val="13"/>
                <w:b w:val="1"/>
                <w:bCs w:val="1"/>
                <w:color w:val="auto"/>
              </w:rPr>
              <w:t>Year Ended December 31, 2006</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Costs and expenses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11,334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11,334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w w:val="98"/>
              </w:rPr>
              <w:t>1,331</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1,381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(2,712)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Equity in net losses of unconsolidated entities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1,044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1,044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1,302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1,840</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(2,712)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1,149</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1,331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1,381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(2,712)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1,149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2005</w:t>
            </w: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Operating revenues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13,074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13,074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11,364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1,710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Interest income (expense)</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(272)</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8"/>
              </w:rPr>
              <w:t>1,355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1,408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(2,763)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Minority interest</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net losses of unconsolidated entities and other,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1,083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1,324</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(262)</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(2,763)</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(618)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1,083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(2,763)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(99)</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1,182</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(2,763)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92"/>
              </w:rPr>
              <w:t>112</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rPr>
              <w:t>WMI</w:t>
            </w:r>
          </w:p>
        </w:tc>
        <w:tc>
          <w:tcPr>
            <w:tcW w:w="100" w:type="dxa"/>
            <w:vAlign w:val="bottom"/>
          </w:tcPr>
          <w:p>
            <w:pPr>
              <w:spacing w:after="0"/>
              <w:rPr>
                <w:sz w:val="10"/>
                <w:szCs w:val="10"/>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Non-Guarantor</w:t>
            </w:r>
          </w:p>
        </w:tc>
        <w:tc>
          <w:tcPr>
            <w:tcW w:w="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7"/>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Year Ended December 31, 2007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tcPr>
          <w:p>
            <w:pPr>
              <w:spacing w:after="0"/>
              <w:rPr>
                <w:sz w:val="20"/>
                <w:szCs w:val="20"/>
                <w:color w:val="auto"/>
              </w:rPr>
            </w:pPr>
            <w:r>
              <w:rPr>
                <w:rFonts w:ascii="Arial" w:cs="Arial" w:eastAsia="Arial" w:hAnsi="Arial"/>
                <w:sz w:val="12"/>
                <w:szCs w:val="12"/>
                <w:color w:val="auto"/>
              </w:rPr>
              <w:t>Cash flows from operating activities:</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1,347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1,389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(2,736)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1,163</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Equity in earnings of subsidiaries, net of taxes</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(1,347)</w:t>
            </w:r>
          </w:p>
        </w:tc>
        <w:tc>
          <w:tcPr>
            <w:tcW w:w="10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(1,389)</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2,736</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adjustments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(53)</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1,332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1,276</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2"/>
                <w:szCs w:val="12"/>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(237)</w:t>
            </w:r>
          </w:p>
        </w:tc>
        <w:tc>
          <w:tcPr>
            <w:tcW w:w="10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2,721</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2,439</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investing activities:</w:t>
            </w: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Acquisition of businesses, net of cash acquired</w:t>
            </w:r>
          </w:p>
        </w:tc>
        <w:tc>
          <w:tcPr>
            <w:tcW w:w="10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(90)</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Capital expenditures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(1,211)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(1,211)</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Proceeds from divestitures of businesses (net of cash divested) and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sales of assets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278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278</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Purchases of short-term investments</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(1,220)</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(1,220)</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sales of short-term investments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1,404</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Net receipts from restricted trust and escrow accounts and other, net</w:t>
            </w:r>
          </w:p>
        </w:tc>
        <w:tc>
          <w:tcPr>
            <w:tcW w:w="10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82</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investing activities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(941)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(761)</w:t>
            </w:r>
          </w:p>
        </w:tc>
        <w:tc>
          <w:tcPr>
            <w:tcW w:w="0" w:type="dxa"/>
            <w:vAlign w:val="bottom"/>
          </w:tcPr>
          <w:p>
            <w:pPr>
              <w:spacing w:after="0"/>
              <w:rPr>
                <w:sz w:val="1"/>
                <w:szCs w:val="1"/>
                <w:color w:val="auto"/>
              </w:rPr>
            </w:pPr>
          </w:p>
        </w:tc>
      </w:tr>
      <w:tr>
        <w:trPr>
          <w:trHeight w:val="144"/>
        </w:trPr>
        <w:tc>
          <w:tcPr>
            <w:tcW w:w="510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New borrowings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644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944</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Debt repayments</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(352)</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(848)</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 repurchases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(1,421)</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(1,421)</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Cash dividends</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(495)</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(495)</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common stock options and warrants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Minority interest distributions paid and other</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58</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(Increase) decrease in intercompany and investments, net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(1,636)</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2"/>
                <w:szCs w:val="12"/>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(206)</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(1,782)</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(1,946)</w:t>
            </w:r>
          </w:p>
        </w:tc>
        <w:tc>
          <w:tcPr>
            <w:tcW w:w="0" w:type="dxa"/>
            <w:vAlign w:val="bottom"/>
          </w:tcPr>
          <w:p>
            <w:pPr>
              <w:spacing w:after="0"/>
              <w:rPr>
                <w:sz w:val="1"/>
                <w:szCs w:val="1"/>
                <w:color w:val="auto"/>
              </w:rPr>
            </w:pPr>
          </w:p>
        </w:tc>
      </w:tr>
      <w:tr>
        <w:trPr>
          <w:trHeight w:val="22"/>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2"/>
                <w:szCs w:val="12"/>
                <w:color w:val="auto"/>
              </w:rPr>
              <w:t>Increase in cash and cash equivalents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(259)</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(266)</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period</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614</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period</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1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416</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(68)</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348</w:t>
            </w:r>
          </w:p>
        </w:tc>
        <w:tc>
          <w:tcPr>
            <w:tcW w:w="0" w:type="dxa"/>
            <w:vAlign w:val="bottom"/>
          </w:tcPr>
          <w:p>
            <w:pPr>
              <w:spacing w:after="0"/>
              <w:rPr>
                <w:sz w:val="1"/>
                <w:szCs w:val="1"/>
                <w:color w:val="auto"/>
              </w:rPr>
            </w:pPr>
          </w:p>
        </w:tc>
      </w:tr>
      <w:tr>
        <w:trPr>
          <w:trHeight w:val="155"/>
        </w:trPr>
        <w:tc>
          <w:tcPr>
            <w:tcW w:w="5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Year Ended December 31, 2006</w:t>
            </w: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spacing w:after="0"/>
              <w:rPr>
                <w:sz w:val="20"/>
                <w:szCs w:val="20"/>
                <w:color w:val="auto"/>
              </w:rPr>
            </w:pPr>
            <w:r>
              <w:rPr>
                <w:rFonts w:ascii="Arial" w:cs="Arial" w:eastAsia="Arial" w:hAnsi="Arial"/>
                <w:sz w:val="12"/>
                <w:szCs w:val="12"/>
                <w:color w:val="auto"/>
              </w:rPr>
              <w:t>Cash flows from operating activities:</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1,149</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1,331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1,381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(2,712)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1,149</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Equity in earnings of subsidiaries, net of taxes</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(1,331)</w:t>
            </w:r>
          </w:p>
        </w:tc>
        <w:tc>
          <w:tcPr>
            <w:tcW w:w="10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(1,381)</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2,712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adjustments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1,452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1,391</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2"/>
                <w:szCs w:val="12"/>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(234)</w:t>
            </w:r>
          </w:p>
        </w:tc>
        <w:tc>
          <w:tcPr>
            <w:tcW w:w="10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2,833</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2,540</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investing activities:</w:t>
            </w: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Acquisitions of businesses, net of cash acquired</w:t>
            </w:r>
          </w:p>
        </w:tc>
        <w:tc>
          <w:tcPr>
            <w:tcW w:w="10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Capital expenditures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(1,329)</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(1,329)</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Proceeds from divestitures of businesses (net of cash divested) and other sales of assets</w:t>
            </w:r>
          </w:p>
        </w:tc>
        <w:tc>
          <w:tcPr>
            <w:tcW w:w="10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240</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Purchases of short-term investments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(3,001)</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(3,001)</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Proceeds from sales of short-term investments</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3,117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3,123</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receipts from restricted trust and escrow accounts and other, net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211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211</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(904)</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(788)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CONDENSED CONSOLIDATING STATEMENTS OF CASH FLOWS — (Continued)</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rPr>
              <w:t>WMI</w:t>
            </w:r>
          </w:p>
        </w:tc>
        <w:tc>
          <w:tcPr>
            <w:tcW w:w="100" w:type="dxa"/>
            <w:vAlign w:val="bottom"/>
          </w:tcPr>
          <w:p>
            <w:pPr>
              <w:spacing w:after="0"/>
              <w:rPr>
                <w:sz w:val="10"/>
                <w:szCs w:val="10"/>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Non-Guarantor</w:t>
            </w:r>
          </w:p>
        </w:tc>
        <w:tc>
          <w:tcPr>
            <w:tcW w:w="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7"/>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New borrowings</w:t>
            </w:r>
          </w:p>
        </w:tc>
        <w:tc>
          <w:tcPr>
            <w:tcW w:w="10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432</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432</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Debt repayments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(300)</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(632)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(932)</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 repurchases</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(1,072)</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(1,072)</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(476)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(476)</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Exercise of common stock options and warrants</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295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Minority interest distributions paid and other</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(94)</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7"/>
        </w:trPr>
        <w:tc>
          <w:tcPr>
            <w:tcW w:w="5100" w:type="dxa"/>
            <w:vAlign w:val="bottom"/>
          </w:tcPr>
          <w:p>
            <w:pPr>
              <w:ind w:left="260"/>
              <w:spacing w:after="0"/>
              <w:rPr>
                <w:sz w:val="20"/>
                <w:szCs w:val="20"/>
                <w:color w:val="auto"/>
              </w:rPr>
            </w:pPr>
            <w:r>
              <w:rPr>
                <w:rFonts w:ascii="Arial" w:cs="Arial" w:eastAsia="Arial" w:hAnsi="Arial"/>
                <w:sz w:val="12"/>
                <w:szCs w:val="12"/>
                <w:color w:val="auto"/>
              </w:rPr>
              <w:t>(Increase) decrease in intercompany and investments, net</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1,304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359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(1,634)</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financing activities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(1,928)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(1,803)</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2"/>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Decrease in cash and cash equivalents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47"/>
        </w:trPr>
        <w:tc>
          <w:tcPr>
            <w:tcW w:w="510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698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666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614</w:t>
            </w:r>
          </w:p>
        </w:tc>
        <w:tc>
          <w:tcPr>
            <w:tcW w:w="0" w:type="dxa"/>
            <w:vAlign w:val="bottom"/>
          </w:tcPr>
          <w:p>
            <w:pPr>
              <w:spacing w:after="0"/>
              <w:rPr>
                <w:sz w:val="1"/>
                <w:szCs w:val="1"/>
                <w:color w:val="auto"/>
              </w:rPr>
            </w:pPr>
          </w:p>
        </w:tc>
      </w:tr>
      <w:tr>
        <w:trPr>
          <w:trHeight w:val="155"/>
        </w:trPr>
        <w:tc>
          <w:tcPr>
            <w:tcW w:w="5100" w:type="dxa"/>
            <w:vAlign w:val="bottom"/>
          </w:tcPr>
          <w:p>
            <w:pPr>
              <w:spacing w:after="0"/>
              <w:rPr>
                <w:sz w:val="20"/>
                <w:szCs w:val="20"/>
                <w:color w:val="auto"/>
              </w:rPr>
            </w:pPr>
            <w:r>
              <w:rPr>
                <w:rFonts w:ascii="Arial" w:cs="Arial" w:eastAsia="Arial" w:hAnsi="Arial"/>
                <w:sz w:val="12"/>
                <w:szCs w:val="12"/>
                <w:b w:val="1"/>
                <w:bCs w:val="1"/>
                <w:color w:val="auto"/>
              </w:rPr>
              <w:t>Year Ended December 31, 2005</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1,182</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1,355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1,408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(2,763)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1,182</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 in earnings of subsidiaries, net of taxes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(1,355)</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(1,408)</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2,763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Other adjustments</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1,234</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1,209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operating activities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(190)</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2,642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2,391</w:t>
            </w:r>
          </w:p>
        </w:tc>
        <w:tc>
          <w:tcPr>
            <w:tcW w:w="0" w:type="dxa"/>
            <w:vAlign w:val="bottom"/>
          </w:tcPr>
          <w:p>
            <w:pPr>
              <w:spacing w:after="0"/>
              <w:rPr>
                <w:sz w:val="1"/>
                <w:szCs w:val="1"/>
                <w:color w:val="auto"/>
              </w:rPr>
            </w:pPr>
          </w:p>
        </w:tc>
      </w:tr>
      <w:tr>
        <w:trPr>
          <w:trHeight w:val="144"/>
        </w:trPr>
        <w:tc>
          <w:tcPr>
            <w:tcW w:w="510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 of businesses, net of cash acquired</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(142)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10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(1,180)</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(1,180)</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divestitures of businesses (net of cash divested) and other sales of assets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194</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194</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Purchases of short-term investments</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(1,017)</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(62)</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(1,079)</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sales of short-term investments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737</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784</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Net receipts from restricted trust and escrow accounts and other, net</w:t>
            </w:r>
          </w:p>
        </w:tc>
        <w:tc>
          <w:tcPr>
            <w:tcW w:w="10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361</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361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investing activities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(280)</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(782)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(1,062)</w:t>
            </w:r>
          </w:p>
        </w:tc>
        <w:tc>
          <w:tcPr>
            <w:tcW w:w="0" w:type="dxa"/>
            <w:vAlign w:val="bottom"/>
          </w:tcPr>
          <w:p>
            <w:pPr>
              <w:spacing w:after="0"/>
              <w:rPr>
                <w:sz w:val="1"/>
                <w:szCs w:val="1"/>
                <w:color w:val="auto"/>
              </w:rPr>
            </w:pPr>
          </w:p>
        </w:tc>
      </w:tr>
      <w:tr>
        <w:trPr>
          <w:trHeight w:val="144"/>
        </w:trPr>
        <w:tc>
          <w:tcPr>
            <w:tcW w:w="510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New borrowings</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365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365</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Debt repayments</w:t>
            </w:r>
          </w:p>
        </w:tc>
        <w:tc>
          <w:tcPr>
            <w:tcW w:w="10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(138)</w:t>
            </w: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(238)</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(376)</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 repurchases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(706)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(706)</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Cash dividends</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(449)</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(449)</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common stock options and warrants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Minority interest distributions paid and other</w:t>
            </w:r>
          </w:p>
        </w:tc>
        <w:tc>
          <w:tcPr>
            <w:tcW w:w="10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(53)</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(Increase) decrease in intercompany and investments, net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1,837</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(2,004)</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2"/>
                <w:szCs w:val="12"/>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811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(1,930)</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(1,090)</w:t>
            </w:r>
          </w:p>
        </w:tc>
        <w:tc>
          <w:tcPr>
            <w:tcW w:w="0" w:type="dxa"/>
            <w:vAlign w:val="bottom"/>
          </w:tcPr>
          <w:p>
            <w:pPr>
              <w:spacing w:after="0"/>
              <w:rPr>
                <w:sz w:val="1"/>
                <w:szCs w:val="1"/>
                <w:color w:val="auto"/>
              </w:rPr>
            </w:pPr>
          </w:p>
        </w:tc>
      </w:tr>
      <w:tr>
        <w:trPr>
          <w:trHeight w:val="22"/>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2"/>
                <w:szCs w:val="12"/>
                <w:color w:val="auto"/>
              </w:rPr>
              <w:t>Increase (decrease) in cash and cash equivalents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341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(67)</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period</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424</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period</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698</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(32)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666</w:t>
            </w:r>
          </w:p>
        </w:tc>
        <w:tc>
          <w:tcPr>
            <w:tcW w:w="0" w:type="dxa"/>
            <w:vAlign w:val="bottom"/>
          </w:tcPr>
          <w:p>
            <w:pPr>
              <w:spacing w:after="0"/>
              <w:rPr>
                <w:sz w:val="1"/>
                <w:szCs w:val="1"/>
                <w:color w:val="auto"/>
              </w:rPr>
            </w:pPr>
          </w:p>
        </w:tc>
      </w:tr>
      <w:tr>
        <w:trPr>
          <w:trHeight w:val="32"/>
        </w:trPr>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82"/>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Pronouncements (Unaudited)</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157 — Fair Value Measurements</w:t>
      </w:r>
    </w:p>
    <w:p>
      <w:pPr>
        <w:spacing w:after="0" w:line="96"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 xml:space="preserve">In September 2006, the FASB issued SFAS No. 157, </w:t>
      </w:r>
      <w:r>
        <w:rPr>
          <w:rFonts w:ascii="Arial" w:cs="Arial" w:eastAsia="Arial" w:hAnsi="Arial"/>
          <w:sz w:val="11"/>
          <w:szCs w:val="11"/>
          <w:i w:val="1"/>
          <w:iCs w:val="1"/>
          <w:color w:val="auto"/>
        </w:rPr>
        <w:t>Fair Value Measurements</w:t>
      </w:r>
      <w:r>
        <w:rPr>
          <w:rFonts w:ascii="Arial" w:cs="Arial" w:eastAsia="Arial" w:hAnsi="Arial"/>
          <w:sz w:val="11"/>
          <w:szCs w:val="11"/>
          <w:color w:val="auto"/>
        </w:rPr>
        <w:t>, which defines fair value, establishes a framework for measuring fair value, and expands disclosures about fair value measurements. SFAS No. 157 will be effective for the Company beginning January 1, 2008. We do not currently expect the adoption of SFAS No. 157 on January 1, 2008 to have a material impact on our consolidated financial statements. However, we are continuing to assess the potential effects of SFAS No. 157 as additional guidance becomes available.</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159 — Fair Value Option for Financial Assets and Financial Liabilities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 xml:space="preserve">In February 2007, the FASB issued SFAS No. 159, </w:t>
      </w:r>
      <w:r>
        <w:rPr>
          <w:rFonts w:ascii="Arial" w:cs="Arial" w:eastAsia="Arial" w:hAnsi="Arial"/>
          <w:sz w:val="13"/>
          <w:szCs w:val="13"/>
          <w:i w:val="1"/>
          <w:iCs w:val="1"/>
          <w:color w:val="auto"/>
        </w:rPr>
        <w:t>Fair Value Option for Financial Assets and Financial Liabilities</w:t>
      </w:r>
      <w:r>
        <w:rPr>
          <w:rFonts w:ascii="Arial" w:cs="Arial" w:eastAsia="Arial" w:hAnsi="Arial"/>
          <w:sz w:val="13"/>
          <w:szCs w:val="13"/>
          <w:color w:val="auto"/>
        </w:rPr>
        <w:t xml:space="preserve"> — </w:t>
      </w:r>
      <w:r>
        <w:rPr>
          <w:rFonts w:ascii="Arial" w:cs="Arial" w:eastAsia="Arial" w:hAnsi="Arial"/>
          <w:sz w:val="13"/>
          <w:szCs w:val="13"/>
          <w:i w:val="1"/>
          <w:iCs w:val="1"/>
          <w:color w:val="auto"/>
        </w:rPr>
        <w:t>Including an amendment of FASB Statement No. 115</w:t>
      </w:r>
      <w:r>
        <w:rPr>
          <w:rFonts w:ascii="Arial" w:cs="Arial" w:eastAsia="Arial" w:hAnsi="Arial"/>
          <w:sz w:val="13"/>
          <w:szCs w:val="13"/>
          <w:color w:val="auto"/>
        </w:rPr>
        <w:t>, which permits entities to choose to measure many financial instruments and certain other items at fair value. SFAS No. 159 will be effective for the Company beginning January 1, 2008. The Company has elected not to measure eligible items at fair value upon initial adoption and does not believe the adoption of this statement will have a material impact on its consolidated financial statements.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141(R) — Business Combinations</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 xml:space="preserve">In December 2007, the FASB issued SFAS No. 141 (revised 2007), </w:t>
      </w:r>
      <w:r>
        <w:rPr>
          <w:rFonts w:ascii="Arial" w:cs="Arial" w:eastAsia="Arial" w:hAnsi="Arial"/>
          <w:sz w:val="13"/>
          <w:szCs w:val="13"/>
          <w:i w:val="1"/>
          <w:iCs w:val="1"/>
          <w:color w:val="auto"/>
        </w:rPr>
        <w:t>Business Combinations</w:t>
      </w:r>
      <w:r>
        <w:rPr>
          <w:rFonts w:ascii="Arial" w:cs="Arial" w:eastAsia="Arial" w:hAnsi="Arial"/>
          <w:sz w:val="13"/>
          <w:szCs w:val="13"/>
          <w:color w:val="auto"/>
        </w:rPr>
        <w:t>, which establishes principles and requirements for how the acquirer recognizes and measures in the financial statements the identifiable assets acquired, the liabilities assumed, and any non-controlling interest in the acquiree. This statement also provides guidance for recognizing and measuring the goodwill acquired in the business combination and determines what information to disclose to enable users of the financial statements to evaluate the nature and financial effects of the business combination. SFAS No. 141(R) will be effective for the Company beginning January 1, 2009. We are currently evaluating the effect the adoption of SFAS No. 141(R) will have on our accounting and reporting for future acquisitions.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160 — Noncontrolling Interests in Consolidated Financial Statements — an amendment of ARB No. 51</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 xml:space="preserve">In December 2007, the FASB issued SFAS No. 160, </w:t>
      </w:r>
      <w:r>
        <w:rPr>
          <w:rFonts w:ascii="Arial" w:cs="Arial" w:eastAsia="Arial" w:hAnsi="Arial"/>
          <w:sz w:val="13"/>
          <w:szCs w:val="13"/>
          <w:i w:val="1"/>
          <w:iCs w:val="1"/>
          <w:color w:val="auto"/>
        </w:rPr>
        <w:t>Noncontrolling Interests in Consolidated Financial Statements — an amendment of ARB No. 51</w:t>
      </w:r>
      <w:r>
        <w:rPr>
          <w:rFonts w:ascii="Arial" w:cs="Arial" w:eastAsia="Arial" w:hAnsi="Arial"/>
          <w:sz w:val="13"/>
          <w:szCs w:val="13"/>
          <w:color w:val="auto"/>
        </w:rPr>
        <w:t>, which establishes accounting and reporting standards for the noncontrolling interest in a subsidiary and for the deconsolidation of a subsidiary. It clarifies that a noncontrolling interest in a subsidiary is an ownership interest in the consolidated entity that should be reported as equity in the consolidated financial statements. SFAS No. 160 will be effective for the Company beginning January 1, 2009. We are currently evaluating the effect the adoption of SFAS 160 will have on our consolidated financial statements.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Effectiveness of Controls and Procedures</w:t>
      </w:r>
    </w:p>
    <w:p>
      <w:pPr>
        <w:spacing w:after="0" w:line="9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to ensure that we are able to collect, process and disclose the information we are required to disclose in the reports we file with the SEC within required time periods.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Internal Controls Over Financial Reporting</w:t>
      </w:r>
    </w:p>
    <w:p>
      <w:pPr>
        <w:spacing w:after="0" w:line="96"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 xml:space="preserve">Management’s report on our internal control over financial reporting can be found in Item 8 of this report. The Independent Registered Public Accounting Firm’s attestation report on management’s assessment of the effectiveness of our internal control over financial reporting can also be found in Item 8, </w:t>
      </w:r>
      <w:r>
        <w:rPr>
          <w:rFonts w:ascii="Arial" w:cs="Arial" w:eastAsia="Arial" w:hAnsi="Arial"/>
          <w:sz w:val="12"/>
          <w:szCs w:val="12"/>
          <w:i w:val="1"/>
          <w:iCs w:val="1"/>
          <w:color w:val="auto"/>
        </w:rPr>
        <w:t>Financial Statements and Supplementary Data</w:t>
      </w:r>
      <w:r>
        <w:rPr>
          <w:rFonts w:ascii="Arial" w:cs="Arial" w:eastAsia="Arial" w:hAnsi="Arial"/>
          <w:sz w:val="12"/>
          <w:szCs w:val="12"/>
          <w:color w:val="auto"/>
        </w:rPr>
        <w:t>, of this report.</w:t>
      </w:r>
    </w:p>
    <w:p>
      <w:pPr>
        <w:spacing w:after="0" w:line="11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Executive Officers and Corporate Governance.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information required by this Item is incorporated by reference to the Company’s definitive Proxy Statement for its 2008 Annual Meeting of Stockholders, to be held May 9, 2008.</w:t>
      </w:r>
    </w:p>
    <w:p>
      <w:pPr>
        <w:spacing w:after="0" w:line="10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have adopted a code of ethics that applies to our CEO, CFO and Chief Accounting Officer, as well as other officers, directors and employees of the Company. The code of ethics, entitled “Code of Conduct,” is posted on our website at http://www.wm.com under the caption “Ethics and Diversity.”</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included in the 2008 Proxy Statement and is incorporated herein by reference.</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25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Equity Compensation Plan Table</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The following table provides information as of December 31, 2007 about the number of shares to be issued upon vesting or exercise of equity awards and the number of shares remaining available for issuance under our equity compensation plans.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Number of</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300" w:type="dxa"/>
            <w:vAlign w:val="bottom"/>
            <w:gridSpan w:val="2"/>
            <w:vMerge w:val="restart"/>
          </w:tcPr>
          <w:p>
            <w:pPr>
              <w:jc w:val="center"/>
              <w:ind w:right="440"/>
              <w:spacing w:after="0"/>
              <w:rPr>
                <w:sz w:val="20"/>
                <w:szCs w:val="20"/>
                <w:color w:val="auto"/>
              </w:rPr>
            </w:pPr>
            <w:r>
              <w:rPr>
                <w:rFonts w:ascii="Arial" w:cs="Arial" w:eastAsia="Arial" w:hAnsi="Arial"/>
                <w:sz w:val="10"/>
                <w:szCs w:val="10"/>
                <w:b w:val="1"/>
                <w:bCs w:val="1"/>
                <w:color w:val="auto"/>
                <w:w w:val="93"/>
              </w:rPr>
              <w:t>Number of Securities to</w:t>
            </w:r>
          </w:p>
        </w:tc>
        <w:tc>
          <w:tcPr>
            <w:tcW w:w="200" w:type="dxa"/>
            <w:vAlign w:val="bottom"/>
          </w:tcPr>
          <w:p>
            <w:pPr>
              <w:spacing w:after="0"/>
              <w:rPr>
                <w:sz w:val="9"/>
                <w:szCs w:val="9"/>
                <w:color w:val="auto"/>
              </w:rPr>
            </w:pPr>
          </w:p>
        </w:tc>
        <w:tc>
          <w:tcPr>
            <w:tcW w:w="1840" w:type="dxa"/>
            <w:vAlign w:val="bottom"/>
            <w:gridSpan w:val="2"/>
            <w:vMerge w:val="restart"/>
          </w:tcPr>
          <w:p>
            <w:pPr>
              <w:jc w:val="center"/>
              <w:ind w:right="640"/>
              <w:spacing w:after="0"/>
              <w:rPr>
                <w:sz w:val="20"/>
                <w:szCs w:val="20"/>
                <w:color w:val="auto"/>
              </w:rPr>
            </w:pPr>
            <w:r>
              <w:rPr>
                <w:rFonts w:ascii="Arial" w:cs="Arial" w:eastAsia="Arial" w:hAnsi="Arial"/>
                <w:sz w:val="10"/>
                <w:szCs w:val="10"/>
                <w:b w:val="1"/>
                <w:bCs w:val="1"/>
                <w:color w:val="auto"/>
                <w:w w:val="95"/>
              </w:rPr>
              <w:t>Weighted-Average</w:t>
            </w:r>
          </w:p>
        </w:tc>
        <w:tc>
          <w:tcPr>
            <w:tcW w:w="174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1"/>
              </w:rPr>
              <w:t>Securities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74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4"/>
              </w:rPr>
              <w:t>Remaining Available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30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2"/>
              </w:rPr>
              <w:t>be Issued Upon Exercise</w:t>
            </w:r>
          </w:p>
        </w:tc>
        <w:tc>
          <w:tcPr>
            <w:tcW w:w="200" w:type="dxa"/>
            <w:vAlign w:val="bottom"/>
          </w:tcPr>
          <w:p>
            <w:pPr>
              <w:spacing w:after="0"/>
              <w:rPr>
                <w:sz w:val="9"/>
                <w:szCs w:val="9"/>
                <w:color w:val="auto"/>
              </w:rPr>
            </w:pPr>
          </w:p>
        </w:tc>
        <w:tc>
          <w:tcPr>
            <w:tcW w:w="1840" w:type="dxa"/>
            <w:vAlign w:val="bottom"/>
            <w:gridSpan w:val="2"/>
          </w:tcPr>
          <w:p>
            <w:pPr>
              <w:jc w:val="center"/>
              <w:ind w:right="640"/>
              <w:spacing w:after="0" w:line="108" w:lineRule="exact"/>
              <w:rPr>
                <w:sz w:val="20"/>
                <w:szCs w:val="20"/>
                <w:color w:val="auto"/>
              </w:rPr>
            </w:pPr>
            <w:r>
              <w:rPr>
                <w:rFonts w:ascii="Arial" w:cs="Arial" w:eastAsia="Arial" w:hAnsi="Arial"/>
                <w:sz w:val="10"/>
                <w:szCs w:val="10"/>
                <w:b w:val="1"/>
                <w:bCs w:val="1"/>
                <w:color w:val="auto"/>
                <w:w w:val="94"/>
              </w:rPr>
              <w:t>Exercise Price of</w:t>
            </w:r>
          </w:p>
        </w:tc>
        <w:tc>
          <w:tcPr>
            <w:tcW w:w="174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4"/>
              </w:rPr>
              <w:t>for Future Issuance</w:t>
            </w:r>
          </w:p>
        </w:tc>
        <w:tc>
          <w:tcPr>
            <w:tcW w:w="0" w:type="dxa"/>
            <w:vAlign w:val="bottom"/>
          </w:tcPr>
          <w:p>
            <w:pPr>
              <w:spacing w:after="0"/>
              <w:rPr>
                <w:sz w:val="1"/>
                <w:szCs w:val="1"/>
                <w:color w:val="auto"/>
              </w:rPr>
            </w:pPr>
          </w:p>
        </w:tc>
      </w:tr>
      <w:tr>
        <w:trPr>
          <w:trHeight w:val="118"/>
        </w:trPr>
        <w:tc>
          <w:tcPr>
            <w:tcW w:w="39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lan Category(a)</w:t>
            </w:r>
          </w:p>
        </w:tc>
        <w:tc>
          <w:tcPr>
            <w:tcW w:w="23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of Outstanding Options,</w:t>
            </w:r>
          </w:p>
        </w:tc>
        <w:tc>
          <w:tcPr>
            <w:tcW w:w="200" w:type="dxa"/>
            <w:vAlign w:val="bottom"/>
          </w:tcPr>
          <w:p>
            <w:pPr>
              <w:spacing w:after="0"/>
              <w:rPr>
                <w:sz w:val="10"/>
                <w:szCs w:val="10"/>
                <w:color w:val="auto"/>
              </w:rPr>
            </w:pPr>
          </w:p>
        </w:tc>
        <w:tc>
          <w:tcPr>
            <w:tcW w:w="1840" w:type="dxa"/>
            <w:vAlign w:val="bottom"/>
            <w:gridSpan w:val="2"/>
          </w:tcPr>
          <w:p>
            <w:pPr>
              <w:jc w:val="center"/>
              <w:ind w:right="640"/>
              <w:spacing w:after="0"/>
              <w:rPr>
                <w:sz w:val="20"/>
                <w:szCs w:val="20"/>
                <w:color w:val="auto"/>
              </w:rPr>
            </w:pPr>
            <w:r>
              <w:rPr>
                <w:rFonts w:ascii="Arial" w:cs="Arial" w:eastAsia="Arial" w:hAnsi="Arial"/>
                <w:sz w:val="10"/>
                <w:szCs w:val="10"/>
                <w:b w:val="1"/>
                <w:bCs w:val="1"/>
                <w:color w:val="auto"/>
                <w:w w:val="93"/>
              </w:rPr>
              <w:t>Outstanding Options,</w:t>
            </w:r>
          </w:p>
        </w:tc>
        <w:tc>
          <w:tcPr>
            <w:tcW w:w="17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Under Equity</w:t>
            </w:r>
          </w:p>
        </w:tc>
        <w:tc>
          <w:tcPr>
            <w:tcW w:w="0" w:type="dxa"/>
            <w:vAlign w:val="bottom"/>
          </w:tcPr>
          <w:p>
            <w:pPr>
              <w:spacing w:after="0"/>
              <w:rPr>
                <w:sz w:val="1"/>
                <w:szCs w:val="1"/>
                <w:color w:val="auto"/>
              </w:rPr>
            </w:pPr>
          </w:p>
        </w:tc>
      </w:tr>
      <w:tr>
        <w:trPr>
          <w:trHeight w:val="125"/>
        </w:trPr>
        <w:tc>
          <w:tcPr>
            <w:tcW w:w="3900" w:type="dxa"/>
            <w:vAlign w:val="bottom"/>
            <w:gridSpan w:val="2"/>
            <w:vMerge w:val="continue"/>
          </w:tcPr>
          <w:p>
            <w:pPr>
              <w:spacing w:after="0"/>
              <w:rPr>
                <w:sz w:val="10"/>
                <w:szCs w:val="10"/>
                <w:color w:val="auto"/>
              </w:rPr>
            </w:pPr>
          </w:p>
        </w:tc>
        <w:tc>
          <w:tcPr>
            <w:tcW w:w="230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6"/>
              </w:rPr>
              <w:t>Warrants and Rights</w:t>
            </w:r>
          </w:p>
        </w:tc>
        <w:tc>
          <w:tcPr>
            <w:tcW w:w="200" w:type="dxa"/>
            <w:vAlign w:val="bottom"/>
          </w:tcPr>
          <w:p>
            <w:pPr>
              <w:spacing w:after="0"/>
              <w:rPr>
                <w:sz w:val="10"/>
                <w:szCs w:val="10"/>
                <w:color w:val="auto"/>
              </w:rPr>
            </w:pPr>
          </w:p>
        </w:tc>
        <w:tc>
          <w:tcPr>
            <w:tcW w:w="1840" w:type="dxa"/>
            <w:vAlign w:val="bottom"/>
            <w:gridSpan w:val="2"/>
          </w:tcPr>
          <w:p>
            <w:pPr>
              <w:jc w:val="center"/>
              <w:ind w:right="620"/>
              <w:spacing w:after="0"/>
              <w:rPr>
                <w:sz w:val="20"/>
                <w:szCs w:val="20"/>
                <w:color w:val="auto"/>
              </w:rPr>
            </w:pPr>
            <w:r>
              <w:rPr>
                <w:rFonts w:ascii="Arial" w:cs="Arial" w:eastAsia="Arial" w:hAnsi="Arial"/>
                <w:sz w:val="10"/>
                <w:szCs w:val="10"/>
                <w:b w:val="1"/>
                <w:bCs w:val="1"/>
                <w:color w:val="auto"/>
                <w:w w:val="96"/>
              </w:rPr>
              <w:t>Warrants and Rights</w:t>
            </w:r>
          </w:p>
        </w:tc>
        <w:tc>
          <w:tcPr>
            <w:tcW w:w="17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2"/>
              </w:rPr>
              <w:t>Compensation Plans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holders(b)</w:t>
            </w:r>
          </w:p>
        </w:tc>
        <w:tc>
          <w:tcPr>
            <w:tcW w:w="23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16,861,129(c)</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840" w:type="dxa"/>
            <w:vAlign w:val="bottom"/>
            <w:gridSpan w:val="2"/>
            <w:shd w:val="clear" w:color="auto" w:fill="CCEEFF"/>
          </w:tcPr>
          <w:p>
            <w:pPr>
              <w:ind w:left="1100"/>
              <w:spacing w:after="0"/>
              <w:rPr>
                <w:sz w:val="20"/>
                <w:szCs w:val="20"/>
                <w:color w:val="auto"/>
              </w:rPr>
            </w:pPr>
            <w:r>
              <w:rPr>
                <w:rFonts w:ascii="Arial" w:cs="Arial" w:eastAsia="Arial" w:hAnsi="Arial"/>
                <w:sz w:val="13"/>
                <w:szCs w:val="13"/>
                <w:color w:val="auto"/>
              </w:rPr>
              <w:t>29.05(d)</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22,923,004(e)</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Equity compensation plans not approved by security holders(f)</w:t>
            </w:r>
          </w:p>
        </w:tc>
        <w:tc>
          <w:tcPr>
            <w:tcW w:w="2300" w:type="dxa"/>
            <w:vAlign w:val="bottom"/>
            <w:gridSpan w:val="2"/>
          </w:tcPr>
          <w:p>
            <w:pPr>
              <w:jc w:val="right"/>
              <w:ind w:right="440"/>
              <w:spacing w:after="0"/>
              <w:rPr>
                <w:sz w:val="20"/>
                <w:szCs w:val="20"/>
                <w:color w:val="auto"/>
              </w:rPr>
            </w:pPr>
            <w:r>
              <w:rPr>
                <w:rFonts w:ascii="Arial" w:cs="Arial" w:eastAsia="Arial" w:hAnsi="Arial"/>
                <w:sz w:val="13"/>
                <w:szCs w:val="13"/>
                <w:color w:val="auto"/>
              </w:rPr>
              <w:t>368,095</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840" w:type="dxa"/>
            <w:vAlign w:val="bottom"/>
            <w:gridSpan w:val="2"/>
          </w:tcPr>
          <w:p>
            <w:pPr>
              <w:ind w:left="1100"/>
              <w:spacing w:after="0"/>
              <w:rPr>
                <w:sz w:val="20"/>
                <w:szCs w:val="20"/>
                <w:color w:val="auto"/>
              </w:rPr>
            </w:pPr>
            <w:r>
              <w:rPr>
                <w:rFonts w:ascii="Arial" w:cs="Arial" w:eastAsia="Arial" w:hAnsi="Arial"/>
                <w:sz w:val="13"/>
                <w:szCs w:val="13"/>
                <w:color w:val="auto"/>
              </w:rPr>
              <w:t>22.10(g)</w:t>
            </w:r>
          </w:p>
        </w:tc>
        <w:tc>
          <w:tcPr>
            <w:tcW w:w="1740" w:type="dxa"/>
            <w:vAlign w:val="bottom"/>
            <w:gridSpan w:val="2"/>
          </w:tcPr>
          <w:p>
            <w:pPr>
              <w:jc w:val="right"/>
              <w:spacing w:after="0"/>
              <w:rPr>
                <w:sz w:val="20"/>
                <w:szCs w:val="20"/>
                <w:color w:val="auto"/>
              </w:rPr>
            </w:pPr>
            <w:r>
              <w:rPr>
                <w:rFonts w:ascii="Arial" w:cs="Arial" w:eastAsia="Arial" w:hAnsi="Arial"/>
                <w:sz w:val="13"/>
                <w:szCs w:val="13"/>
                <w:color w:val="auto"/>
              </w:rPr>
              <w:t>494,856(h)</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3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17,229,224</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840" w:type="dxa"/>
            <w:vAlign w:val="bottom"/>
            <w:gridSpan w:val="2"/>
            <w:shd w:val="clear" w:color="auto" w:fill="CCEEFF"/>
          </w:tcPr>
          <w:p>
            <w:pPr>
              <w:ind w:left="1100"/>
              <w:spacing w:after="0"/>
              <w:rPr>
                <w:sz w:val="20"/>
                <w:szCs w:val="20"/>
                <w:color w:val="auto"/>
              </w:rPr>
            </w:pPr>
            <w:r>
              <w:rPr>
                <w:rFonts w:ascii="Arial" w:cs="Arial" w:eastAsia="Arial" w:hAnsi="Arial"/>
                <w:sz w:val="13"/>
                <w:szCs w:val="13"/>
                <w:color w:val="auto"/>
              </w:rPr>
              <w:t>28.91</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23,417,860</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hanging="493"/>
        <w:spacing w:after="0"/>
        <w:tabs>
          <w:tab w:leader="none" w:pos="11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Excludes 775,467 shares to be issued upon exercise of options assumed in connection with acquisitions, at a weighted-average exercise price of $36.88.</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Includes our Employee Stock Purchase Plan, 1993 Stock Incentive Plan, 2000 Stock Incentive Plan, 1996 Non-Employee Director’s Plan and 2004 Stock Incentive Plan.</w:t>
      </w:r>
    </w:p>
    <w:p>
      <w:pPr>
        <w:spacing w:after="0" w:line="58" w:lineRule="exact"/>
        <w:rPr>
          <w:rFonts w:ascii="Arial" w:cs="Arial" w:eastAsia="Arial" w:hAnsi="Arial"/>
          <w:sz w:val="12"/>
          <w:szCs w:val="12"/>
          <w:color w:val="auto"/>
        </w:rPr>
      </w:pPr>
    </w:p>
    <w:p>
      <w:pPr>
        <w:ind w:left="1180" w:right="80" w:hanging="493"/>
        <w:spacing w:after="0" w:line="296" w:lineRule="auto"/>
        <w:tabs>
          <w:tab w:leader="none" w:pos="11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Excludes purchase rights that accrue under the ESPP through employee payroll contributions. Purchase rights under the ESPP are considered equity compensation for accounting purposes; however, the number of shares to be purchased is indeterminable until the time shares are actually issued, as employee contributions may be terminated before the end of an offering period and, due to the look-back pricing feature, the purchase price and corresponding number of shares to be purchased is unknown.</w:t>
      </w:r>
    </w:p>
    <w:p>
      <w:pPr>
        <w:ind w:left="1180" w:right="100" w:hanging="493"/>
        <w:spacing w:after="0" w:line="276" w:lineRule="auto"/>
        <w:tabs>
          <w:tab w:leader="none" w:pos="11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Excludes performance share units, restricted stock units and restricted stock awards, as none of those awards has an exercise right associated with it. Also excludes purchase rights under the ESPP for the reasons described in (c), above.</w:t>
      </w:r>
    </w:p>
    <w:p>
      <w:pPr>
        <w:spacing w:after="0" w:line="10" w:lineRule="exact"/>
        <w:rPr>
          <w:rFonts w:ascii="Arial" w:cs="Arial" w:eastAsia="Arial" w:hAnsi="Arial"/>
          <w:sz w:val="13"/>
          <w:szCs w:val="13"/>
          <w:color w:val="auto"/>
        </w:rPr>
      </w:pPr>
    </w:p>
    <w:p>
      <w:pPr>
        <w:ind w:left="1180" w:right="20" w:hanging="493"/>
        <w:spacing w:after="0" w:line="258" w:lineRule="auto"/>
        <w:tabs>
          <w:tab w:leader="none" w:pos="11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shares remaining available include 21,614,515 shares under our 2004 Stock Incentive Plan and 1,308,489 shares under our ESPP. In determining the number of shares available under the 2004 Stock Incentive Plan, the maximum number of shares that may be issued under variable incentive awards was used, which may be larger than the number of shares actually issued at the end of the applicable performance period for the awards. No additional shares may be issued under the 1993 Stock Incentive Plan, as that plan expired in May 2003. Additionally, upon approval by stockholders of the 2004 Stock Incentive Plan, all shares available under the 2000 Stock Incentive Plan and the 1996 Non-Employee Director’s Plan became available for issuance under the 2004 Stock Incentive Plan.</w:t>
      </w:r>
    </w:p>
    <w:p>
      <w:pPr>
        <w:spacing w:after="0" w:line="22" w:lineRule="exact"/>
        <w:rPr>
          <w:rFonts w:ascii="Arial" w:cs="Arial" w:eastAsia="Arial" w:hAnsi="Arial"/>
          <w:sz w:val="13"/>
          <w:szCs w:val="13"/>
          <w:color w:val="auto"/>
        </w:rPr>
      </w:pPr>
    </w:p>
    <w:p>
      <w:pPr>
        <w:ind w:left="1180" w:right="80" w:hanging="493"/>
        <w:spacing w:after="0" w:line="282" w:lineRule="auto"/>
        <w:tabs>
          <w:tab w:leader="none" w:pos="11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Includes our 2000 Broad-Based Employee Plan and 2003 Directors’ Deferred Compensation Plan. No options under the Broad-Based Employee Plan are held by, or may be issued to, any of our directors or executive officers. The Broad-Based Employee Plan allows for the granting of equity awards on such terms and conditions as the Management Development and Compensation Committee may decide; provided, that the exercise price of options may not be less than 100% of the fair market value of the stock on the date of grant, and all options expire no later than ten years from the date of grant. The 2003 Directors’ Deferred Compensation Plan provided for the issuance of units as a portion of the directors’ compensation and allowed directors to elect to defer compensation by receiving units in lieu of cash. The number of units issued to directors is valued based on the fair market value of the common stock, and units are paid out in an equal number of shares of common stock following the termination of a director’s service on the board.</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80" w:hanging="493"/>
        <w:spacing w:after="0"/>
        <w:tabs>
          <w:tab w:leader="none" w:pos="11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Excludes the units issued under the 2003 Directors’ Deferred Compensation Plan, as those awards have no exercise price associated with them.</w:t>
      </w:r>
    </w:p>
    <w:p>
      <w:pPr>
        <w:spacing w:after="0" w:line="47" w:lineRule="exact"/>
        <w:rPr>
          <w:rFonts w:ascii="Arial" w:cs="Arial" w:eastAsia="Arial" w:hAnsi="Arial"/>
          <w:sz w:val="13"/>
          <w:szCs w:val="13"/>
          <w:color w:val="auto"/>
        </w:rPr>
      </w:pPr>
    </w:p>
    <w:p>
      <w:pPr>
        <w:ind w:left="1180" w:right="399" w:hanging="493"/>
        <w:spacing w:after="0" w:line="276" w:lineRule="auto"/>
        <w:tabs>
          <w:tab w:leader="none" w:pos="11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Includes 114,614 shares remaining available for issuance under the 2000 Broad-Based Employee Plan and 380,242 shares remaining available for issuance under the 2003 Directors’ Deferred Compensation Plan.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other information required by this Item is incorporated by reference to the 2008 Proxy Statement.</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set forth in the 2008 Proxy Statement and is incorporated herein by reference.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Accounting Fees and Services.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set forth in the 2008 Proxy Statement and is incorporated herein by reference.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(a)(1) Consolidated Financial Statements:</w:t>
      </w:r>
    </w:p>
    <w:p>
      <w:pPr>
        <w:spacing w:after="0" w:line="96"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Reports of Independent Registered Public Accounting Firm</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Consolidated Balance Sheets as of December 31, 2007 and 2006</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Consolidated Statements of Operations for the years ended December 31, 2007, 2006 and 2005</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Consolidated Statements of Cash Flows for the years ended December 31, 2007, 2006 and 2005</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Consolidated Statements of Stockholders’ Equity for the years ended December 31, 2007, 2006</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and 2005</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Notes to Consolidated Financial Statements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(a)(2) </w:t>
      </w:r>
      <w:r>
        <w:rPr>
          <w:rFonts w:ascii="Arial" w:cs="Arial" w:eastAsia="Arial" w:hAnsi="Arial"/>
          <w:sz w:val="13"/>
          <w:szCs w:val="13"/>
          <w:i w:val="1"/>
          <w:iCs w:val="1"/>
          <w:color w:val="auto"/>
        </w:rPr>
        <w:t>Consolidated Financial Statement Schedules: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Schedule II — Valuation and Qualifying Accounts</w:t>
      </w:r>
    </w:p>
    <w:p>
      <w:pPr>
        <w:spacing w:after="0" w:line="96" w:lineRule="exact"/>
        <w:rPr>
          <w:sz w:val="20"/>
          <w:szCs w:val="20"/>
          <w:color w:val="auto"/>
        </w:rPr>
      </w:pPr>
    </w:p>
    <w:p>
      <w:pPr>
        <w:jc w:val="right"/>
        <w:ind w:right="379"/>
        <w:spacing w:after="0"/>
        <w:rPr>
          <w:sz w:val="20"/>
          <w:szCs w:val="20"/>
          <w:color w:val="auto"/>
        </w:rPr>
      </w:pPr>
      <w:r>
        <w:rPr>
          <w:rFonts w:ascii="Arial" w:cs="Arial" w:eastAsia="Arial" w:hAnsi="Arial"/>
          <w:sz w:val="13"/>
          <w:szCs w:val="13"/>
          <w:color w:val="auto"/>
        </w:rPr>
        <w:t>All other schedules have been omitted because the required information is not significant or is included in the financial statements or notes thereto, or is not applicable.</w:t>
      </w:r>
    </w:p>
    <w:p>
      <w:pPr>
        <w:spacing w:after="0" w:line="96" w:lineRule="exact"/>
        <w:rPr>
          <w:sz w:val="20"/>
          <w:szCs w:val="20"/>
          <w:color w:val="auto"/>
        </w:rPr>
      </w:pPr>
    </w:p>
    <w:p>
      <w:pPr>
        <w:ind w:left="1280" w:hanging="194"/>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i w:val="1"/>
          <w:iCs w:val="1"/>
          <w:color w:val="auto"/>
        </w:rPr>
        <w:t>Exhibits: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exhibit list required by this Item is incorporated by reference to the Exhibit Index filed as part of this report.</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W</w:t>
      </w:r>
      <w:r>
        <w:rPr>
          <w:rFonts w:ascii="Arial" w:cs="Arial" w:eastAsia="Arial" w:hAnsi="Arial"/>
          <w:sz w:val="8"/>
          <w:szCs w:val="8"/>
          <w:color w:val="auto"/>
        </w:rPr>
        <w:t>ASTE</w:t>
      </w:r>
      <w:r>
        <w:rPr>
          <w:rFonts w:ascii="Arial" w:cs="Arial" w:eastAsia="Arial" w:hAnsi="Arial"/>
          <w:sz w:val="13"/>
          <w:szCs w:val="13"/>
          <w:color w:val="auto"/>
        </w:rPr>
        <w:t xml:space="preserve"> M</w:t>
      </w:r>
      <w:r>
        <w:rPr>
          <w:rFonts w:ascii="Arial" w:cs="Arial" w:eastAsia="Arial" w:hAnsi="Arial"/>
          <w:sz w:val="8"/>
          <w:szCs w:val="8"/>
          <w:color w:val="auto"/>
        </w:rPr>
        <w:t>ANAGEMENT</w:t>
      </w:r>
      <w:r>
        <w:rPr>
          <w:rFonts w:ascii="Arial" w:cs="Arial" w:eastAsia="Arial" w:hAnsi="Arial"/>
          <w:sz w:val="13"/>
          <w:szCs w:val="13"/>
          <w:color w:val="auto"/>
        </w:rPr>
        <w:t>, I</w:t>
      </w:r>
      <w:r>
        <w:rPr>
          <w:rFonts w:ascii="Arial" w:cs="Arial" w:eastAsia="Arial" w:hAnsi="Arial"/>
          <w:sz w:val="8"/>
          <w:szCs w:val="8"/>
          <w:color w:val="auto"/>
        </w:rPr>
        <w:t>NC</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D</w:t>
      </w:r>
      <w:r>
        <w:rPr>
          <w:rFonts w:ascii="Arial" w:cs="Arial" w:eastAsia="Arial" w:hAnsi="Arial"/>
          <w:sz w:val="8"/>
          <w:szCs w:val="8"/>
          <w:color w:val="auto"/>
        </w:rPr>
        <w:t>AVID</w:t>
      </w:r>
      <w:r>
        <w:rPr>
          <w:rFonts w:ascii="Arial" w:cs="Arial" w:eastAsia="Arial" w:hAnsi="Arial"/>
          <w:sz w:val="13"/>
          <w:szCs w:val="13"/>
          <w:color w:val="auto"/>
        </w:rPr>
        <w:t xml:space="preserve"> P. S</w:t>
      </w:r>
      <w:r>
        <w:rPr>
          <w:rFonts w:ascii="Arial" w:cs="Arial" w:eastAsia="Arial" w:hAnsi="Arial"/>
          <w:sz w:val="8"/>
          <w:szCs w:val="8"/>
          <w:color w:val="auto"/>
        </w:rPr>
        <w:t>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Chief Executive Officer and Director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February 18, 2008</w:t>
      </w:r>
    </w:p>
    <w:p>
      <w:pPr>
        <w:spacing w:after="0" w:line="96"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460" w:type="dxa"/>
            <w:vAlign w:val="bottom"/>
          </w:tcPr>
          <w:p>
            <w:pPr>
              <w:ind w:left="38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4280" w:type="dxa"/>
            <w:vAlign w:val="bottom"/>
          </w:tcPr>
          <w:p>
            <w:pPr>
              <w:jc w:val="right"/>
              <w:ind w:right="1895"/>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2380" w:type="dxa"/>
            <w:vAlign w:val="bottom"/>
          </w:tcPr>
          <w:p>
            <w:pPr>
              <w:ind w:left="780"/>
              <w:spacing w:after="0"/>
              <w:rPr>
                <w:sz w:val="20"/>
                <w:szCs w:val="20"/>
                <w:color w:val="auto"/>
              </w:rPr>
            </w:pPr>
            <w:r>
              <w:rPr>
                <w:rFonts w:ascii="Arial" w:cs="Arial" w:eastAsia="Arial" w:hAnsi="Arial"/>
                <w:sz w:val="10"/>
                <w:szCs w:val="10"/>
                <w:b w:val="1"/>
                <w:bCs w:val="1"/>
                <w:color w:val="auto"/>
              </w:rPr>
              <w:t>Date</w:t>
            </w:r>
          </w:p>
        </w:tc>
      </w:tr>
      <w:tr>
        <w:trPr>
          <w:trHeight w:val="451"/>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P. S</w:t>
            </w:r>
            <w:r>
              <w:rPr>
                <w:rFonts w:ascii="Arial" w:cs="Arial" w:eastAsia="Arial" w:hAnsi="Arial"/>
                <w:sz w:val="8"/>
                <w:szCs w:val="8"/>
                <w:color w:val="auto"/>
              </w:rPr>
              <w:t>TEINER</w:t>
            </w:r>
          </w:p>
        </w:tc>
        <w:tc>
          <w:tcPr>
            <w:tcW w:w="4280" w:type="dxa"/>
            <w:vAlign w:val="bottom"/>
          </w:tcPr>
          <w:p>
            <w:pPr>
              <w:jc w:val="center"/>
              <w:spacing w:after="0"/>
              <w:rPr>
                <w:sz w:val="20"/>
                <w:szCs w:val="20"/>
                <w:color w:val="auto"/>
              </w:rPr>
            </w:pPr>
            <w:r>
              <w:rPr>
                <w:rFonts w:ascii="Arial" w:cs="Arial" w:eastAsia="Arial" w:hAnsi="Arial"/>
                <w:sz w:val="13"/>
                <w:szCs w:val="13"/>
                <w:color w:val="auto"/>
                <w:w w:val="94"/>
              </w:rPr>
              <w:t>Chief Executive Officer and Director (Principal Executive Officer)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18, 2008</w:t>
            </w:r>
          </w:p>
        </w:tc>
      </w:tr>
      <w:tr>
        <w:trPr>
          <w:trHeight w:val="155"/>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89"/>
              </w:rPr>
              <w:t>David P. Steiner</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276"/>
        </w:trPr>
        <w:tc>
          <w:tcPr>
            <w:tcW w:w="680" w:type="dxa"/>
            <w:vAlign w:val="bottom"/>
          </w:tcPr>
          <w:p>
            <w:pPr>
              <w:spacing w:after="0"/>
              <w:rPr>
                <w:sz w:val="24"/>
                <w:szCs w:val="24"/>
                <w:color w:val="auto"/>
              </w:rPr>
            </w:pPr>
          </w:p>
        </w:tc>
        <w:tc>
          <w:tcPr>
            <w:tcW w:w="1660" w:type="dxa"/>
            <w:vAlign w:val="bottom"/>
            <w:tcBorders>
              <w:bottom w:val="single" w:sz="8" w:color="auto"/>
            </w:tcBorders>
          </w:tcPr>
          <w:p>
            <w:pPr>
              <w:ind w:left="1480"/>
              <w:spacing w:after="0"/>
              <w:rPr>
                <w:sz w:val="20"/>
                <w:szCs w:val="20"/>
                <w:color w:val="auto"/>
              </w:rPr>
            </w:pPr>
            <w:r>
              <w:rPr>
                <w:rFonts w:ascii="Arial" w:cs="Arial" w:eastAsia="Arial" w:hAnsi="Arial"/>
                <w:sz w:val="13"/>
                <w:szCs w:val="13"/>
                <w:color w:val="auto"/>
              </w:rPr>
              <w:t>/s/</w:t>
            </w:r>
          </w:p>
        </w:tc>
        <w:tc>
          <w:tcPr>
            <w:tcW w:w="2460" w:type="dxa"/>
            <w:vAlign w:val="bottom"/>
            <w:tcBorders>
              <w:bottom w:val="single" w:sz="8" w:color="auto"/>
            </w:tcBorders>
          </w:tcPr>
          <w:p>
            <w:pPr>
              <w:jc w:val="center"/>
              <w:ind w:right="1396"/>
              <w:spacing w:after="0"/>
              <w:rPr>
                <w:sz w:val="20"/>
                <w:szCs w:val="20"/>
                <w:color w:val="auto"/>
              </w:rPr>
            </w:pPr>
            <w:r>
              <w:rPr>
                <w:rFonts w:ascii="Arial" w:cs="Arial" w:eastAsia="Arial" w:hAnsi="Arial"/>
                <w:sz w:val="13"/>
                <w:szCs w:val="13"/>
                <w:color w:val="auto"/>
                <w:w w:val="97"/>
              </w:rPr>
              <w:t>R</w:t>
            </w:r>
            <w:r>
              <w:rPr>
                <w:rFonts w:ascii="Arial" w:cs="Arial" w:eastAsia="Arial" w:hAnsi="Arial"/>
                <w:sz w:val="8"/>
                <w:szCs w:val="8"/>
                <w:color w:val="auto"/>
                <w:w w:val="97"/>
              </w:rPr>
              <w:t>OBERT</w:t>
            </w:r>
            <w:r>
              <w:rPr>
                <w:rFonts w:ascii="Arial" w:cs="Arial" w:eastAsia="Arial" w:hAnsi="Arial"/>
                <w:sz w:val="13"/>
                <w:szCs w:val="13"/>
                <w:color w:val="auto"/>
                <w:w w:val="97"/>
              </w:rPr>
              <w:t xml:space="preserve"> G. S</w:t>
            </w:r>
            <w:r>
              <w:rPr>
                <w:rFonts w:ascii="Arial" w:cs="Arial" w:eastAsia="Arial" w:hAnsi="Arial"/>
                <w:sz w:val="8"/>
                <w:szCs w:val="8"/>
                <w:color w:val="auto"/>
                <w:w w:val="97"/>
              </w:rPr>
              <w:t>IMPSON</w:t>
            </w:r>
          </w:p>
        </w:tc>
        <w:tc>
          <w:tcPr>
            <w:tcW w:w="4280" w:type="dxa"/>
            <w:vAlign w:val="bottom"/>
          </w:tcPr>
          <w:p>
            <w:pPr>
              <w:jc w:val="center"/>
              <w:spacing w:after="0"/>
              <w:rPr>
                <w:sz w:val="20"/>
                <w:szCs w:val="20"/>
                <w:color w:val="auto"/>
              </w:rPr>
            </w:pPr>
            <w:r>
              <w:rPr>
                <w:rFonts w:ascii="Arial" w:cs="Arial" w:eastAsia="Arial" w:hAnsi="Arial"/>
                <w:sz w:val="13"/>
                <w:szCs w:val="13"/>
                <w:color w:val="auto"/>
                <w:w w:val="93"/>
              </w:rPr>
              <w:t>Senior Vice President and Chief Financial Officer (Principal Financial</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18, 2008</w:t>
            </w:r>
          </w:p>
        </w:tc>
      </w:tr>
      <w:tr>
        <w:trPr>
          <w:trHeight w:val="156"/>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90"/>
              </w:rPr>
              <w:t>Robert G. Simpson</w:t>
            </w:r>
          </w:p>
        </w:tc>
        <w:tc>
          <w:tcPr>
            <w:tcW w:w="4280" w:type="dxa"/>
            <w:vAlign w:val="bottom"/>
          </w:tcPr>
          <w:p>
            <w:pPr>
              <w:jc w:val="center"/>
              <w:spacing w:after="0" w:line="145" w:lineRule="exact"/>
              <w:rPr>
                <w:sz w:val="20"/>
                <w:szCs w:val="20"/>
                <w:color w:val="auto"/>
              </w:rPr>
            </w:pPr>
            <w:r>
              <w:rPr>
                <w:rFonts w:ascii="Arial" w:cs="Arial" w:eastAsia="Arial" w:hAnsi="Arial"/>
                <w:sz w:val="13"/>
                <w:szCs w:val="13"/>
                <w:color w:val="auto"/>
                <w:w w:val="98"/>
              </w:rPr>
              <w:t>Officer)</w:t>
            </w:r>
          </w:p>
        </w:tc>
        <w:tc>
          <w:tcPr>
            <w:tcW w:w="2380" w:type="dxa"/>
            <w:vAlign w:val="bottom"/>
          </w:tcPr>
          <w:p>
            <w:pPr>
              <w:spacing w:after="0"/>
              <w:rPr>
                <w:sz w:val="13"/>
                <w:szCs w:val="13"/>
                <w:color w:val="auto"/>
              </w:rPr>
            </w:pPr>
          </w:p>
        </w:tc>
      </w:tr>
      <w:tr>
        <w:trPr>
          <w:trHeight w:val="276"/>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REG</w:t>
            </w:r>
            <w:r>
              <w:rPr>
                <w:rFonts w:ascii="Arial" w:cs="Arial" w:eastAsia="Arial" w:hAnsi="Arial"/>
                <w:sz w:val="13"/>
                <w:szCs w:val="13"/>
                <w:color w:val="auto"/>
              </w:rPr>
              <w:t xml:space="preserve"> A. R</w:t>
            </w:r>
            <w:r>
              <w:rPr>
                <w:rFonts w:ascii="Arial" w:cs="Arial" w:eastAsia="Arial" w:hAnsi="Arial"/>
                <w:sz w:val="8"/>
                <w:szCs w:val="8"/>
                <w:color w:val="auto"/>
              </w:rPr>
              <w:t>OBERTSON</w:t>
            </w:r>
          </w:p>
        </w:tc>
        <w:tc>
          <w:tcPr>
            <w:tcW w:w="4280" w:type="dxa"/>
            <w:vAlign w:val="bottom"/>
          </w:tcPr>
          <w:p>
            <w:pPr>
              <w:jc w:val="center"/>
              <w:spacing w:after="0"/>
              <w:rPr>
                <w:sz w:val="20"/>
                <w:szCs w:val="20"/>
                <w:color w:val="auto"/>
              </w:rPr>
            </w:pPr>
            <w:r>
              <w:rPr>
                <w:rFonts w:ascii="Arial" w:cs="Arial" w:eastAsia="Arial" w:hAnsi="Arial"/>
                <w:sz w:val="13"/>
                <w:szCs w:val="13"/>
                <w:color w:val="auto"/>
                <w:w w:val="94"/>
              </w:rPr>
              <w:t>Vice President and Chief Accounting Officer (Principal Accounting</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18, 2008</w:t>
            </w:r>
          </w:p>
        </w:tc>
      </w:tr>
      <w:tr>
        <w:trPr>
          <w:trHeight w:val="156"/>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92"/>
              </w:rPr>
              <w:t>Greg A. Robertson</w:t>
            </w:r>
          </w:p>
        </w:tc>
        <w:tc>
          <w:tcPr>
            <w:tcW w:w="4280" w:type="dxa"/>
            <w:vAlign w:val="bottom"/>
          </w:tcPr>
          <w:p>
            <w:pPr>
              <w:jc w:val="center"/>
              <w:spacing w:after="0" w:line="145" w:lineRule="exact"/>
              <w:rPr>
                <w:sz w:val="20"/>
                <w:szCs w:val="20"/>
                <w:color w:val="auto"/>
              </w:rPr>
            </w:pPr>
            <w:r>
              <w:rPr>
                <w:rFonts w:ascii="Arial" w:cs="Arial" w:eastAsia="Arial" w:hAnsi="Arial"/>
                <w:sz w:val="13"/>
                <w:szCs w:val="13"/>
                <w:color w:val="auto"/>
                <w:w w:val="98"/>
              </w:rPr>
              <w:t>Officer)</w:t>
            </w:r>
          </w:p>
        </w:tc>
        <w:tc>
          <w:tcPr>
            <w:tcW w:w="2380" w:type="dxa"/>
            <w:vAlign w:val="bottom"/>
          </w:tcPr>
          <w:p>
            <w:pPr>
              <w:spacing w:after="0"/>
              <w:rPr>
                <w:sz w:val="13"/>
                <w:szCs w:val="13"/>
                <w:color w:val="auto"/>
              </w:rPr>
            </w:pPr>
          </w:p>
        </w:tc>
      </w:tr>
      <w:tr>
        <w:trPr>
          <w:trHeight w:val="277"/>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ASTORA</w:t>
            </w:r>
            <w:r>
              <w:rPr>
                <w:rFonts w:ascii="Arial" w:cs="Arial" w:eastAsia="Arial" w:hAnsi="Arial"/>
                <w:sz w:val="13"/>
                <w:szCs w:val="13"/>
                <w:color w:val="auto"/>
              </w:rPr>
              <w:t xml:space="preserve"> S</w:t>
            </w:r>
            <w:r>
              <w:rPr>
                <w:rFonts w:ascii="Arial" w:cs="Arial" w:eastAsia="Arial" w:hAnsi="Arial"/>
                <w:sz w:val="8"/>
                <w:szCs w:val="8"/>
                <w:color w:val="auto"/>
              </w:rPr>
              <w:t>AN</w:t>
            </w:r>
            <w:r>
              <w:rPr>
                <w:rFonts w:ascii="Arial" w:cs="Arial" w:eastAsia="Arial" w:hAnsi="Arial"/>
                <w:sz w:val="13"/>
                <w:szCs w:val="13"/>
                <w:color w:val="auto"/>
              </w:rPr>
              <w:t xml:space="preserve"> J</w:t>
            </w:r>
            <w:r>
              <w:rPr>
                <w:rFonts w:ascii="Arial" w:cs="Arial" w:eastAsia="Arial" w:hAnsi="Arial"/>
                <w:sz w:val="8"/>
                <w:szCs w:val="8"/>
                <w:color w:val="auto"/>
              </w:rPr>
              <w:t>UAN</w:t>
            </w:r>
            <w:r>
              <w:rPr>
                <w:rFonts w:ascii="Arial" w:cs="Arial" w:eastAsia="Arial" w:hAnsi="Arial"/>
                <w:sz w:val="13"/>
                <w:szCs w:val="13"/>
                <w:color w:val="auto"/>
              </w:rPr>
              <w:t xml:space="preserve"> C</w:t>
            </w:r>
            <w:r>
              <w:rPr>
                <w:rFonts w:ascii="Arial" w:cs="Arial" w:eastAsia="Arial" w:hAnsi="Arial"/>
                <w:sz w:val="8"/>
                <w:szCs w:val="8"/>
                <w:color w:val="auto"/>
              </w:rPr>
              <w:t>AFFERTY</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18, 2008</w:t>
            </w:r>
          </w:p>
        </w:tc>
      </w:tr>
      <w:tr>
        <w:trPr>
          <w:trHeight w:val="155"/>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89"/>
              </w:rPr>
              <w:t>Pastora San Juan Cafferty</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277"/>
        </w:trPr>
        <w:tc>
          <w:tcPr>
            <w:tcW w:w="680" w:type="dxa"/>
            <w:vAlign w:val="bottom"/>
          </w:tcPr>
          <w:p>
            <w:pPr>
              <w:spacing w:after="0"/>
              <w:rPr>
                <w:sz w:val="24"/>
                <w:szCs w:val="24"/>
                <w:color w:val="auto"/>
              </w:rPr>
            </w:pPr>
          </w:p>
        </w:tc>
        <w:tc>
          <w:tcPr>
            <w:tcW w:w="1660" w:type="dxa"/>
            <w:vAlign w:val="bottom"/>
            <w:tcBorders>
              <w:bottom w:val="single" w:sz="8" w:color="auto"/>
            </w:tcBorders>
          </w:tcPr>
          <w:p>
            <w:pPr>
              <w:ind w:left="1540"/>
              <w:spacing w:after="0"/>
              <w:rPr>
                <w:sz w:val="20"/>
                <w:szCs w:val="20"/>
                <w:color w:val="auto"/>
              </w:rPr>
            </w:pPr>
            <w:r>
              <w:rPr>
                <w:rFonts w:ascii="Arial" w:cs="Arial" w:eastAsia="Arial" w:hAnsi="Arial"/>
                <w:sz w:val="13"/>
                <w:szCs w:val="13"/>
                <w:color w:val="auto"/>
                <w:w w:val="72"/>
              </w:rPr>
              <w:t>/s/</w:t>
            </w:r>
          </w:p>
        </w:tc>
        <w:tc>
          <w:tcPr>
            <w:tcW w:w="2460" w:type="dxa"/>
            <w:vAlign w:val="bottom"/>
            <w:tcBorders>
              <w:bottom w:val="single" w:sz="8" w:color="auto"/>
            </w:tcBorders>
          </w:tcPr>
          <w:p>
            <w:pPr>
              <w:jc w:val="center"/>
              <w:ind w:right="1396"/>
              <w:spacing w:after="0"/>
              <w:rPr>
                <w:sz w:val="20"/>
                <w:szCs w:val="20"/>
                <w:color w:val="auto"/>
              </w:rPr>
            </w:pPr>
            <w:r>
              <w:rPr>
                <w:rFonts w:ascii="Arial" w:cs="Arial" w:eastAsia="Arial" w:hAnsi="Arial"/>
                <w:sz w:val="13"/>
                <w:szCs w:val="13"/>
                <w:color w:val="auto"/>
              </w:rPr>
              <w:t>F</w:t>
            </w:r>
            <w:r>
              <w:rPr>
                <w:rFonts w:ascii="Arial" w:cs="Arial" w:eastAsia="Arial" w:hAnsi="Arial"/>
                <w:sz w:val="8"/>
                <w:szCs w:val="8"/>
                <w:color w:val="auto"/>
              </w:rPr>
              <w:t>RANK</w:t>
            </w:r>
            <w:r>
              <w:rPr>
                <w:rFonts w:ascii="Arial" w:cs="Arial" w:eastAsia="Arial" w:hAnsi="Arial"/>
                <w:sz w:val="13"/>
                <w:szCs w:val="13"/>
                <w:color w:val="auto"/>
              </w:rPr>
              <w:t xml:space="preserve"> M. C</w:t>
            </w:r>
            <w:r>
              <w:rPr>
                <w:rFonts w:ascii="Arial" w:cs="Arial" w:eastAsia="Arial" w:hAnsi="Arial"/>
                <w:sz w:val="8"/>
                <w:szCs w:val="8"/>
                <w:color w:val="auto"/>
              </w:rPr>
              <w:t>LARK</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18, 2008</w:t>
            </w:r>
          </w:p>
        </w:tc>
      </w:tr>
      <w:tr>
        <w:trPr>
          <w:trHeight w:val="155"/>
        </w:trPr>
        <w:tc>
          <w:tcPr>
            <w:tcW w:w="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60" w:type="dxa"/>
            <w:vAlign w:val="bottom"/>
          </w:tcPr>
          <w:p>
            <w:pPr>
              <w:jc w:val="center"/>
              <w:ind w:right="1596"/>
              <w:spacing w:after="0"/>
              <w:rPr>
                <w:sz w:val="20"/>
                <w:szCs w:val="20"/>
                <w:color w:val="auto"/>
              </w:rPr>
            </w:pPr>
            <w:r>
              <w:rPr>
                <w:rFonts w:ascii="Arial" w:cs="Arial" w:eastAsia="Arial" w:hAnsi="Arial"/>
                <w:sz w:val="13"/>
                <w:szCs w:val="13"/>
                <w:color w:val="auto"/>
                <w:w w:val="93"/>
              </w:rPr>
              <w:t>Frank M. Clark</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277"/>
        </w:trPr>
        <w:tc>
          <w:tcPr>
            <w:tcW w:w="680" w:type="dxa"/>
            <w:vAlign w:val="bottom"/>
          </w:tcPr>
          <w:p>
            <w:pPr>
              <w:spacing w:after="0"/>
              <w:rPr>
                <w:sz w:val="24"/>
                <w:szCs w:val="24"/>
                <w:color w:val="auto"/>
              </w:rPr>
            </w:pPr>
          </w:p>
        </w:tc>
        <w:tc>
          <w:tcPr>
            <w:tcW w:w="1660" w:type="dxa"/>
            <w:vAlign w:val="bottom"/>
            <w:tcBorders>
              <w:bottom w:val="single" w:sz="8" w:color="auto"/>
            </w:tcBorders>
          </w:tcPr>
          <w:p>
            <w:pPr>
              <w:ind w:left="1500"/>
              <w:spacing w:after="0"/>
              <w:rPr>
                <w:sz w:val="20"/>
                <w:szCs w:val="20"/>
                <w:color w:val="auto"/>
              </w:rPr>
            </w:pPr>
            <w:r>
              <w:rPr>
                <w:rFonts w:ascii="Arial" w:cs="Arial" w:eastAsia="Arial" w:hAnsi="Arial"/>
                <w:sz w:val="13"/>
                <w:szCs w:val="13"/>
                <w:color w:val="auto"/>
              </w:rPr>
              <w:t>/s/</w:t>
            </w:r>
          </w:p>
        </w:tc>
        <w:tc>
          <w:tcPr>
            <w:tcW w:w="2460" w:type="dxa"/>
            <w:vAlign w:val="bottom"/>
            <w:tcBorders>
              <w:bottom w:val="single" w:sz="8" w:color="auto"/>
            </w:tcBorders>
          </w:tcPr>
          <w:p>
            <w:pPr>
              <w:jc w:val="center"/>
              <w:ind w:right="1396"/>
              <w:spacing w:after="0"/>
              <w:rPr>
                <w:sz w:val="20"/>
                <w:szCs w:val="20"/>
                <w:color w:val="auto"/>
              </w:rPr>
            </w:pPr>
            <w:r>
              <w:rPr>
                <w:rFonts w:ascii="Arial" w:cs="Arial" w:eastAsia="Arial" w:hAnsi="Arial"/>
                <w:sz w:val="13"/>
                <w:szCs w:val="13"/>
                <w:color w:val="auto"/>
                <w:w w:val="97"/>
              </w:rPr>
              <w:t>P</w:t>
            </w:r>
            <w:r>
              <w:rPr>
                <w:rFonts w:ascii="Arial" w:cs="Arial" w:eastAsia="Arial" w:hAnsi="Arial"/>
                <w:sz w:val="8"/>
                <w:szCs w:val="8"/>
                <w:color w:val="auto"/>
                <w:w w:val="97"/>
              </w:rPr>
              <w:t>ATRICK</w:t>
            </w:r>
            <w:r>
              <w:rPr>
                <w:rFonts w:ascii="Arial" w:cs="Arial" w:eastAsia="Arial" w:hAnsi="Arial"/>
                <w:sz w:val="13"/>
                <w:szCs w:val="13"/>
                <w:color w:val="auto"/>
                <w:w w:val="97"/>
              </w:rPr>
              <w:t xml:space="preserve"> W. G</w:t>
            </w:r>
            <w:r>
              <w:rPr>
                <w:rFonts w:ascii="Arial" w:cs="Arial" w:eastAsia="Arial" w:hAnsi="Arial"/>
                <w:sz w:val="8"/>
                <w:szCs w:val="8"/>
                <w:color w:val="auto"/>
                <w:w w:val="97"/>
              </w:rPr>
              <w:t>ROSS</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18, 2008</w:t>
            </w:r>
          </w:p>
        </w:tc>
      </w:tr>
      <w:tr>
        <w:trPr>
          <w:trHeight w:val="155"/>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90"/>
              </w:rPr>
              <w:t>Patrick W. Gross</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277"/>
        </w:trPr>
        <w:tc>
          <w:tcPr>
            <w:tcW w:w="680" w:type="dxa"/>
            <w:vAlign w:val="bottom"/>
          </w:tcPr>
          <w:p>
            <w:pPr>
              <w:spacing w:after="0"/>
              <w:rPr>
                <w:sz w:val="24"/>
                <w:szCs w:val="24"/>
                <w:color w:val="auto"/>
              </w:rPr>
            </w:pPr>
          </w:p>
        </w:tc>
        <w:tc>
          <w:tcPr>
            <w:tcW w:w="1660" w:type="dxa"/>
            <w:vAlign w:val="bottom"/>
            <w:tcBorders>
              <w:bottom w:val="single" w:sz="8" w:color="auto"/>
            </w:tcBorders>
          </w:tcPr>
          <w:p>
            <w:pPr>
              <w:ind w:left="1480"/>
              <w:spacing w:after="0"/>
              <w:rPr>
                <w:sz w:val="20"/>
                <w:szCs w:val="20"/>
                <w:color w:val="auto"/>
              </w:rPr>
            </w:pPr>
            <w:r>
              <w:rPr>
                <w:rFonts w:ascii="Arial" w:cs="Arial" w:eastAsia="Arial" w:hAnsi="Arial"/>
                <w:sz w:val="13"/>
                <w:szCs w:val="13"/>
                <w:color w:val="auto"/>
              </w:rPr>
              <w:t>/s/</w:t>
            </w:r>
          </w:p>
        </w:tc>
        <w:tc>
          <w:tcPr>
            <w:tcW w:w="2460" w:type="dxa"/>
            <w:vAlign w:val="bottom"/>
            <w:tcBorders>
              <w:bottom w:val="single" w:sz="8" w:color="auto"/>
            </w:tcBorders>
          </w:tcPr>
          <w:p>
            <w:pPr>
              <w:jc w:val="center"/>
              <w:ind w:right="1396"/>
              <w:spacing w:after="0"/>
              <w:rPr>
                <w:sz w:val="20"/>
                <w:szCs w:val="20"/>
                <w:color w:val="auto"/>
              </w:rPr>
            </w:pPr>
            <w:r>
              <w:rPr>
                <w:rFonts w:ascii="Arial" w:cs="Arial" w:eastAsia="Arial" w:hAnsi="Arial"/>
                <w:sz w:val="13"/>
                <w:szCs w:val="13"/>
                <w:color w:val="auto"/>
              </w:rPr>
              <w:t>T</w:t>
            </w:r>
            <w:r>
              <w:rPr>
                <w:rFonts w:ascii="Arial" w:cs="Arial" w:eastAsia="Arial" w:hAnsi="Arial"/>
                <w:sz w:val="8"/>
                <w:szCs w:val="8"/>
                <w:color w:val="auto"/>
              </w:rPr>
              <w:t>HOMAS</w:t>
            </w:r>
            <w:r>
              <w:rPr>
                <w:rFonts w:ascii="Arial" w:cs="Arial" w:eastAsia="Arial" w:hAnsi="Arial"/>
                <w:sz w:val="13"/>
                <w:szCs w:val="13"/>
                <w:color w:val="auto"/>
              </w:rPr>
              <w:t xml:space="preserve"> I. M</w:t>
            </w:r>
            <w:r>
              <w:rPr>
                <w:rFonts w:ascii="Arial" w:cs="Arial" w:eastAsia="Arial" w:hAnsi="Arial"/>
                <w:sz w:val="8"/>
                <w:szCs w:val="8"/>
                <w:color w:val="auto"/>
              </w:rPr>
              <w:t>ORGAN</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18, 2008</w:t>
            </w:r>
          </w:p>
        </w:tc>
      </w:tr>
      <w:tr>
        <w:trPr>
          <w:trHeight w:val="155"/>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92"/>
              </w:rPr>
              <w:t>Thomas I. Morgan</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277"/>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8"/>
              </w:rPr>
              <w:t>/s/ J</w:t>
            </w:r>
            <w:r>
              <w:rPr>
                <w:rFonts w:ascii="Arial" w:cs="Arial" w:eastAsia="Arial" w:hAnsi="Arial"/>
                <w:sz w:val="8"/>
                <w:szCs w:val="8"/>
                <w:color w:val="auto"/>
                <w:w w:val="98"/>
              </w:rPr>
              <w:t>OHN</w:t>
            </w:r>
            <w:r>
              <w:rPr>
                <w:rFonts w:ascii="Arial" w:cs="Arial" w:eastAsia="Arial" w:hAnsi="Arial"/>
                <w:sz w:val="13"/>
                <w:szCs w:val="13"/>
                <w:color w:val="auto"/>
                <w:w w:val="98"/>
              </w:rPr>
              <w:t xml:space="preserve"> C. P</w:t>
            </w:r>
            <w:r>
              <w:rPr>
                <w:rFonts w:ascii="Arial" w:cs="Arial" w:eastAsia="Arial" w:hAnsi="Arial"/>
                <w:sz w:val="8"/>
                <w:szCs w:val="8"/>
                <w:color w:val="auto"/>
                <w:w w:val="98"/>
              </w:rPr>
              <w:t>OPE</w:t>
            </w:r>
          </w:p>
        </w:tc>
        <w:tc>
          <w:tcPr>
            <w:tcW w:w="4280" w:type="dxa"/>
            <w:vAlign w:val="bottom"/>
          </w:tcPr>
          <w:p>
            <w:pPr>
              <w:jc w:val="center"/>
              <w:spacing w:after="0"/>
              <w:rPr>
                <w:sz w:val="20"/>
                <w:szCs w:val="20"/>
                <w:color w:val="auto"/>
              </w:rPr>
            </w:pPr>
            <w:r>
              <w:rPr>
                <w:rFonts w:ascii="Arial" w:cs="Arial" w:eastAsia="Arial" w:hAnsi="Arial"/>
                <w:sz w:val="13"/>
                <w:szCs w:val="13"/>
                <w:color w:val="auto"/>
                <w:w w:val="92"/>
              </w:rPr>
              <w:t>Chairman of the Board and 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18, 2008</w:t>
            </w:r>
          </w:p>
        </w:tc>
      </w:tr>
      <w:tr>
        <w:trPr>
          <w:trHeight w:val="155"/>
        </w:trPr>
        <w:tc>
          <w:tcPr>
            <w:tcW w:w="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60" w:type="dxa"/>
            <w:vAlign w:val="bottom"/>
          </w:tcPr>
          <w:p>
            <w:pPr>
              <w:jc w:val="center"/>
              <w:ind w:right="1576"/>
              <w:spacing w:after="0"/>
              <w:rPr>
                <w:sz w:val="20"/>
                <w:szCs w:val="20"/>
                <w:color w:val="auto"/>
              </w:rPr>
            </w:pPr>
            <w:r>
              <w:rPr>
                <w:rFonts w:ascii="Arial" w:cs="Arial" w:eastAsia="Arial" w:hAnsi="Arial"/>
                <w:sz w:val="13"/>
                <w:szCs w:val="13"/>
                <w:color w:val="auto"/>
                <w:w w:val="88"/>
              </w:rPr>
              <w:t>John C. Pope</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277"/>
        </w:trPr>
        <w:tc>
          <w:tcPr>
            <w:tcW w:w="680" w:type="dxa"/>
            <w:vAlign w:val="bottom"/>
          </w:tcPr>
          <w:p>
            <w:pPr>
              <w:spacing w:after="0"/>
              <w:rPr>
                <w:sz w:val="24"/>
                <w:szCs w:val="24"/>
                <w:color w:val="auto"/>
              </w:rPr>
            </w:pPr>
          </w:p>
        </w:tc>
        <w:tc>
          <w:tcPr>
            <w:tcW w:w="1660" w:type="dxa"/>
            <w:vAlign w:val="bottom"/>
            <w:tcBorders>
              <w:bottom w:val="single" w:sz="8" w:color="auto"/>
            </w:tcBorders>
          </w:tcPr>
          <w:p>
            <w:pPr>
              <w:ind w:left="1540"/>
              <w:spacing w:after="0"/>
              <w:rPr>
                <w:sz w:val="20"/>
                <w:szCs w:val="20"/>
                <w:color w:val="auto"/>
              </w:rPr>
            </w:pPr>
            <w:r>
              <w:rPr>
                <w:rFonts w:ascii="Arial" w:cs="Arial" w:eastAsia="Arial" w:hAnsi="Arial"/>
                <w:sz w:val="13"/>
                <w:szCs w:val="13"/>
                <w:color w:val="auto"/>
                <w:w w:val="72"/>
              </w:rPr>
              <w:t>/s/</w:t>
            </w:r>
          </w:p>
        </w:tc>
        <w:tc>
          <w:tcPr>
            <w:tcW w:w="2460" w:type="dxa"/>
            <w:vAlign w:val="bottom"/>
            <w:tcBorders>
              <w:bottom w:val="single" w:sz="8" w:color="auto"/>
            </w:tcBorders>
          </w:tcPr>
          <w:p>
            <w:pPr>
              <w:jc w:val="center"/>
              <w:ind w:right="1396"/>
              <w:spacing w:after="0"/>
              <w:rPr>
                <w:sz w:val="20"/>
                <w:szCs w:val="20"/>
                <w:color w:val="auto"/>
              </w:rPr>
            </w:pPr>
            <w:r>
              <w:rPr>
                <w:rFonts w:ascii="Arial" w:cs="Arial" w:eastAsia="Arial" w:hAnsi="Arial"/>
                <w:sz w:val="13"/>
                <w:szCs w:val="13"/>
                <w:color w:val="auto"/>
              </w:rPr>
              <w:t>W. R</w:t>
            </w:r>
            <w:r>
              <w:rPr>
                <w:rFonts w:ascii="Arial" w:cs="Arial" w:eastAsia="Arial" w:hAnsi="Arial"/>
                <w:sz w:val="8"/>
                <w:szCs w:val="8"/>
                <w:color w:val="auto"/>
              </w:rPr>
              <w:t>OBERT</w:t>
            </w:r>
            <w:r>
              <w:rPr>
                <w:rFonts w:ascii="Arial" w:cs="Arial" w:eastAsia="Arial" w:hAnsi="Arial"/>
                <w:sz w:val="13"/>
                <w:szCs w:val="13"/>
                <w:color w:val="auto"/>
              </w:rPr>
              <w:t xml:space="preserve"> R</w:t>
            </w:r>
            <w:r>
              <w:rPr>
                <w:rFonts w:ascii="Arial" w:cs="Arial" w:eastAsia="Arial" w:hAnsi="Arial"/>
                <w:sz w:val="8"/>
                <w:szCs w:val="8"/>
                <w:color w:val="auto"/>
              </w:rPr>
              <w:t>EUM</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18, 2008</w:t>
            </w:r>
          </w:p>
        </w:tc>
      </w:tr>
      <w:tr>
        <w:trPr>
          <w:trHeight w:val="155"/>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90"/>
              </w:rPr>
              <w:t>W. Robert Reum</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277"/>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/s/ S</w:t>
            </w:r>
            <w:r>
              <w:rPr>
                <w:rFonts w:ascii="Arial" w:cs="Arial" w:eastAsia="Arial" w:hAnsi="Arial"/>
                <w:sz w:val="8"/>
                <w:szCs w:val="8"/>
                <w:color w:val="auto"/>
              </w:rPr>
              <w:t>TEVEN</w:t>
            </w:r>
            <w:r>
              <w:rPr>
                <w:rFonts w:ascii="Arial" w:cs="Arial" w:eastAsia="Arial" w:hAnsi="Arial"/>
                <w:sz w:val="13"/>
                <w:szCs w:val="13"/>
                <w:color w:val="auto"/>
              </w:rPr>
              <w:t xml:space="preserve"> G. R</w:t>
            </w:r>
            <w:r>
              <w:rPr>
                <w:rFonts w:ascii="Arial" w:cs="Arial" w:eastAsia="Arial" w:hAnsi="Arial"/>
                <w:sz w:val="8"/>
                <w:szCs w:val="8"/>
                <w:color w:val="auto"/>
              </w:rPr>
              <w:t>OTHMEIER</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18, 2008</w:t>
            </w:r>
          </w:p>
        </w:tc>
      </w:tr>
      <w:tr>
        <w:trPr>
          <w:trHeight w:val="155"/>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90"/>
              </w:rPr>
              <w:t>Steven G. Rothmeier</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277"/>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/s/ T</w:t>
            </w:r>
            <w:r>
              <w:rPr>
                <w:rFonts w:ascii="Arial" w:cs="Arial" w:eastAsia="Arial" w:hAnsi="Arial"/>
                <w:sz w:val="8"/>
                <w:szCs w:val="8"/>
                <w:color w:val="auto"/>
              </w:rPr>
              <w:t>HOMAS</w:t>
            </w:r>
            <w:r>
              <w:rPr>
                <w:rFonts w:ascii="Arial" w:cs="Arial" w:eastAsia="Arial" w:hAnsi="Arial"/>
                <w:sz w:val="13"/>
                <w:szCs w:val="13"/>
                <w:color w:val="auto"/>
              </w:rPr>
              <w:t xml:space="preserve"> H. W</w:t>
            </w:r>
            <w:r>
              <w:rPr>
                <w:rFonts w:ascii="Arial" w:cs="Arial" w:eastAsia="Arial" w:hAnsi="Arial"/>
                <w:sz w:val="8"/>
                <w:szCs w:val="8"/>
                <w:color w:val="auto"/>
              </w:rPr>
              <w:t>EIDEMEYER</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18, 2008</w:t>
            </w:r>
          </w:p>
        </w:tc>
      </w:tr>
      <w:tr>
        <w:trPr>
          <w:trHeight w:val="155"/>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91"/>
              </w:rPr>
              <w:t>Thomas H. Weidemeyer</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80" w:type="dxa"/>
            <w:vAlign w:val="bottom"/>
          </w:tcPr>
          <w:p>
            <w:pPr>
              <w:jc w:val="right"/>
              <w:ind w:right="3235"/>
              <w:spacing w:after="0"/>
              <w:rPr>
                <w:sz w:val="20"/>
                <w:szCs w:val="20"/>
                <w:color w:val="auto"/>
              </w:rPr>
            </w:pPr>
            <w:r>
              <w:rPr>
                <w:rFonts w:ascii="Arial" w:cs="Arial" w:eastAsia="Arial" w:hAnsi="Arial"/>
                <w:sz w:val="13"/>
                <w:szCs w:val="13"/>
                <w:color w:val="auto"/>
              </w:rPr>
              <w:t>119</w:t>
            </w:r>
          </w:p>
        </w:tc>
        <w:tc>
          <w:tcPr>
            <w:tcW w:w="238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660" w:type="dxa"/>
            <w:vAlign w:val="bottom"/>
            <w:tcBorders>
              <w:bottom w:val="single" w:sz="8" w:color="808080"/>
            </w:tcBorders>
          </w:tcPr>
          <w:p>
            <w:pPr>
              <w:spacing w:after="0"/>
              <w:rPr>
                <w:sz w:val="14"/>
                <w:szCs w:val="14"/>
                <w:color w:val="auto"/>
              </w:rPr>
            </w:pPr>
          </w:p>
        </w:tc>
        <w:tc>
          <w:tcPr>
            <w:tcW w:w="246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23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6259195</wp:posOffset>
            </wp:positionH>
            <wp:positionV relativeFrom="paragraph">
              <wp:posOffset>-3660140</wp:posOffset>
            </wp:positionV>
            <wp:extent cx="1270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2680" w:firstLine="2747"/>
        <w:spacing w:after="0" w:line="397" w:lineRule="auto"/>
        <w:rPr>
          <w:sz w:val="20"/>
          <w:szCs w:val="20"/>
          <w:color w:val="auto"/>
        </w:rPr>
      </w:pPr>
      <w:r>
        <w:rPr>
          <w:rFonts w:ascii="Arial" w:cs="Arial" w:eastAsia="Arial" w:hAnsi="Arial"/>
          <w:sz w:val="13"/>
          <w:szCs w:val="13"/>
          <w:b w:val="1"/>
          <w:bCs w:val="1"/>
          <w:color w:val="auto"/>
        </w:rPr>
        <w:t xml:space="preserve">REPORT OF INDEPENDENT REGISTERED PUBLIC ACCOUNTING FIRM </w:t>
      </w:r>
      <w:r>
        <w:rPr>
          <w:rFonts w:ascii="Arial" w:cs="Arial" w:eastAsia="Arial" w:hAnsi="Arial"/>
          <w:sz w:val="13"/>
          <w:szCs w:val="13"/>
          <w:color w:val="auto"/>
        </w:rPr>
        <w:t>The Board of Directors and Stockholders of Waste Management, Inc.</w:t>
      </w:r>
    </w:p>
    <w:p>
      <w:pPr>
        <w:spacing w:after="0" w:line="1"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We have audited the consolidated financial statements of Waste Management, Inc. as of December 31, 2007 and 2006, and for each of the three years in the period ended December 31, 2007, and have issued our report thereon dated February 18, 2008 (included elsewhere in this Form 10-K). Our audits also included the financial statement schedule listed in Item 15(a)(2) of this Form 10-K. This schedule is the responsibility of the Company’s management. Our responsibility is to express an opinion based on our audits.</w:t>
      </w:r>
    </w:p>
    <w:p>
      <w:pPr>
        <w:spacing w:after="0" w:line="5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our opinion, the financial statement schedule referred to above, when considered in relation to the basic financial statements taken as a whole, present fairly in all material respects the information set forth therein.</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18, 2008</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780"/>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(In millions)</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8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3"/>
              </w:rPr>
              <w:t>Balance</w:t>
            </w:r>
          </w:p>
        </w:tc>
        <w:tc>
          <w:tcPr>
            <w:tcW w:w="80" w:type="dxa"/>
            <w:vAlign w:val="bottom"/>
          </w:tcPr>
          <w:p>
            <w:pPr>
              <w:spacing w:after="0"/>
              <w:rPr>
                <w:sz w:val="10"/>
                <w:szCs w:val="10"/>
                <w:color w:val="auto"/>
              </w:rPr>
            </w:pPr>
          </w:p>
        </w:tc>
        <w:tc>
          <w:tcPr>
            <w:tcW w:w="110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3"/>
              </w:rPr>
              <w:t>Charged</w:t>
            </w: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7"/>
              </w:rPr>
              <w:t>Accounts</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Balance</w:t>
            </w: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rPr>
              <w:t>Written</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1"/>
              </w:rPr>
              <w:t>Beginning of</w:t>
            </w:r>
          </w:p>
        </w:tc>
        <w:tc>
          <w:tcPr>
            <w:tcW w:w="80" w:type="dxa"/>
            <w:vAlign w:val="bottom"/>
          </w:tcPr>
          <w:p>
            <w:pPr>
              <w:spacing w:after="0"/>
              <w:rPr>
                <w:sz w:val="9"/>
                <w:szCs w:val="9"/>
                <w:color w:val="auto"/>
              </w:rPr>
            </w:pPr>
          </w:p>
        </w:tc>
        <w:tc>
          <w:tcPr>
            <w:tcW w:w="11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(Credited) to</w:t>
            </w: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Off/Use of</w:t>
            </w:r>
          </w:p>
        </w:tc>
        <w:tc>
          <w:tcPr>
            <w:tcW w:w="900" w:type="dxa"/>
            <w:vAlign w:val="bottom"/>
            <w:gridSpan w:val="3"/>
            <w:vMerge w:val="restart"/>
          </w:tcPr>
          <w:p>
            <w:pPr>
              <w:jc w:val="right"/>
              <w:ind w:right="460"/>
              <w:spacing w:after="0"/>
              <w:rPr>
                <w:sz w:val="20"/>
                <w:szCs w:val="20"/>
                <w:color w:val="auto"/>
              </w:rPr>
            </w:pPr>
            <w:r>
              <w:rPr>
                <w:rFonts w:ascii="Arial" w:cs="Arial" w:eastAsia="Arial" w:hAnsi="Arial"/>
                <w:sz w:val="10"/>
                <w:szCs w:val="10"/>
                <w:b w:val="1"/>
                <w:bCs w:val="1"/>
                <w:color w:val="auto"/>
              </w:rPr>
              <w:t>Other(a)</w:t>
            </w:r>
          </w:p>
        </w:tc>
        <w:tc>
          <w:tcPr>
            <w:tcW w:w="480" w:type="dxa"/>
            <w:vAlign w:val="bottom"/>
            <w:gridSpan w:val="3"/>
          </w:tcPr>
          <w:p>
            <w:pPr>
              <w:ind w:left="40"/>
              <w:spacing w:after="0" w:line="108" w:lineRule="exact"/>
              <w:rPr>
                <w:sz w:val="20"/>
                <w:szCs w:val="20"/>
                <w:color w:val="auto"/>
              </w:rPr>
            </w:pPr>
            <w:r>
              <w:rPr>
                <w:rFonts w:ascii="Arial" w:cs="Arial" w:eastAsia="Arial" w:hAnsi="Arial"/>
                <w:sz w:val="10"/>
                <w:szCs w:val="10"/>
                <w:b w:val="1"/>
                <w:bCs w:val="1"/>
                <w:color w:val="auto"/>
              </w:rPr>
              <w:t>End of</w:t>
            </w: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2"/>
              </w:rPr>
              <w:t>Year</w:t>
            </w:r>
          </w:p>
        </w:tc>
        <w:tc>
          <w:tcPr>
            <w:tcW w:w="80" w:type="dxa"/>
            <w:vAlign w:val="bottom"/>
          </w:tcPr>
          <w:p>
            <w:pPr>
              <w:spacing w:after="0"/>
              <w:rPr>
                <w:sz w:val="10"/>
                <w:szCs w:val="10"/>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6"/>
              </w:rPr>
              <w:t>Income</w:t>
            </w: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2"/>
              </w:rPr>
              <w:t>Reserve</w:t>
            </w:r>
          </w:p>
        </w:tc>
        <w:tc>
          <w:tcPr>
            <w:tcW w:w="9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2"/>
              </w:rPr>
              <w:t>Year</w:t>
            </w: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2005</w:t>
            </w:r>
          </w:p>
        </w:tc>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Reserves for doubtful accounts(b)</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57"/>
        </w:trPr>
        <w:tc>
          <w:tcPr>
            <w:tcW w:w="280" w:type="dxa"/>
            <w:vAlign w:val="bottom"/>
          </w:tcPr>
          <w:p>
            <w:pPr>
              <w:jc w:val="right"/>
              <w:spacing w:after="0"/>
              <w:rPr>
                <w:sz w:val="20"/>
                <w:szCs w:val="20"/>
                <w:color w:val="auto"/>
              </w:rPr>
            </w:pPr>
            <w:r>
              <w:rPr>
                <w:rFonts w:ascii="Arial" w:cs="Arial" w:eastAsia="Arial" w:hAnsi="Arial"/>
                <w:sz w:val="13"/>
                <w:szCs w:val="13"/>
                <w:color w:val="auto"/>
                <w:w w:val="89"/>
              </w:rPr>
              <w:t>2006</w:t>
            </w:r>
          </w:p>
        </w:tc>
        <w:tc>
          <w:tcPr>
            <w:tcW w:w="4920" w:type="dxa"/>
            <w:vAlign w:val="bottom"/>
          </w:tcPr>
          <w:p>
            <w:pPr>
              <w:ind w:left="20"/>
              <w:spacing w:after="0"/>
              <w:rPr>
                <w:sz w:val="20"/>
                <w:szCs w:val="20"/>
                <w:color w:val="auto"/>
              </w:rPr>
            </w:pPr>
            <w:r>
              <w:rPr>
                <w:rFonts w:ascii="Arial" w:cs="Arial" w:eastAsia="Arial" w:hAnsi="Arial"/>
                <w:sz w:val="13"/>
                <w:szCs w:val="13"/>
                <w:color w:val="auto"/>
              </w:rPr>
              <w:t>— Reserves for doubtful accounts(b)</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62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42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(52)</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2007</w:t>
            </w:r>
          </w:p>
        </w:tc>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Reserves for doubtful accounts(b)</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(44)</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280" w:type="dxa"/>
            <w:vAlign w:val="bottom"/>
          </w:tcPr>
          <w:p>
            <w:pPr>
              <w:jc w:val="right"/>
              <w:spacing w:after="0"/>
              <w:rPr>
                <w:sz w:val="20"/>
                <w:szCs w:val="20"/>
                <w:color w:val="auto"/>
              </w:rPr>
            </w:pPr>
            <w:r>
              <w:rPr>
                <w:rFonts w:ascii="Arial" w:cs="Arial" w:eastAsia="Arial" w:hAnsi="Arial"/>
                <w:sz w:val="13"/>
                <w:szCs w:val="13"/>
                <w:color w:val="auto"/>
                <w:w w:val="89"/>
              </w:rPr>
              <w:t>2005</w:t>
            </w:r>
          </w:p>
        </w:tc>
        <w:tc>
          <w:tcPr>
            <w:tcW w:w="4920" w:type="dxa"/>
            <w:vAlign w:val="bottom"/>
          </w:tcPr>
          <w:p>
            <w:pPr>
              <w:ind w:left="20"/>
              <w:spacing w:after="0"/>
              <w:rPr>
                <w:sz w:val="20"/>
                <w:szCs w:val="20"/>
                <w:color w:val="auto"/>
              </w:rPr>
            </w:pPr>
            <w:r>
              <w:rPr>
                <w:rFonts w:ascii="Arial" w:cs="Arial" w:eastAsia="Arial" w:hAnsi="Arial"/>
                <w:sz w:val="13"/>
                <w:szCs w:val="13"/>
                <w:color w:val="auto"/>
              </w:rPr>
              <w:t>— Merger and restructuring accruals(c)</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28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(21)</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2006</w:t>
            </w:r>
          </w:p>
        </w:tc>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Merger and restructuring accruals(c)</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5"/>
        </w:trPr>
        <w:tc>
          <w:tcPr>
            <w:tcW w:w="280" w:type="dxa"/>
            <w:vAlign w:val="bottom"/>
          </w:tcPr>
          <w:p>
            <w:pPr>
              <w:jc w:val="right"/>
              <w:spacing w:after="0"/>
              <w:rPr>
                <w:sz w:val="20"/>
                <w:szCs w:val="20"/>
                <w:color w:val="auto"/>
              </w:rPr>
            </w:pPr>
            <w:r>
              <w:rPr>
                <w:rFonts w:ascii="Arial" w:cs="Arial" w:eastAsia="Arial" w:hAnsi="Arial"/>
                <w:sz w:val="13"/>
                <w:szCs w:val="13"/>
                <w:color w:val="auto"/>
                <w:w w:val="89"/>
              </w:rPr>
              <w:t>2007</w:t>
            </w:r>
          </w:p>
        </w:tc>
        <w:tc>
          <w:tcPr>
            <w:tcW w:w="4920" w:type="dxa"/>
            <w:vAlign w:val="bottom"/>
          </w:tcPr>
          <w:p>
            <w:pPr>
              <w:ind w:left="20"/>
              <w:spacing w:after="0"/>
              <w:rPr>
                <w:sz w:val="20"/>
                <w:szCs w:val="20"/>
                <w:color w:val="auto"/>
              </w:rPr>
            </w:pPr>
            <w:r>
              <w:rPr>
                <w:rFonts w:ascii="Arial" w:cs="Arial" w:eastAsia="Arial" w:hAnsi="Arial"/>
                <w:sz w:val="13"/>
                <w:szCs w:val="13"/>
                <w:color w:val="auto"/>
              </w:rPr>
              <w:t>— Merger and restructuring accruals(c)</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10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(7)</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180" w:right="260" w:hanging="493"/>
        <w:spacing w:after="0" w:line="276" w:lineRule="auto"/>
        <w:tabs>
          <w:tab w:leader="none" w:pos="11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Reserves for doubtful accounts related to acquired businesses, reserves associated with dispositions of businesses, reserves reclassified to operations held for sale, and reclasses among reserve accounts.</w:t>
      </w:r>
    </w:p>
    <w:p>
      <w:pPr>
        <w:spacing w:after="0" w:line="10" w:lineRule="exact"/>
        <w:rPr>
          <w:rFonts w:ascii="Arial" w:cs="Arial" w:eastAsia="Arial" w:hAnsi="Arial"/>
          <w:sz w:val="13"/>
          <w:szCs w:val="13"/>
          <w:color w:val="auto"/>
        </w:rPr>
      </w:pPr>
    </w:p>
    <w:p>
      <w:pPr>
        <w:ind w:left="1180" w:hanging="493"/>
        <w:spacing w:after="0"/>
        <w:tabs>
          <w:tab w:leader="none" w:pos="11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Includes reserves for doubtful accounts receivable and notes receivable.</w:t>
      </w:r>
    </w:p>
    <w:p>
      <w:pPr>
        <w:spacing w:after="0" w:line="47" w:lineRule="exact"/>
        <w:rPr>
          <w:rFonts w:ascii="Arial" w:cs="Arial" w:eastAsia="Arial" w:hAnsi="Arial"/>
          <w:sz w:val="13"/>
          <w:szCs w:val="13"/>
          <w:color w:val="auto"/>
        </w:rPr>
      </w:pPr>
    </w:p>
    <w:p>
      <w:pPr>
        <w:ind w:left="1180" w:hanging="493"/>
        <w:spacing w:after="0"/>
        <w:tabs>
          <w:tab w:leader="none" w:pos="11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Included in accrued liabilities in our Consolidated Balance Sheets. These accruals represent employee severance and benefit costs and transitional costs.</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40" w:type="dxa"/>
            <w:vAlign w:val="bottom"/>
          </w:tcPr>
          <w:p>
            <w:pPr>
              <w:spacing w:after="0"/>
              <w:rPr>
                <w:sz w:val="14"/>
                <w:szCs w:val="14"/>
                <w:color w:val="auto"/>
              </w:rPr>
            </w:pPr>
          </w:p>
        </w:tc>
        <w:tc>
          <w:tcPr>
            <w:tcW w:w="9720" w:type="dxa"/>
            <w:vAlign w:val="bottom"/>
            <w:gridSpan w:val="3"/>
          </w:tcPr>
          <w:p>
            <w:pPr>
              <w:ind w:left="3280"/>
              <w:spacing w:after="0"/>
              <w:rPr>
                <w:sz w:val="20"/>
                <w:szCs w:val="20"/>
                <w:color w:val="auto"/>
              </w:rPr>
            </w:pPr>
            <w:r>
              <w:rPr>
                <w:rFonts w:ascii="Arial" w:cs="Arial" w:eastAsia="Arial" w:hAnsi="Arial"/>
                <w:sz w:val="13"/>
                <w:szCs w:val="13"/>
                <w:b w:val="1"/>
                <w:bCs w:val="1"/>
                <w:color w:val="auto"/>
              </w:rPr>
              <w:t>INDEX TO EXHIBITS</w:t>
            </w:r>
          </w:p>
        </w:tc>
      </w:tr>
      <w:tr>
        <w:trPr>
          <w:trHeight w:val="296"/>
        </w:trPr>
        <w:tc>
          <w:tcPr>
            <w:tcW w:w="1740" w:type="dxa"/>
            <w:vAlign w:val="bottom"/>
          </w:tcPr>
          <w:p>
            <w:pPr>
              <w:jc w:val="right"/>
              <w:spacing w:after="0"/>
              <w:rPr>
                <w:sz w:val="20"/>
                <w:szCs w:val="20"/>
                <w:color w:val="auto"/>
              </w:rPr>
            </w:pPr>
            <w:r>
              <w:rPr>
                <w:rFonts w:ascii="Arial" w:cs="Arial" w:eastAsia="Arial" w:hAnsi="Arial"/>
                <w:sz w:val="10"/>
                <w:szCs w:val="10"/>
                <w:b w:val="1"/>
                <w:bCs w:val="1"/>
                <w:color w:val="auto"/>
              </w:rPr>
              <w:t>Exhibit No.*</w:t>
            </w:r>
          </w:p>
        </w:tc>
        <w:tc>
          <w:tcPr>
            <w:tcW w:w="4540" w:type="dxa"/>
            <w:vAlign w:val="bottom"/>
          </w:tcPr>
          <w:p>
            <w:pPr>
              <w:spacing w:after="0"/>
              <w:rPr>
                <w:sz w:val="24"/>
                <w:szCs w:val="24"/>
                <w:color w:val="auto"/>
              </w:rPr>
            </w:pPr>
          </w:p>
        </w:tc>
        <w:tc>
          <w:tcPr>
            <w:tcW w:w="5180" w:type="dxa"/>
            <w:vAlign w:val="bottom"/>
            <w:gridSpan w:val="2"/>
          </w:tcPr>
          <w:p>
            <w:pPr>
              <w:ind w:left="20"/>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1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178"/>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3.1</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Second Amended and Restated Certificate of Incorporation [Incorporated by reference to Exhibit 3.1 to Form 10-Q for the quarter ended June 30, 2002].</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3.2</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Amended and Restated Bylaws [Incorporated by reference to Exhibit 3.2 to Form 8-K dated March 1, 2007].</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4.1</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Specimen Stock Certificate [Incorporated by reference to Exhibit 4.1 to Form 10-K for the year ended December 31, 1998].</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4.2</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w w:val="99"/>
              </w:rPr>
              <w:t>—  Indenture for Subordinated Debt Securities dated February 1, 1997, among the Registrant and Texas Commerce Bank National Association, as trustee [Incorporated</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by reference to Exhibit 4.1 to Form 8-K dated February 7, 1997].</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4.3</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Indenture for Senior Debt Securities dated September 10, 1997, among the Registrant and Texas Commerce Bank National Association, as trustee [Incorporated by</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reference to Exhibit 4.1 to Form 8-K dated September 10, 1997].</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10.1</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2004 Stock Incentive Plan [Incorporated by reference to Appendix C-1 to the Proxy Statement for the 2004 Annual Meeting of Stockholders].</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10.2</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2005 Annual Incentive Plan [Incorporated by reference to Appendix D-1 to the Proxy Statement for the 2004 Annual Meeting of Stockholders].</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10.3</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1997 Employee Stock Purchase Plan [Incorporated by reference to Appendix C to the Proxy Statement for the 2006 Annual Meeting of Stockholders].</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10.4</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Waste Management, Inc. 409A Deferral Savings Plan. [Incorporated by reference to Exhibit 10.4 to Form 10-K for the year ended December 31, 2006].</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10.5</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$2.4 Billion Revolving Credit Agreement by and among Waste Management, Inc. and Waste Management Holdings, Inc. and certain banks party thereto and</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Citibank, N.A. as Administrative Agent, JP Morgan Chase Bank, N.A. and Bank of America, N.A., as Syndication Agents and Barclays Bank PLC and Deutsche</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Bank Securities Inc. as Documentation Agents and J.P. Morgan Securities Inc. and Banc of America Securities LLC, as Lead Arrangers and Bookrunners dated</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August 17, 2006. [Incorporated by reference to Exhibit 10.1 to Form 10-Q for the quarter ended September 30, 2006].</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10.6</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Ten-Year Letter of Credit and Term Loan Agreement among the Company, Waste Management Holdings, Inc., and Bank of America, N.A., as Administrative Agent</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and Letter of Credit Issuer and the Lenders party thereto, dated as of June 30, 2003. [Incorporated by reference to Exhibit 10.2 to Form 10-Q for the quarter ended</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June 30, 2003].</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10.7</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Five-Year Letter of Credit and Term Loan Agreement among the Company, Waste Management Holdings, Inc., and Bank of America, N.A., as administrative Agent</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and Letter of Credit Issuer and the Lenders party thereto, dated as of June 30, 2003. [Incorporated by reference to Exhibit 10.3 to Form 10-Q for the quarter ended</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June 30, 2003].</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10.8</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Seven-Year Letter of Credit and Term Loan Agreement among the Company, Waste Management Holdings, Inc., and Bank of America, N.A., as Administrative</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Agent and Letter of Credit Issuer and the Lenders party thereto, dated as of June 30, 2003. [Incorporated by reference to Exhibit 10.4 to Form 10-Q for the quarter</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ended June 30, 2003].</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10.9</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Reimbursement Agreement between the Company and Oakmont Asset Trust, dated as of December 22, 2003. [Incorporated by reference to Exhibit 10.10 to Form</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10-K for the year ended December 31, 2003].</w:t>
            </w:r>
          </w:p>
        </w:tc>
      </w:tr>
      <w:tr>
        <w:trPr>
          <w:trHeight w:val="157"/>
        </w:trPr>
        <w:tc>
          <w:tcPr>
            <w:tcW w:w="1740" w:type="dxa"/>
            <w:vAlign w:val="bottom"/>
          </w:tcPr>
          <w:p>
            <w:pPr>
              <w:jc w:val="right"/>
              <w:ind w:right="295"/>
              <w:spacing w:after="0"/>
              <w:rPr>
                <w:sz w:val="20"/>
                <w:szCs w:val="20"/>
                <w:color w:val="auto"/>
              </w:rPr>
            </w:pPr>
            <w:r>
              <w:rPr>
                <w:rFonts w:ascii="Arial" w:cs="Arial" w:eastAsia="Arial" w:hAnsi="Arial"/>
                <w:sz w:val="13"/>
                <w:szCs w:val="13"/>
                <w:color w:val="auto"/>
              </w:rPr>
              <w:t>10.10</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2003 Waste Management, Inc. Directors Deferred Compensation Plan [Incorporated by reference to Exhibit 10.5 to Form 10-Q for the quarter ended June 30, 2003].</w:t>
            </w:r>
          </w:p>
        </w:tc>
      </w:tr>
      <w:tr>
        <w:trPr>
          <w:trHeight w:val="157"/>
        </w:trPr>
        <w:tc>
          <w:tcPr>
            <w:tcW w:w="1740" w:type="dxa"/>
            <w:vAlign w:val="bottom"/>
          </w:tcPr>
          <w:p>
            <w:pPr>
              <w:jc w:val="right"/>
              <w:ind w:right="295"/>
              <w:spacing w:after="0"/>
              <w:rPr>
                <w:sz w:val="20"/>
                <w:szCs w:val="20"/>
                <w:color w:val="auto"/>
              </w:rPr>
            </w:pPr>
            <w:r>
              <w:rPr>
                <w:rFonts w:ascii="Arial" w:cs="Arial" w:eastAsia="Arial" w:hAnsi="Arial"/>
                <w:sz w:val="13"/>
                <w:szCs w:val="13"/>
                <w:color w:val="auto"/>
              </w:rPr>
              <w:t>10.11</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Employment Agreement between the Company and Cherie C. Rice dated August 26, 2005 [Incorporated by reference to Exhibit 99.1 to Form 8-K dated August 26,</w:t>
            </w:r>
          </w:p>
        </w:tc>
      </w:tr>
      <w:tr>
        <w:trPr>
          <w:trHeight w:val="157"/>
        </w:trPr>
        <w:tc>
          <w:tcPr>
            <w:tcW w:w="1740" w:type="dxa"/>
            <w:vAlign w:val="bottom"/>
          </w:tcPr>
          <w:p>
            <w:pPr>
              <w:spacing w:after="0"/>
              <w:rPr>
                <w:sz w:val="13"/>
                <w:szCs w:val="13"/>
                <w:color w:val="auto"/>
              </w:rPr>
            </w:pPr>
          </w:p>
        </w:tc>
        <w:tc>
          <w:tcPr>
            <w:tcW w:w="4540" w:type="dxa"/>
            <w:vAlign w:val="bottom"/>
          </w:tcPr>
          <w:p>
            <w:pPr>
              <w:ind w:left="260"/>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3"/>
                <w:szCs w:val="13"/>
                <w:color w:val="auto"/>
              </w:rPr>
            </w:pPr>
          </w:p>
        </w:tc>
        <w:tc>
          <w:tcPr>
            <w:tcW w:w="5080" w:type="dxa"/>
            <w:vAlign w:val="bottom"/>
          </w:tcPr>
          <w:p>
            <w:pPr>
              <w:spacing w:after="0"/>
              <w:rPr>
                <w:sz w:val="13"/>
                <w:szCs w:val="13"/>
                <w:color w:val="auto"/>
              </w:rPr>
            </w:pPr>
          </w:p>
        </w:tc>
      </w:tr>
      <w:tr>
        <w:trPr>
          <w:trHeight w:val="157"/>
        </w:trPr>
        <w:tc>
          <w:tcPr>
            <w:tcW w:w="1740" w:type="dxa"/>
            <w:vAlign w:val="bottom"/>
          </w:tcPr>
          <w:p>
            <w:pPr>
              <w:jc w:val="right"/>
              <w:ind w:right="295"/>
              <w:spacing w:after="0"/>
              <w:rPr>
                <w:sz w:val="20"/>
                <w:szCs w:val="20"/>
                <w:color w:val="auto"/>
              </w:rPr>
            </w:pPr>
            <w:r>
              <w:rPr>
                <w:rFonts w:ascii="Arial" w:cs="Arial" w:eastAsia="Arial" w:hAnsi="Arial"/>
                <w:sz w:val="13"/>
                <w:szCs w:val="13"/>
                <w:color w:val="auto"/>
              </w:rPr>
              <w:t>10.12</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Employment Agreement between the Company and Greg A. Robertson dated August 1, 2003 [Incorporated by reference to Exhibit 10.2 to Form 10-Q for the</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quarter ended June 30, 2004].</w:t>
            </w:r>
          </w:p>
        </w:tc>
      </w:tr>
      <w:tr>
        <w:trPr>
          <w:trHeight w:val="157"/>
        </w:trPr>
        <w:tc>
          <w:tcPr>
            <w:tcW w:w="1740" w:type="dxa"/>
            <w:vAlign w:val="bottom"/>
          </w:tcPr>
          <w:p>
            <w:pPr>
              <w:jc w:val="right"/>
              <w:ind w:right="295"/>
              <w:spacing w:after="0"/>
              <w:rPr>
                <w:sz w:val="20"/>
                <w:szCs w:val="20"/>
                <w:color w:val="auto"/>
              </w:rPr>
            </w:pPr>
            <w:r>
              <w:rPr>
                <w:rFonts w:ascii="Arial" w:cs="Arial" w:eastAsia="Arial" w:hAnsi="Arial"/>
                <w:sz w:val="13"/>
                <w:szCs w:val="13"/>
                <w:color w:val="auto"/>
              </w:rPr>
              <w:t>10.13</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Employment Agreement between the Company and Lawrence O’Donnell III dated January 21, 2000 [Incorporated by reference to Exhibit 10.1 to Form 10-Q for the</w:t>
            </w:r>
          </w:p>
        </w:tc>
      </w:tr>
      <w:tr>
        <w:trPr>
          <w:trHeight w:val="165"/>
        </w:trPr>
        <w:tc>
          <w:tcPr>
            <w:tcW w:w="1740" w:type="dxa"/>
            <w:vAlign w:val="bottom"/>
          </w:tcPr>
          <w:p>
            <w:pPr>
              <w:spacing w:after="0"/>
              <w:rPr>
                <w:sz w:val="14"/>
                <w:szCs w:val="14"/>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quarter ended June 30, 2000].</w:t>
            </w:r>
          </w:p>
        </w:tc>
      </w:tr>
      <w:tr>
        <w:trPr>
          <w:trHeight w:val="452"/>
        </w:trPr>
        <w:tc>
          <w:tcPr>
            <w:tcW w:w="1740" w:type="dxa"/>
            <w:vAlign w:val="bottom"/>
          </w:tcPr>
          <w:p>
            <w:pPr>
              <w:spacing w:after="0"/>
              <w:rPr>
                <w:sz w:val="24"/>
                <w:szCs w:val="24"/>
                <w:color w:val="auto"/>
              </w:rPr>
            </w:pPr>
          </w:p>
        </w:tc>
        <w:tc>
          <w:tcPr>
            <w:tcW w:w="4540" w:type="dxa"/>
            <w:vAlign w:val="bottom"/>
          </w:tcPr>
          <w:p>
            <w:pPr>
              <w:ind w:left="3840"/>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63"/>
        </w:trPr>
        <w:tc>
          <w:tcPr>
            <w:tcW w:w="1740" w:type="dxa"/>
            <w:vAlign w:val="bottom"/>
            <w:tcBorders>
              <w:bottom w:val="single" w:sz="8" w:color="808080"/>
            </w:tcBorders>
          </w:tcPr>
          <w:p>
            <w:pPr>
              <w:spacing w:after="0"/>
              <w:rPr>
                <w:sz w:val="14"/>
                <w:szCs w:val="14"/>
                <w:color w:val="auto"/>
              </w:rPr>
            </w:pPr>
          </w:p>
        </w:tc>
        <w:tc>
          <w:tcPr>
            <w:tcW w:w="4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-3728720</wp:posOffset>
            </wp:positionV>
            <wp:extent cx="635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135"/>
        </w:trPr>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Exhibit No.*</w:t>
            </w:r>
          </w:p>
        </w:tc>
        <w:tc>
          <w:tcPr>
            <w:tcW w:w="4540" w:type="dxa"/>
            <w:vAlign w:val="bottom"/>
          </w:tcPr>
          <w:p>
            <w:pPr>
              <w:spacing w:after="0"/>
              <w:rPr>
                <w:sz w:val="11"/>
                <w:szCs w:val="11"/>
                <w:color w:val="auto"/>
              </w:rPr>
            </w:pPr>
          </w:p>
        </w:tc>
        <w:tc>
          <w:tcPr>
            <w:tcW w:w="4380" w:type="dxa"/>
            <w:vAlign w:val="bottom"/>
            <w:gridSpan w:val="2"/>
          </w:tcPr>
          <w:p>
            <w:pPr>
              <w:ind w:left="20"/>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6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178"/>
        </w:trPr>
        <w:tc>
          <w:tcPr>
            <w:tcW w:w="660" w:type="dxa"/>
            <w:vAlign w:val="bottom"/>
          </w:tcPr>
          <w:p>
            <w:pPr>
              <w:spacing w:after="0"/>
              <w:rPr>
                <w:sz w:val="20"/>
                <w:szCs w:val="20"/>
                <w:color w:val="auto"/>
              </w:rPr>
            </w:pPr>
            <w:r>
              <w:rPr>
                <w:rFonts w:ascii="Arial" w:cs="Arial" w:eastAsia="Arial" w:hAnsi="Arial"/>
                <w:sz w:val="13"/>
                <w:szCs w:val="13"/>
                <w:color w:val="auto"/>
              </w:rPr>
              <w:t>10.14</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2"/>
              </w:rPr>
              <w:t>—  Employment Agreement between the Company and Lynn M. Caddell dated March 12, 2004 [Incorporated by reference to Exhibit 10.1 to Form 10-Q for the quarter</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ended March 31, 2004].</w:t>
            </w: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10.15</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4"/>
              </w:rPr>
              <w:t>—  Employment Agreement between the Company and Duane C. Woods dated October 20, 2004 [Incorporated by reference to Form 8-K dated October 20, 2004].</w:t>
            </w: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10.16</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3"/>
              </w:rPr>
              <w:t>—  Employment Agreement between the Company and David Steiner dated as of May 6, 2002 [Incorporated by reference to Exhibit 10.1 to Form 10-Q for the quarter</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ended March 31, 2002].</w:t>
            </w: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10.17</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2"/>
              </w:rPr>
              <w:t>—  Employment Agreement between the Company and James E. Trevathan dated as of June 1, 2000. [Incorporated by reference to Exhibit 10.19 to Form 10-K for the</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year ended December 31, 2000].</w:t>
            </w: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10.18</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4"/>
              </w:rPr>
              <w:t>—  Employment Agreement between Recycle America Alliance, LLC and Patrick DeRueda dated as of August 4, 2005 [Incorporated by reference to Exhibit 99.1 to</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Form 8-K dated August 8, 2005].</w:t>
            </w: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10.19</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4"/>
              </w:rPr>
              <w:t>—  Employment Agreement between the Company and Robert G. Simpson dated as of October 20, 2004 [Incorporated by reference to Form 8-K dated October 20,</w:t>
            </w:r>
          </w:p>
        </w:tc>
      </w:tr>
      <w:tr>
        <w:trPr>
          <w:trHeight w:val="157"/>
        </w:trPr>
        <w:tc>
          <w:tcPr>
            <w:tcW w:w="660" w:type="dxa"/>
            <w:vAlign w:val="bottom"/>
          </w:tcPr>
          <w:p>
            <w:pPr>
              <w:spacing w:after="0"/>
              <w:rPr>
                <w:sz w:val="13"/>
                <w:szCs w:val="13"/>
                <w:color w:val="auto"/>
              </w:rPr>
            </w:pPr>
          </w:p>
        </w:tc>
        <w:tc>
          <w:tcPr>
            <w:tcW w:w="4540" w:type="dxa"/>
            <w:vAlign w:val="bottom"/>
          </w:tcPr>
          <w:p>
            <w:pPr>
              <w:ind w:left="260"/>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3"/>
                <w:szCs w:val="13"/>
                <w:color w:val="auto"/>
              </w:rPr>
            </w:pPr>
          </w:p>
        </w:tc>
        <w:tc>
          <w:tcPr>
            <w:tcW w:w="4280" w:type="dxa"/>
            <w:vAlign w:val="bottom"/>
          </w:tcPr>
          <w:p>
            <w:pPr>
              <w:spacing w:after="0"/>
              <w:rPr>
                <w:sz w:val="13"/>
                <w:szCs w:val="13"/>
                <w:color w:val="auto"/>
              </w:rPr>
            </w:pP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10.20</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2"/>
              </w:rPr>
              <w:t>—  Employment Agreement between the Company and Barry H. Caldwell dated as of September 23, 2002 [Incorporated by reference to Exhibit 10.24 to Form 10-K for</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the year ended December 31, 2002].</w:t>
            </w: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10.21</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4"/>
              </w:rPr>
              <w:t>—  Employment Agreement between the Company and David Aardsma dated June 16, 2005 [Incorporated by reference to Exhibit 99.1 to Form 8-K dated June 22,</w:t>
            </w:r>
          </w:p>
        </w:tc>
      </w:tr>
      <w:tr>
        <w:trPr>
          <w:trHeight w:val="157"/>
        </w:trPr>
        <w:tc>
          <w:tcPr>
            <w:tcW w:w="660" w:type="dxa"/>
            <w:vAlign w:val="bottom"/>
          </w:tcPr>
          <w:p>
            <w:pPr>
              <w:spacing w:after="0"/>
              <w:rPr>
                <w:sz w:val="13"/>
                <w:szCs w:val="13"/>
                <w:color w:val="auto"/>
              </w:rPr>
            </w:pPr>
          </w:p>
        </w:tc>
        <w:tc>
          <w:tcPr>
            <w:tcW w:w="4540" w:type="dxa"/>
            <w:vAlign w:val="bottom"/>
          </w:tcPr>
          <w:p>
            <w:pPr>
              <w:ind w:left="260"/>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3"/>
                <w:szCs w:val="13"/>
                <w:color w:val="auto"/>
              </w:rPr>
            </w:pPr>
          </w:p>
        </w:tc>
        <w:tc>
          <w:tcPr>
            <w:tcW w:w="4280" w:type="dxa"/>
            <w:vAlign w:val="bottom"/>
          </w:tcPr>
          <w:p>
            <w:pPr>
              <w:spacing w:after="0"/>
              <w:rPr>
                <w:sz w:val="13"/>
                <w:szCs w:val="13"/>
                <w:color w:val="auto"/>
              </w:rPr>
            </w:pP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10.22</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3"/>
              </w:rPr>
              <w:t>—  Employment Agreement between the Company and Rick L Wittenbraker dated as of November 10, 2003 [Incorporated by reference to Exhibit 10.30 to Form 10-K</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for the year ended December 31, 2003].</w:t>
            </w: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10.23</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2"/>
              </w:rPr>
              <w:t>—  Employment Agreement between Wheelabrator Technologies Inc. and Mark A. Weidman dated May 11, 2006. [Incorporated by reference to Exhibit 10.1 to Form 8-</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K dated May 11, 2006].</w:t>
            </w: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10.24</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2"/>
              </w:rPr>
              <w:t>—  Employment Agreement between the Company and Jeff Harris dated December 1, 2006. [Incorporated by reference to Exhibit 10.1 to Form 8-K dated December 1,</w:t>
            </w:r>
          </w:p>
        </w:tc>
      </w:tr>
      <w:tr>
        <w:trPr>
          <w:trHeight w:val="157"/>
        </w:trPr>
        <w:tc>
          <w:tcPr>
            <w:tcW w:w="660" w:type="dxa"/>
            <w:vAlign w:val="bottom"/>
          </w:tcPr>
          <w:p>
            <w:pPr>
              <w:spacing w:after="0"/>
              <w:rPr>
                <w:sz w:val="13"/>
                <w:szCs w:val="13"/>
                <w:color w:val="auto"/>
              </w:rPr>
            </w:pPr>
          </w:p>
        </w:tc>
        <w:tc>
          <w:tcPr>
            <w:tcW w:w="4540" w:type="dxa"/>
            <w:vAlign w:val="bottom"/>
          </w:tcPr>
          <w:p>
            <w:pPr>
              <w:ind w:left="260"/>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3"/>
                <w:szCs w:val="13"/>
                <w:color w:val="auto"/>
              </w:rPr>
            </w:pPr>
          </w:p>
        </w:tc>
        <w:tc>
          <w:tcPr>
            <w:tcW w:w="4280" w:type="dxa"/>
            <w:vAlign w:val="bottom"/>
          </w:tcPr>
          <w:p>
            <w:pPr>
              <w:spacing w:after="0"/>
              <w:rPr>
                <w:sz w:val="13"/>
                <w:szCs w:val="13"/>
                <w:color w:val="auto"/>
              </w:rPr>
            </w:pP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10.25</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4"/>
              </w:rPr>
              <w:t>—  Employment Agreement between the Company and Michael Jay Romans dated January 25, 2007. [Incorporated by reference to Exhibit 10.1 to Form 8-K dated</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January 25, 2007].</w:t>
            </w: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10.26</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2"/>
              </w:rPr>
              <w:t>—  Employment Agreement between Waste Management, Inc. and Brett Frazier dated July 13, 2007 [Incorporated by reference to Exhibit 10.1 to Form 8-K dated July</w:t>
            </w:r>
          </w:p>
        </w:tc>
      </w:tr>
      <w:tr>
        <w:trPr>
          <w:trHeight w:val="157"/>
        </w:trPr>
        <w:tc>
          <w:tcPr>
            <w:tcW w:w="660" w:type="dxa"/>
            <w:vAlign w:val="bottom"/>
          </w:tcPr>
          <w:p>
            <w:pPr>
              <w:spacing w:after="0"/>
              <w:rPr>
                <w:sz w:val="13"/>
                <w:szCs w:val="13"/>
                <w:color w:val="auto"/>
              </w:rPr>
            </w:pPr>
          </w:p>
        </w:tc>
        <w:tc>
          <w:tcPr>
            <w:tcW w:w="4540" w:type="dxa"/>
            <w:vAlign w:val="bottom"/>
          </w:tcPr>
          <w:p>
            <w:pPr>
              <w:ind w:left="260"/>
              <w:spacing w:after="0"/>
              <w:rPr>
                <w:sz w:val="20"/>
                <w:szCs w:val="20"/>
                <w:color w:val="auto"/>
              </w:rPr>
            </w:pPr>
            <w:r>
              <w:rPr>
                <w:rFonts w:ascii="Arial" w:cs="Arial" w:eastAsia="Arial" w:hAnsi="Arial"/>
                <w:sz w:val="13"/>
                <w:szCs w:val="13"/>
                <w:color w:val="auto"/>
              </w:rPr>
              <w:t>13, 2007].</w:t>
            </w:r>
          </w:p>
        </w:tc>
        <w:tc>
          <w:tcPr>
            <w:tcW w:w="100" w:type="dxa"/>
            <w:vAlign w:val="bottom"/>
          </w:tcPr>
          <w:p>
            <w:pPr>
              <w:spacing w:after="0"/>
              <w:rPr>
                <w:sz w:val="13"/>
                <w:szCs w:val="13"/>
                <w:color w:val="auto"/>
              </w:rPr>
            </w:pPr>
          </w:p>
        </w:tc>
        <w:tc>
          <w:tcPr>
            <w:tcW w:w="4280" w:type="dxa"/>
            <w:vAlign w:val="bottom"/>
          </w:tcPr>
          <w:p>
            <w:pPr>
              <w:spacing w:after="0"/>
              <w:rPr>
                <w:sz w:val="13"/>
                <w:szCs w:val="13"/>
                <w:color w:val="auto"/>
              </w:rPr>
            </w:pP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10.27</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1"/>
              </w:rPr>
              <w:t>—  CDN $410,000,000 Credit Facility Credit Agreement by and between Waste Management of Canada Corporation (as Borrower), Waste Management, Inc. and Waste</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w w:val="92"/>
              </w:rPr>
              <w:t>Management Holdings, Inc. (as Guarantors), BNP Paribas Securities Corp. and Scotia Capital (as Lead Arrangers and Book Runners) and Bank of Nova Scotia (as</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w w:val="94"/>
              </w:rPr>
              <w:t>Administrative Agent) and the Lenders from time to time party to the Agreement dated as of November 30, 2005. [Incorporated by reference to Exhibit 10.32 to</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Form 10-K for the year ended December 31, 2005].</w:t>
            </w: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10.28*</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1"/>
              </w:rPr>
              <w:t>—  First Amendment Agreement dated as of December 21, 2007 to a Credit Agreement dated as of November 30, 2005 by and between Waste Management of Canada</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w w:val="91"/>
              </w:rPr>
              <w:t>Corporation as borrower, Waste Management, Inc. and Waste Management Holdings, Inc. as guarantors, the lenders from time to time party thereto and the Bank of</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Nova Scotia as Administrative Agent.</w:t>
            </w: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12.1*</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rPr>
              <w:t>—  Computation of Ratio of Earnings to Fixed Charges.</w:t>
            </w: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21.1*</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rPr>
              <w:t>—  Subsidiaries of the Registrant.</w:t>
            </w: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23.1*</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rPr>
              <w:t>—  Consent of Independent Registered Public Accounting Firm.</w:t>
            </w: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31.1*</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rPr>
              <w:t>—  Certification Pursuant to Rule 15d-14(a) under the Securities Exchange Act of 1934, as amended, of David P. Steiner, Chief Executive Officer.</w:t>
            </w: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31.2*</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2"/>
              </w:rPr>
              <w:t>—  Certification Pursuant to Rule 15d-14(a) under the Securities Exchange Act of 1934, as amended, of Robert G. Simpson, Senior Vice President and Chief Financial</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Officer.</w:t>
            </w:r>
          </w:p>
        </w:tc>
      </w:tr>
      <w:tr>
        <w:trPr>
          <w:trHeight w:val="157"/>
        </w:trPr>
        <w:tc>
          <w:tcPr>
            <w:tcW w:w="660" w:type="dxa"/>
            <w:vAlign w:val="bottom"/>
          </w:tcPr>
          <w:p>
            <w:pPr>
              <w:spacing w:after="0"/>
              <w:rPr>
                <w:sz w:val="20"/>
                <w:szCs w:val="20"/>
                <w:color w:val="auto"/>
              </w:rPr>
            </w:pPr>
            <w:r>
              <w:rPr>
                <w:rFonts w:ascii="Arial" w:cs="Arial" w:eastAsia="Arial" w:hAnsi="Arial"/>
                <w:sz w:val="13"/>
                <w:szCs w:val="13"/>
                <w:color w:val="auto"/>
              </w:rPr>
              <w:t>32.1*</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rPr>
              <w:t>—  Certification Pursuant to 18 U.S.C. §1350 of David P. Steiner, Chief Executive Officer.</w:t>
            </w:r>
          </w:p>
        </w:tc>
      </w:tr>
      <w:tr>
        <w:trPr>
          <w:trHeight w:val="165"/>
        </w:trPr>
        <w:tc>
          <w:tcPr>
            <w:tcW w:w="660" w:type="dxa"/>
            <w:vAlign w:val="bottom"/>
          </w:tcPr>
          <w:p>
            <w:pPr>
              <w:spacing w:after="0"/>
              <w:rPr>
                <w:sz w:val="20"/>
                <w:szCs w:val="20"/>
                <w:color w:val="auto"/>
              </w:rPr>
            </w:pPr>
            <w:r>
              <w:rPr>
                <w:rFonts w:ascii="Arial" w:cs="Arial" w:eastAsia="Arial" w:hAnsi="Arial"/>
                <w:sz w:val="13"/>
                <w:szCs w:val="13"/>
                <w:color w:val="auto"/>
              </w:rPr>
              <w:t>32.2*</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rPr>
              <w:t>—  Certification Pursuant to 18 U.S.C. §1350 of Robert G. Simpson, Senior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-4024630</wp:posOffset>
            </wp:positionV>
            <wp:extent cx="635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spacing w:after="0"/>
        <w:tabs>
          <w:tab w:leader="none" w:pos="11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Filed herewith.</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123</w:t>
      </w:r>
    </w:p>
    <w:p>
      <w:pPr>
        <w:sectPr>
          <w:pgSz w:w="11900" w:h="16838" w:orient="portrait"/>
          <w:cols w:equalWidth="0" w:num="1">
            <w:col w:w="10660"/>
          </w:cols>
          <w:pgMar w:left="220" w:top="343" w:right="10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3"/>
          <w:szCs w:val="13"/>
          <w:b w:val="1"/>
          <w:bCs w:val="1"/>
          <w:color w:val="auto"/>
        </w:rPr>
        <w:t>Exhibit 10.28</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auto"/>
        </w:rPr>
        <w:t>EXECUTION VERSION</w:t>
      </w:r>
    </w:p>
    <w:p>
      <w:pPr>
        <w:spacing w:after="0" w:line="82"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 xml:space="preserve">THIS FIRST AMENDMENT AGREEMENT </w:t>
      </w:r>
      <w:r>
        <w:rPr>
          <w:rFonts w:ascii="Arial" w:cs="Arial" w:eastAsia="Arial" w:hAnsi="Arial"/>
          <w:sz w:val="13"/>
          <w:szCs w:val="13"/>
          <w:color w:val="auto"/>
        </w:rPr>
        <w:t>is dated as of the 21st day of December, 2007.</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B E T W E E 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OF CANADA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 Nova Scotia unlimited liability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9"/>
          <w:szCs w:val="9"/>
          <w:b w:val="1"/>
          <w:bCs w:val="1"/>
          <w:color w:val="auto"/>
        </w:rPr>
        <w:t xml:space="preserve">AS </w:t>
      </w:r>
      <w:r>
        <w:rPr>
          <w:rFonts w:ascii="Arial" w:cs="Arial" w:eastAsia="Arial" w:hAnsi="Arial"/>
          <w:sz w:val="13"/>
          <w:szCs w:val="13"/>
          <w:b w:val="1"/>
          <w:bCs w:val="1"/>
          <w:color w:val="auto"/>
        </w:rPr>
        <w:t>B</w:t>
      </w:r>
      <w:r>
        <w:rPr>
          <w:rFonts w:ascii="Arial" w:cs="Arial" w:eastAsia="Arial" w:hAnsi="Arial"/>
          <w:sz w:val="9"/>
          <w:szCs w:val="9"/>
          <w:b w:val="1"/>
          <w:bCs w:val="1"/>
          <w:color w:val="auto"/>
        </w:rPr>
        <w:t>ORROWER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and -</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GUARANTORS FROM TIME TO TIME PARTY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TO THE 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9"/>
          <w:szCs w:val="9"/>
          <w:b w:val="1"/>
          <w:bCs w:val="1"/>
          <w:color w:val="auto"/>
        </w:rPr>
        <w:t xml:space="preserve">AS </w:t>
      </w:r>
      <w:r>
        <w:rPr>
          <w:rFonts w:ascii="Arial" w:cs="Arial" w:eastAsia="Arial" w:hAnsi="Arial"/>
          <w:sz w:val="13"/>
          <w:szCs w:val="13"/>
          <w:b w:val="1"/>
          <w:bCs w:val="1"/>
          <w:color w:val="auto"/>
        </w:rPr>
        <w:t>G</w:t>
      </w:r>
      <w:r>
        <w:rPr>
          <w:rFonts w:ascii="Arial" w:cs="Arial" w:eastAsia="Arial" w:hAnsi="Arial"/>
          <w:sz w:val="9"/>
          <w:szCs w:val="9"/>
          <w:b w:val="1"/>
          <w:bCs w:val="1"/>
          <w:color w:val="auto"/>
        </w:rPr>
        <w:t>UARANTORS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and -</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LENDERS FROM TIME TO TIME PARTY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TO THE 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9"/>
          <w:szCs w:val="9"/>
          <w:b w:val="1"/>
          <w:bCs w:val="1"/>
          <w:color w:val="auto"/>
        </w:rPr>
        <w:t xml:space="preserve">AS </w:t>
      </w:r>
      <w:r>
        <w:rPr>
          <w:rFonts w:ascii="Arial" w:cs="Arial" w:eastAsia="Arial" w:hAnsi="Arial"/>
          <w:sz w:val="13"/>
          <w:szCs w:val="13"/>
          <w:b w:val="1"/>
          <w:bCs w:val="1"/>
          <w:color w:val="auto"/>
        </w:rPr>
        <w:t>L</w:t>
      </w:r>
      <w:r>
        <w:rPr>
          <w:rFonts w:ascii="Arial" w:cs="Arial" w:eastAsia="Arial" w:hAnsi="Arial"/>
          <w:sz w:val="9"/>
          <w:szCs w:val="9"/>
          <w:b w:val="1"/>
          <w:bCs w:val="1"/>
          <w:color w:val="auto"/>
        </w:rPr>
        <w:t>ENDERS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and -</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BANK OF NOVA SCOTIA</w:t>
      </w:r>
    </w:p>
    <w:p>
      <w:pPr>
        <w:spacing w:after="0" w:line="19" w:lineRule="exact"/>
        <w:rPr>
          <w:sz w:val="20"/>
          <w:szCs w:val="20"/>
          <w:color w:val="auto"/>
        </w:rPr>
      </w:pPr>
    </w:p>
    <w:p>
      <w:pPr>
        <w:ind w:left="4501"/>
        <w:spacing w:after="0"/>
        <w:rPr>
          <w:sz w:val="20"/>
          <w:szCs w:val="20"/>
          <w:color w:val="auto"/>
        </w:rPr>
      </w:pPr>
      <w:r>
        <w:rPr>
          <w:rFonts w:ascii="Arial" w:cs="Arial" w:eastAsia="Arial" w:hAnsi="Arial"/>
          <w:sz w:val="13"/>
          <w:szCs w:val="13"/>
          <w:color w:val="auto"/>
        </w:rPr>
        <w:t xml:space="preserve">a bank to which the </w:t>
      </w:r>
      <w:r>
        <w:rPr>
          <w:rFonts w:ascii="Arial" w:cs="Arial" w:eastAsia="Arial" w:hAnsi="Arial"/>
          <w:sz w:val="13"/>
          <w:szCs w:val="13"/>
          <w:i w:val="1"/>
          <w:iCs w:val="1"/>
          <w:color w:val="auto"/>
        </w:rPr>
        <w:t>Bank Act</w:t>
      </w:r>
      <w:r>
        <w:rPr>
          <w:rFonts w:ascii="Arial" w:cs="Arial" w:eastAsia="Arial" w:hAnsi="Arial"/>
          <w:sz w:val="13"/>
          <w:szCs w:val="13"/>
          <w:color w:val="auto"/>
        </w:rPr>
        <w:t xml:space="preserve"> (Canada) applies,</w:t>
      </w:r>
    </w:p>
    <w:p>
      <w:pPr>
        <w:spacing w:after="0" w:line="8" w:lineRule="exact"/>
        <w:rPr>
          <w:sz w:val="20"/>
          <w:szCs w:val="20"/>
          <w:color w:val="auto"/>
        </w:rPr>
      </w:pPr>
    </w:p>
    <w:p>
      <w:pPr>
        <w:ind w:left="4481"/>
        <w:spacing w:after="0"/>
        <w:rPr>
          <w:sz w:val="20"/>
          <w:szCs w:val="20"/>
          <w:color w:val="auto"/>
        </w:rPr>
      </w:pPr>
      <w:r>
        <w:rPr>
          <w:rFonts w:ascii="Arial" w:cs="Arial" w:eastAsia="Arial" w:hAnsi="Arial"/>
          <w:sz w:val="13"/>
          <w:szCs w:val="13"/>
          <w:color w:val="auto"/>
        </w:rPr>
        <w:t>in its capacity as administrative agent hereunder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9"/>
          <w:szCs w:val="9"/>
          <w:b w:val="1"/>
          <w:bCs w:val="1"/>
          <w:color w:val="auto"/>
        </w:rPr>
        <w:t xml:space="preserve">AS </w:t>
      </w:r>
      <w:r>
        <w:rPr>
          <w:rFonts w:ascii="Arial" w:cs="Arial" w:eastAsia="Arial" w:hAnsi="Arial"/>
          <w:sz w:val="13"/>
          <w:szCs w:val="13"/>
          <w:b w:val="1"/>
          <w:bCs w:val="1"/>
          <w:color w:val="auto"/>
        </w:rPr>
        <w:t>A</w:t>
      </w:r>
      <w:r>
        <w:rPr>
          <w:rFonts w:ascii="Arial" w:cs="Arial" w:eastAsia="Arial" w:hAnsi="Arial"/>
          <w:sz w:val="9"/>
          <w:szCs w:val="9"/>
          <w:b w:val="1"/>
          <w:bCs w:val="1"/>
          <w:color w:val="auto"/>
        </w:rPr>
        <w:t xml:space="preserve">DMINISTRATIVE </w:t>
      </w:r>
      <w:r>
        <w:rPr>
          <w:rFonts w:ascii="Arial" w:cs="Arial" w:eastAsia="Arial" w:hAnsi="Arial"/>
          <w:sz w:val="13"/>
          <w:szCs w:val="13"/>
          <w:b w:val="1"/>
          <w:bCs w:val="1"/>
          <w:color w:val="auto"/>
        </w:rPr>
        <w:t>A</w:t>
      </w:r>
      <w:r>
        <w:rPr>
          <w:rFonts w:ascii="Arial" w:cs="Arial" w:eastAsia="Arial" w:hAnsi="Arial"/>
          <w:sz w:val="9"/>
          <w:szCs w:val="9"/>
          <w:b w:val="1"/>
          <w:bCs w:val="1"/>
          <w:color w:val="auto"/>
        </w:rPr>
        <w:t>GENT</w:t>
      </w:r>
    </w:p>
    <w:p>
      <w:pPr>
        <w:spacing w:after="0" w:line="15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RECITALS:</w:t>
      </w:r>
    </w:p>
    <w:p>
      <w:pPr>
        <w:spacing w:after="0" w:line="86" w:lineRule="exact"/>
        <w:rPr>
          <w:sz w:val="20"/>
          <w:szCs w:val="20"/>
          <w:color w:val="auto"/>
        </w:rPr>
      </w:pPr>
    </w:p>
    <w:p>
      <w:pPr>
        <w:ind w:left="341" w:hanging="341"/>
        <w:spacing w:after="0"/>
        <w:tabs>
          <w:tab w:leader="none" w:pos="341"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Borrower, the Guarantors, the Agent and the Lenders are parties to a Credit Agreement dated as of 30 November 2005 (the “</w:t>
      </w:r>
      <w:r>
        <w:rPr>
          <w:rFonts w:ascii="Arial" w:cs="Arial" w:eastAsia="Arial" w:hAnsi="Arial"/>
          <w:sz w:val="13"/>
          <w:szCs w:val="13"/>
          <w:b w:val="1"/>
          <w:bCs w:val="1"/>
          <w:color w:val="auto"/>
        </w:rPr>
        <w:t>Existing Credit Agreement</w:t>
      </w:r>
      <w:r>
        <w:rPr>
          <w:rFonts w:ascii="Arial" w:cs="Arial" w:eastAsia="Arial" w:hAnsi="Arial"/>
          <w:sz w:val="13"/>
          <w:szCs w:val="13"/>
          <w:color w:val="auto"/>
        </w:rPr>
        <w:t>”).</w:t>
      </w:r>
    </w:p>
    <w:p>
      <w:pPr>
        <w:spacing w:after="0" w:line="100" w:lineRule="exact"/>
        <w:rPr>
          <w:rFonts w:ascii="Arial" w:cs="Arial" w:eastAsia="Arial" w:hAnsi="Arial"/>
          <w:sz w:val="13"/>
          <w:szCs w:val="13"/>
          <w:color w:val="auto"/>
        </w:rPr>
      </w:pPr>
    </w:p>
    <w:p>
      <w:pPr>
        <w:ind w:left="341" w:right="220" w:hanging="341"/>
        <w:spacing w:after="0" w:line="276" w:lineRule="auto"/>
        <w:tabs>
          <w:tab w:leader="none" w:pos="341"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Borrower and the Lenders have agreed to certain amendments to the terms and conditions in the Existing Credit Agreement and the parties are entering into this First Amendment Agreement to give effect thereto and to the other matters set forth herein.</w:t>
      </w:r>
    </w:p>
    <w:p>
      <w:pPr>
        <w:spacing w:after="0" w:line="45" w:lineRule="exact"/>
        <w:rPr>
          <w:sz w:val="20"/>
          <w:szCs w:val="20"/>
          <w:color w:val="auto"/>
        </w:rPr>
      </w:pPr>
    </w:p>
    <w:p>
      <w:pPr>
        <w:ind w:left="1" w:right="300" w:firstLine="164"/>
        <w:spacing w:after="0" w:line="283" w:lineRule="auto"/>
        <w:rPr>
          <w:sz w:val="20"/>
          <w:szCs w:val="20"/>
          <w:color w:val="auto"/>
        </w:rPr>
      </w:pPr>
      <w:r>
        <w:rPr>
          <w:rFonts w:ascii="Arial" w:cs="Arial" w:eastAsia="Arial" w:hAnsi="Arial"/>
          <w:sz w:val="13"/>
          <w:szCs w:val="13"/>
          <w:b w:val="1"/>
          <w:bCs w:val="1"/>
          <w:color w:val="auto"/>
        </w:rPr>
        <w:t xml:space="preserve">NOW THEREFORE </w:t>
      </w:r>
      <w:r>
        <w:rPr>
          <w:rFonts w:ascii="Arial" w:cs="Arial" w:eastAsia="Arial" w:hAnsi="Arial"/>
          <w:sz w:val="13"/>
          <w:szCs w:val="13"/>
          <w:color w:val="auto"/>
        </w:rPr>
        <w:t>in consideration of the premises and for other good and valuable consideration, the receipt and adequacy of which are hereby acknowledged, and intending to be legally bound hereby, the</w:t>
      </w:r>
      <w:r>
        <w:rPr>
          <w:rFonts w:ascii="Arial" w:cs="Arial" w:eastAsia="Arial" w:hAnsi="Arial"/>
          <w:sz w:val="13"/>
          <w:szCs w:val="13"/>
          <w:b w:val="1"/>
          <w:bCs w:val="1"/>
          <w:color w:val="auto"/>
        </w:rPr>
        <w:t xml:space="preserve"> </w:t>
      </w:r>
      <w:r>
        <w:rPr>
          <w:rFonts w:ascii="Arial" w:cs="Arial" w:eastAsia="Arial" w:hAnsi="Arial"/>
          <w:sz w:val="13"/>
          <w:szCs w:val="13"/>
          <w:color w:val="auto"/>
        </w:rPr>
        <w:t>parties agree as follows:</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100330</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3"/>
          <w:szCs w:val="13"/>
          <w:color w:val="auto"/>
        </w:rPr>
        <w:t>- 2 -</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Section 1 – Amendment to Definitions</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(a) The following provision is added as Section 1.1.45.1:</w:t>
      </w:r>
    </w:p>
    <w:p>
      <w:pPr>
        <w:spacing w:after="0" w:line="82" w:lineRule="exact"/>
        <w:rPr>
          <w:sz w:val="20"/>
          <w:szCs w:val="20"/>
          <w:color w:val="auto"/>
        </w:rPr>
      </w:pPr>
    </w:p>
    <w:p>
      <w:pPr>
        <w:ind w:left="221"/>
        <w:spacing w:after="0"/>
        <w:tabs>
          <w:tab w:leader="none" w:pos="761" w:val="left"/>
        </w:tabs>
        <w:rPr>
          <w:sz w:val="20"/>
          <w:szCs w:val="20"/>
          <w:color w:val="auto"/>
        </w:rPr>
      </w:pPr>
      <w:r>
        <w:rPr>
          <w:rFonts w:ascii="Arial" w:cs="Arial" w:eastAsia="Arial" w:hAnsi="Arial"/>
          <w:sz w:val="13"/>
          <w:szCs w:val="13"/>
          <w:color w:val="auto"/>
        </w:rPr>
        <w:t>1.1.45.1</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First Amendment Agreement</w:t>
      </w:r>
      <w:r>
        <w:rPr>
          <w:rFonts w:ascii="Arial" w:cs="Arial" w:eastAsia="Arial" w:hAnsi="Arial"/>
          <w:sz w:val="11"/>
          <w:szCs w:val="11"/>
          <w:color w:val="auto"/>
        </w:rPr>
        <w:t>” means the first amendment agreement to this Agreement dated as of December 21, 2007.</w:t>
      </w:r>
    </w:p>
    <w:p>
      <w:pPr>
        <w:spacing w:after="0" w:line="90" w:lineRule="exact"/>
        <w:rPr>
          <w:sz w:val="20"/>
          <w:szCs w:val="20"/>
          <w:color w:val="auto"/>
        </w:rPr>
      </w:pPr>
    </w:p>
    <w:p>
      <w:pPr>
        <w:ind w:left="221" w:right="5940" w:hanging="221"/>
        <w:spacing w:after="0" w:line="403" w:lineRule="auto"/>
        <w:tabs>
          <w:tab w:leader="none" w:pos="181" w:val="left"/>
        </w:tabs>
        <w:numPr>
          <w:ilvl w:val="0"/>
          <w:numId w:val="88"/>
        </w:numPr>
        <w:rPr>
          <w:rFonts w:ascii="Arial" w:cs="Arial" w:eastAsia="Arial" w:hAnsi="Arial"/>
          <w:sz w:val="13"/>
          <w:szCs w:val="13"/>
          <w:color w:val="auto"/>
        </w:rPr>
      </w:pPr>
      <w:r>
        <w:rPr>
          <w:rFonts w:ascii="Arial" w:cs="Arial" w:eastAsia="Arial" w:hAnsi="Arial"/>
          <w:sz w:val="13"/>
          <w:szCs w:val="13"/>
          <w:color w:val="auto"/>
        </w:rPr>
        <w:t>Section 1.1.59 of the Existing Credit Agreement is deleted and replaced with the following provision: 1.1.59 "</w:t>
      </w:r>
      <w:r>
        <w:rPr>
          <w:rFonts w:ascii="Arial" w:cs="Arial" w:eastAsia="Arial" w:hAnsi="Arial"/>
          <w:sz w:val="13"/>
          <w:szCs w:val="13"/>
          <w:b w:val="1"/>
          <w:bCs w:val="1"/>
          <w:color w:val="auto"/>
        </w:rPr>
        <w:t>Maturity Date</w:t>
      </w:r>
      <w:r>
        <w:rPr>
          <w:rFonts w:ascii="Arial" w:cs="Arial" w:eastAsia="Arial" w:hAnsi="Arial"/>
          <w:sz w:val="13"/>
          <w:szCs w:val="13"/>
          <w:color w:val="auto"/>
        </w:rPr>
        <w:t>” means 30 November 2012.</w:t>
      </w:r>
    </w:p>
    <w:p>
      <w:pPr>
        <w:spacing w:after="0" w:line="4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Section 2 – Amendment to the Credit</w:t>
      </w:r>
    </w:p>
    <w:p>
      <w:pPr>
        <w:spacing w:after="0" w:line="90" w:lineRule="exact"/>
        <w:rPr>
          <w:sz w:val="20"/>
          <w:szCs w:val="20"/>
          <w:color w:val="auto"/>
        </w:rPr>
      </w:pPr>
    </w:p>
    <w:p>
      <w:pPr>
        <w:ind w:left="181" w:hanging="181"/>
        <w:spacing w:after="0"/>
        <w:tabs>
          <w:tab w:leader="none" w:pos="181" w:val="left"/>
        </w:tabs>
        <w:numPr>
          <w:ilvl w:val="0"/>
          <w:numId w:val="89"/>
        </w:numPr>
        <w:rPr>
          <w:rFonts w:ascii="Arial" w:cs="Arial" w:eastAsia="Arial" w:hAnsi="Arial"/>
          <w:sz w:val="13"/>
          <w:szCs w:val="13"/>
          <w:color w:val="auto"/>
        </w:rPr>
      </w:pPr>
      <w:r>
        <w:rPr>
          <w:rFonts w:ascii="Arial" w:cs="Arial" w:eastAsia="Arial" w:hAnsi="Arial"/>
          <w:sz w:val="13"/>
          <w:szCs w:val="13"/>
          <w:color w:val="auto"/>
        </w:rPr>
        <w:t>Section 2.1 of the Existing Credit Agreement is deleted and replaced with the following provision:</w:t>
      </w:r>
    </w:p>
    <w:p>
      <w:pPr>
        <w:spacing w:after="0" w:line="82" w:lineRule="exact"/>
        <w:rPr>
          <w:rFonts w:ascii="Arial" w:cs="Arial" w:eastAsia="Arial" w:hAnsi="Arial"/>
          <w:sz w:val="13"/>
          <w:szCs w:val="13"/>
          <w:color w:val="auto"/>
        </w:rPr>
      </w:pPr>
    </w:p>
    <w:p>
      <w:pPr>
        <w:ind w:left="221"/>
        <w:spacing w:after="0"/>
        <w:rPr>
          <w:rFonts w:ascii="Arial" w:cs="Arial" w:eastAsia="Arial" w:hAnsi="Arial"/>
          <w:sz w:val="13"/>
          <w:szCs w:val="13"/>
          <w:color w:val="auto"/>
        </w:rPr>
      </w:pPr>
      <w:r>
        <w:rPr>
          <w:rFonts w:ascii="Arial" w:cs="Arial" w:eastAsia="Arial" w:hAnsi="Arial"/>
          <w:sz w:val="13"/>
          <w:szCs w:val="13"/>
          <w:b w:val="1"/>
          <w:bCs w:val="1"/>
          <w:color w:val="auto"/>
        </w:rPr>
        <w:t>2.1</w:t>
      </w:r>
      <w:r>
        <w:rPr>
          <w:rFonts w:ascii="Arial" w:cs="Arial" w:eastAsia="Arial" w:hAnsi="Arial"/>
          <w:sz w:val="11"/>
          <w:szCs w:val="11"/>
          <w:b w:val="1"/>
          <w:bCs w:val="1"/>
          <w:color w:val="auto"/>
        </w:rPr>
        <w:t>Amount and Availment Options</w:t>
      </w:r>
    </w:p>
    <w:p>
      <w:pPr>
        <w:spacing w:after="0" w:line="96" w:lineRule="exact"/>
        <w:rPr>
          <w:rFonts w:ascii="Arial" w:cs="Arial" w:eastAsia="Arial" w:hAnsi="Arial"/>
          <w:sz w:val="13"/>
          <w:szCs w:val="13"/>
          <w:color w:val="auto"/>
        </w:rPr>
      </w:pPr>
    </w:p>
    <w:p>
      <w:pPr>
        <w:ind w:left="781" w:right="140" w:hanging="555"/>
        <w:spacing w:after="0" w:line="283" w:lineRule="auto"/>
        <w:tabs>
          <w:tab w:leader="none" w:pos="781" w:val="left"/>
        </w:tabs>
        <w:numPr>
          <w:ilvl w:val="1"/>
          <w:numId w:val="89"/>
        </w:numPr>
        <w:rPr>
          <w:rFonts w:ascii="Arial" w:cs="Arial" w:eastAsia="Arial" w:hAnsi="Arial"/>
          <w:sz w:val="13"/>
          <w:szCs w:val="13"/>
          <w:color w:val="auto"/>
        </w:rPr>
      </w:pPr>
      <w:r>
        <w:rPr>
          <w:rFonts w:ascii="Arial" w:cs="Arial" w:eastAsia="Arial" w:hAnsi="Arial"/>
          <w:sz w:val="13"/>
          <w:szCs w:val="13"/>
          <w:color w:val="auto"/>
        </w:rPr>
        <w:t>Upon and subject to the terms and conditions of this Agreement, the Lenders severally agree to provide to the Borrower a non-revolving term credit facility (the “</w:t>
      </w:r>
      <w:r>
        <w:rPr>
          <w:rFonts w:ascii="Arial" w:cs="Arial" w:eastAsia="Arial" w:hAnsi="Arial"/>
          <w:sz w:val="13"/>
          <w:szCs w:val="13"/>
          <w:b w:val="1"/>
          <w:bCs w:val="1"/>
          <w:color w:val="auto"/>
        </w:rPr>
        <w:t>Credit</w:t>
      </w:r>
      <w:r>
        <w:rPr>
          <w:rFonts w:ascii="Arial" w:cs="Arial" w:eastAsia="Arial" w:hAnsi="Arial"/>
          <w:sz w:val="13"/>
          <w:szCs w:val="13"/>
          <w:color w:val="auto"/>
        </w:rPr>
        <w:t>”) for the use of the Borrower in the amount of up to Cdn. $340,000,000 (provided that each Lender’s obligation hereunder shall be limited to its respective Applicable Percentage of the Credit).</w:t>
      </w:r>
    </w:p>
    <w:p>
      <w:pPr>
        <w:spacing w:after="0" w:line="54" w:lineRule="exact"/>
        <w:rPr>
          <w:rFonts w:ascii="Arial" w:cs="Arial" w:eastAsia="Arial" w:hAnsi="Arial"/>
          <w:sz w:val="13"/>
          <w:szCs w:val="13"/>
          <w:color w:val="auto"/>
        </w:rPr>
      </w:pPr>
    </w:p>
    <w:p>
      <w:pPr>
        <w:ind w:left="781" w:right="60" w:hanging="555"/>
        <w:spacing w:after="0" w:line="276" w:lineRule="auto"/>
        <w:tabs>
          <w:tab w:leader="none" w:pos="781" w:val="left"/>
        </w:tabs>
        <w:numPr>
          <w:ilvl w:val="1"/>
          <w:numId w:val="89"/>
        </w:numPr>
        <w:rPr>
          <w:rFonts w:ascii="Arial" w:cs="Arial" w:eastAsia="Arial" w:hAnsi="Arial"/>
          <w:sz w:val="13"/>
          <w:szCs w:val="13"/>
          <w:color w:val="auto"/>
        </w:rPr>
      </w:pPr>
      <w:r>
        <w:rPr>
          <w:rFonts w:ascii="Arial" w:cs="Arial" w:eastAsia="Arial" w:hAnsi="Arial"/>
          <w:sz w:val="13"/>
          <w:szCs w:val="13"/>
          <w:color w:val="auto"/>
        </w:rPr>
        <w:t>At the option of the Borrower, the Credit may be utilized by the Borrower by requesting that Prime Rate Advances be made by the Lenders or by presenting orders to a Lender for acceptance as Banker’s Acceptances.</w:t>
      </w:r>
    </w:p>
    <w:p>
      <w:pPr>
        <w:spacing w:after="0" w:line="49" w:lineRule="exact"/>
        <w:rPr>
          <w:rFonts w:ascii="Arial" w:cs="Arial" w:eastAsia="Arial" w:hAnsi="Arial"/>
          <w:sz w:val="13"/>
          <w:szCs w:val="13"/>
          <w:color w:val="auto"/>
        </w:rPr>
      </w:pPr>
    </w:p>
    <w:p>
      <w:pPr>
        <w:ind w:left="181" w:hanging="181"/>
        <w:spacing w:after="0"/>
        <w:tabs>
          <w:tab w:leader="none" w:pos="181" w:val="left"/>
        </w:tabs>
        <w:numPr>
          <w:ilvl w:val="0"/>
          <w:numId w:val="89"/>
        </w:numPr>
        <w:rPr>
          <w:rFonts w:ascii="Arial" w:cs="Arial" w:eastAsia="Arial" w:hAnsi="Arial"/>
          <w:sz w:val="13"/>
          <w:szCs w:val="13"/>
          <w:color w:val="auto"/>
        </w:rPr>
      </w:pPr>
      <w:r>
        <w:rPr>
          <w:rFonts w:ascii="Arial" w:cs="Arial" w:eastAsia="Arial" w:hAnsi="Arial"/>
          <w:sz w:val="13"/>
          <w:szCs w:val="13"/>
          <w:color w:val="auto"/>
        </w:rPr>
        <w:t>Section 2.2 of the Existing Credit Agreement is deleted and replaced with the following provision:</w:t>
      </w:r>
    </w:p>
    <w:p>
      <w:pPr>
        <w:spacing w:after="0" w:line="82" w:lineRule="exact"/>
        <w:rPr>
          <w:sz w:val="20"/>
          <w:szCs w:val="20"/>
          <w:color w:val="auto"/>
        </w:rPr>
      </w:pPr>
    </w:p>
    <w:tbl>
      <w:tblPr>
        <w:tblLayout w:type="fixed"/>
        <w:tblInd w:w="221" w:type="dxa"/>
        <w:tblCellMar>
          <w:top w:w="0" w:type="dxa"/>
          <w:left w:w="0" w:type="dxa"/>
          <w:bottom w:w="0" w:type="dxa"/>
          <w:right w:w="0" w:type="dxa"/>
        </w:tblCellMar>
      </w:tblPr>
      <w:tr>
        <w:trPr>
          <w:trHeight w:val="157"/>
        </w:trPr>
        <w:tc>
          <w:tcPr>
            <w:tcW w:w="360" w:type="dxa"/>
            <w:vAlign w:val="bottom"/>
          </w:tcPr>
          <w:p>
            <w:pPr>
              <w:jc w:val="right"/>
              <w:ind w:right="134"/>
              <w:spacing w:after="0"/>
              <w:rPr>
                <w:sz w:val="20"/>
                <w:szCs w:val="20"/>
                <w:color w:val="auto"/>
              </w:rPr>
            </w:pPr>
            <w:r>
              <w:rPr>
                <w:rFonts w:ascii="Arial" w:cs="Arial" w:eastAsia="Arial" w:hAnsi="Arial"/>
                <w:sz w:val="13"/>
                <w:szCs w:val="13"/>
                <w:b w:val="1"/>
                <w:bCs w:val="1"/>
                <w:color w:val="auto"/>
                <w:w w:val="77"/>
              </w:rPr>
              <w:t>2.2</w:t>
            </w:r>
          </w:p>
        </w:tc>
        <w:tc>
          <w:tcPr>
            <w:tcW w:w="10760" w:type="dxa"/>
            <w:vAlign w:val="bottom"/>
          </w:tcPr>
          <w:p>
            <w:pPr>
              <w:ind w:left="200"/>
              <w:spacing w:after="0"/>
              <w:rPr>
                <w:sz w:val="20"/>
                <w:szCs w:val="20"/>
                <w:color w:val="auto"/>
              </w:rPr>
            </w:pPr>
            <w:r>
              <w:rPr>
                <w:rFonts w:ascii="Arial" w:cs="Arial" w:eastAsia="Arial" w:hAnsi="Arial"/>
                <w:sz w:val="13"/>
                <w:szCs w:val="13"/>
                <w:color w:val="auto"/>
                <w:w w:val="94"/>
              </w:rPr>
              <w:t>The Credit is a non-revolving credit. The principal amount of any Advance under the Credit which is repaid from time to time may not be reborrowed. The Cdn. $35,000,000 increase to the Credit</w:t>
            </w:r>
          </w:p>
        </w:tc>
      </w:tr>
      <w:tr>
        <w:trPr>
          <w:trHeight w:val="157"/>
        </w:trPr>
        <w:tc>
          <w:tcPr>
            <w:tcW w:w="360" w:type="dxa"/>
            <w:vAlign w:val="bottom"/>
          </w:tcPr>
          <w:p>
            <w:pPr>
              <w:spacing w:after="0"/>
              <w:rPr>
                <w:sz w:val="13"/>
                <w:szCs w:val="13"/>
                <w:color w:val="auto"/>
              </w:rPr>
            </w:pPr>
          </w:p>
        </w:tc>
        <w:tc>
          <w:tcPr>
            <w:tcW w:w="10760" w:type="dxa"/>
            <w:vAlign w:val="bottom"/>
          </w:tcPr>
          <w:p>
            <w:pPr>
              <w:ind w:left="200"/>
              <w:spacing w:after="0"/>
              <w:rPr>
                <w:sz w:val="20"/>
                <w:szCs w:val="20"/>
                <w:color w:val="auto"/>
              </w:rPr>
            </w:pPr>
            <w:r>
              <w:rPr>
                <w:rFonts w:ascii="Arial" w:cs="Arial" w:eastAsia="Arial" w:hAnsi="Arial"/>
                <w:sz w:val="13"/>
                <w:szCs w:val="13"/>
                <w:color w:val="auto"/>
                <w:w w:val="92"/>
              </w:rPr>
              <w:t>provided for in the First Amendment Agreement shall be available in no more than two Advances, during the period from the date of this Agreement to and including 31 January 2008 (the “</w:t>
            </w:r>
            <w:r>
              <w:rPr>
                <w:rFonts w:ascii="Arial" w:cs="Arial" w:eastAsia="Arial" w:hAnsi="Arial"/>
                <w:sz w:val="13"/>
                <w:szCs w:val="13"/>
                <w:b w:val="1"/>
                <w:bCs w:val="1"/>
                <w:color w:val="auto"/>
                <w:w w:val="92"/>
              </w:rPr>
              <w:t>Availability</w:t>
            </w:r>
          </w:p>
        </w:tc>
      </w:tr>
      <w:tr>
        <w:trPr>
          <w:trHeight w:val="169"/>
        </w:trPr>
        <w:tc>
          <w:tcPr>
            <w:tcW w:w="360" w:type="dxa"/>
            <w:vAlign w:val="bottom"/>
          </w:tcPr>
          <w:p>
            <w:pPr>
              <w:spacing w:after="0"/>
              <w:rPr>
                <w:sz w:val="14"/>
                <w:szCs w:val="14"/>
                <w:color w:val="auto"/>
              </w:rPr>
            </w:pPr>
          </w:p>
        </w:tc>
        <w:tc>
          <w:tcPr>
            <w:tcW w:w="10760" w:type="dxa"/>
            <w:vAlign w:val="bottom"/>
          </w:tcPr>
          <w:p>
            <w:pPr>
              <w:ind w:left="200"/>
              <w:spacing w:after="0"/>
              <w:rPr>
                <w:sz w:val="20"/>
                <w:szCs w:val="20"/>
                <w:color w:val="auto"/>
              </w:rPr>
            </w:pPr>
            <w:r>
              <w:rPr>
                <w:rFonts w:ascii="Arial" w:cs="Arial" w:eastAsia="Arial" w:hAnsi="Arial"/>
                <w:sz w:val="13"/>
                <w:szCs w:val="13"/>
                <w:b w:val="1"/>
                <w:bCs w:val="1"/>
                <w:color w:val="auto"/>
              </w:rPr>
              <w:t>Period</w:t>
            </w:r>
            <w:r>
              <w:rPr>
                <w:rFonts w:ascii="Arial" w:cs="Arial" w:eastAsia="Arial" w:hAnsi="Arial"/>
                <w:sz w:val="13"/>
                <w:szCs w:val="13"/>
                <w:color w:val="auto"/>
              </w:rPr>
              <w:t>”). Any unused portion of the Credit after the Availability Period will be immediately cancelled.</w:t>
            </w:r>
          </w:p>
        </w:tc>
      </w:tr>
    </w:tbl>
    <w:p>
      <w:pPr>
        <w:spacing w:after="0" w:line="14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Section 3 – New Section 2.9</w:t>
      </w:r>
    </w:p>
    <w:p>
      <w:pPr>
        <w:spacing w:after="0" w:line="9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The Existing Credit Agreement is amended by adding the following provision as Section 2.9:</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100330</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28" w:name="page129"/>
    <w:bookmarkEnd w:id="128"/>
    <w:p>
      <w:pPr>
        <w:jc w:val="center"/>
        <w:ind w:right="220"/>
        <w:spacing w:after="0"/>
        <w:rPr>
          <w:sz w:val="20"/>
          <w:szCs w:val="20"/>
          <w:color w:val="auto"/>
        </w:rPr>
      </w:pPr>
      <w:r>
        <w:rPr>
          <w:rFonts w:ascii="Arial" w:cs="Arial" w:eastAsia="Arial" w:hAnsi="Arial"/>
          <w:sz w:val="13"/>
          <w:szCs w:val="13"/>
          <w:color w:val="auto"/>
        </w:rPr>
        <w:t>- 3 -</w:t>
      </w:r>
    </w:p>
    <w:p>
      <w:pPr>
        <w:spacing w:after="0" w:line="141" w:lineRule="exact"/>
        <w:rPr>
          <w:sz w:val="20"/>
          <w:szCs w:val="20"/>
          <w:color w:val="auto"/>
        </w:rPr>
      </w:pPr>
    </w:p>
    <w:p>
      <w:pPr>
        <w:spacing w:after="0"/>
        <w:tabs>
          <w:tab w:leader="none" w:pos="540" w:val="left"/>
        </w:tabs>
        <w:rPr>
          <w:sz w:val="20"/>
          <w:szCs w:val="20"/>
          <w:color w:val="auto"/>
        </w:rPr>
      </w:pPr>
      <w:r>
        <w:rPr>
          <w:rFonts w:ascii="Arial" w:cs="Arial" w:eastAsia="Arial" w:hAnsi="Arial"/>
          <w:sz w:val="13"/>
          <w:szCs w:val="13"/>
          <w:b w:val="1"/>
          <w:bCs w:val="1"/>
          <w:color w:val="auto"/>
        </w:rPr>
        <w:t>2.9</w:t>
      </w:r>
      <w:r>
        <w:rPr>
          <w:sz w:val="20"/>
          <w:szCs w:val="20"/>
          <w:color w:val="auto"/>
        </w:rPr>
        <w:tab/>
      </w:r>
      <w:r>
        <w:rPr>
          <w:rFonts w:ascii="Arial" w:cs="Arial" w:eastAsia="Arial" w:hAnsi="Arial"/>
          <w:sz w:val="11"/>
          <w:szCs w:val="11"/>
          <w:b w:val="1"/>
          <w:bCs w:val="1"/>
          <w:color w:val="auto"/>
        </w:rPr>
        <w:t>Uncommitted Increase Amount</w:t>
      </w:r>
    </w:p>
    <w:p>
      <w:pPr>
        <w:spacing w:after="0" w:line="96" w:lineRule="exact"/>
        <w:rPr>
          <w:sz w:val="20"/>
          <w:szCs w:val="20"/>
          <w:color w:val="auto"/>
        </w:rPr>
      </w:pPr>
    </w:p>
    <w:p>
      <w:pPr>
        <w:jc w:val="both"/>
        <w:ind w:left="560" w:right="80" w:hanging="555"/>
        <w:spacing w:after="0" w:line="267" w:lineRule="auto"/>
        <w:tabs>
          <w:tab w:leader="none" w:pos="5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Borrower may request that the Credit be increased for specified uses by an aggregate amount not to exceed Cdn. $25,000,000 (the “</w:t>
      </w:r>
      <w:r>
        <w:rPr>
          <w:rFonts w:ascii="Arial" w:cs="Arial" w:eastAsia="Arial" w:hAnsi="Arial"/>
          <w:sz w:val="13"/>
          <w:szCs w:val="13"/>
          <w:b w:val="1"/>
          <w:bCs w:val="1"/>
          <w:color w:val="auto"/>
        </w:rPr>
        <w:t>Uncommitted Facility Increase</w:t>
      </w:r>
      <w:r>
        <w:rPr>
          <w:rFonts w:ascii="Arial" w:cs="Arial" w:eastAsia="Arial" w:hAnsi="Arial"/>
          <w:sz w:val="13"/>
          <w:szCs w:val="13"/>
          <w:color w:val="auto"/>
        </w:rPr>
        <w:t>”). This is an uncommitted credit facility and no Lender has any obligation to the Borrower to provide any Advance thereunder except as set forth in this Section 2.9. The Borrower agrees that it shall deliver a request to the Agent under Section 2.9(3) prior to agreeing to obtain additional financing from any other bank or commercial lender.</w:t>
      </w:r>
    </w:p>
    <w:p>
      <w:pPr>
        <w:spacing w:after="0" w:line="65" w:lineRule="exact"/>
        <w:rPr>
          <w:rFonts w:ascii="Arial" w:cs="Arial" w:eastAsia="Arial" w:hAnsi="Arial"/>
          <w:sz w:val="13"/>
          <w:szCs w:val="13"/>
          <w:color w:val="auto"/>
        </w:rPr>
      </w:pPr>
    </w:p>
    <w:p>
      <w:pPr>
        <w:ind w:left="560" w:right="20" w:hanging="555"/>
        <w:spacing w:after="0" w:line="264" w:lineRule="auto"/>
        <w:tabs>
          <w:tab w:leader="none" w:pos="5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At any time prior to the maturity date of the Credit and provided that there exists no Pending Event of Default or Event of Default which is continuing, the Borrower may provide to the Agent a request (a “</w:t>
      </w:r>
      <w:r>
        <w:rPr>
          <w:rFonts w:ascii="Arial" w:cs="Arial" w:eastAsia="Arial" w:hAnsi="Arial"/>
          <w:sz w:val="13"/>
          <w:szCs w:val="13"/>
          <w:b w:val="1"/>
          <w:bCs w:val="1"/>
          <w:color w:val="auto"/>
        </w:rPr>
        <w:t>Commitment Request</w:t>
      </w:r>
      <w:r>
        <w:rPr>
          <w:rFonts w:ascii="Arial" w:cs="Arial" w:eastAsia="Arial" w:hAnsi="Arial"/>
          <w:sz w:val="13"/>
          <w:szCs w:val="13"/>
          <w:color w:val="auto"/>
        </w:rPr>
        <w:t>”) for the Lenders to commit to provide the amount under the Uncommitted Facility Increase, it being understood and agreed that the Borrower shall be entitled to one such request only.</w:t>
      </w:r>
    </w:p>
    <w:p>
      <w:pPr>
        <w:spacing w:after="0" w:line="66" w:lineRule="exact"/>
        <w:rPr>
          <w:rFonts w:ascii="Arial" w:cs="Arial" w:eastAsia="Arial" w:hAnsi="Arial"/>
          <w:sz w:val="13"/>
          <w:szCs w:val="13"/>
          <w:color w:val="auto"/>
        </w:rPr>
      </w:pPr>
    </w:p>
    <w:p>
      <w:pPr>
        <w:ind w:left="560" w:hanging="555"/>
        <w:spacing w:after="0"/>
        <w:tabs>
          <w:tab w:leader="none" w:pos="5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Such increase requested will be subject to obtaining commitments from new or existing Lenders on terms, other than upfront fees, identical to those in this Agreement for the Credit.</w:t>
      </w:r>
    </w:p>
    <w:p>
      <w:pPr>
        <w:spacing w:after="0" w:line="96" w:lineRule="exact"/>
        <w:rPr>
          <w:rFonts w:ascii="Arial" w:cs="Arial" w:eastAsia="Arial" w:hAnsi="Arial"/>
          <w:sz w:val="13"/>
          <w:szCs w:val="13"/>
          <w:color w:val="auto"/>
        </w:rPr>
      </w:pPr>
    </w:p>
    <w:p>
      <w:pPr>
        <w:ind w:left="560" w:hanging="555"/>
        <w:spacing w:after="0"/>
        <w:tabs>
          <w:tab w:leader="none" w:pos="5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Commitment Request shall be given not less than 30 days prior to the date of effectiveness of the proposed Commitment Increase.</w:t>
      </w:r>
    </w:p>
    <w:p>
      <w:pPr>
        <w:spacing w:after="0" w:line="92" w:lineRule="exact"/>
        <w:rPr>
          <w:rFonts w:ascii="Arial" w:cs="Arial" w:eastAsia="Arial" w:hAnsi="Arial"/>
          <w:sz w:val="13"/>
          <w:szCs w:val="13"/>
          <w:color w:val="auto"/>
        </w:rPr>
      </w:pPr>
    </w:p>
    <w:p>
      <w:pPr>
        <w:ind w:left="560" w:right="40" w:hanging="555"/>
        <w:spacing w:after="0" w:line="283" w:lineRule="auto"/>
        <w:tabs>
          <w:tab w:leader="none" w:pos="5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Commitment Request shall include (a) the aggregate amount of the commitment being requested (the “</w:t>
      </w:r>
      <w:r>
        <w:rPr>
          <w:rFonts w:ascii="Arial" w:cs="Arial" w:eastAsia="Arial" w:hAnsi="Arial"/>
          <w:sz w:val="13"/>
          <w:szCs w:val="13"/>
          <w:b w:val="1"/>
          <w:bCs w:val="1"/>
          <w:color w:val="auto"/>
        </w:rPr>
        <w:t>Requested Amount</w:t>
      </w:r>
      <w:r>
        <w:rPr>
          <w:rFonts w:ascii="Arial" w:cs="Arial" w:eastAsia="Arial" w:hAnsi="Arial"/>
          <w:sz w:val="13"/>
          <w:szCs w:val="13"/>
          <w:color w:val="auto"/>
        </w:rPr>
        <w:t>”), and (b) the upfront fee the Borrower is prepared to pay in relation to the Requested Amount, (c) the date of the proposed first Advance under the Commitment Request.</w:t>
      </w:r>
    </w:p>
    <w:p>
      <w:pPr>
        <w:spacing w:after="0" w:line="54" w:lineRule="exact"/>
        <w:rPr>
          <w:rFonts w:ascii="Arial" w:cs="Arial" w:eastAsia="Arial" w:hAnsi="Arial"/>
          <w:sz w:val="13"/>
          <w:szCs w:val="13"/>
          <w:color w:val="auto"/>
        </w:rPr>
      </w:pPr>
    </w:p>
    <w:p>
      <w:pPr>
        <w:ind w:left="560" w:right="100" w:hanging="555"/>
        <w:spacing w:after="0" w:line="260" w:lineRule="auto"/>
        <w:tabs>
          <w:tab w:leader="none" w:pos="5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 xml:space="preserve">The Agent shall forward to each Lender, promptly after receipt thereof, a copy of the Commitment Request together with a request that each Lender respond to the Agent in relation thereto. Each Lender shall determine, in its sole and unfettered discretion, whether it wishes to commit its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share of the Requested Amount and provide the Agent its response in that regard not later than seven Business Days following the day upon which the Lender provided notice of the Commitment Request to the Agent, with any failure by a Lender to so respond being deemed to be a refusal to provide its </w:t>
      </w:r>
      <w:r>
        <w:rPr>
          <w:rFonts w:ascii="Arial" w:cs="Arial" w:eastAsia="Arial" w:hAnsi="Arial"/>
          <w:sz w:val="13"/>
          <w:szCs w:val="13"/>
          <w:i w:val="1"/>
          <w:iCs w:val="1"/>
          <w:color w:val="auto"/>
        </w:rPr>
        <w:t xml:space="preserve">pro rata </w:t>
      </w:r>
      <w:r>
        <w:rPr>
          <w:rFonts w:ascii="Arial" w:cs="Arial" w:eastAsia="Arial" w:hAnsi="Arial"/>
          <w:sz w:val="13"/>
          <w:szCs w:val="13"/>
          <w:color w:val="auto"/>
        </w:rPr>
        <w:t>share of the Requested Amount.</w:t>
      </w:r>
    </w:p>
    <w:p>
      <w:pPr>
        <w:spacing w:after="0" w:line="69" w:lineRule="exact"/>
        <w:rPr>
          <w:rFonts w:ascii="Arial" w:cs="Arial" w:eastAsia="Arial" w:hAnsi="Arial"/>
          <w:sz w:val="13"/>
          <w:szCs w:val="13"/>
          <w:color w:val="auto"/>
        </w:rPr>
      </w:pPr>
    </w:p>
    <w:p>
      <w:pPr>
        <w:ind w:left="560" w:right="280" w:hanging="555"/>
        <w:spacing w:after="0" w:line="276" w:lineRule="auto"/>
        <w:tabs>
          <w:tab w:leader="none" w:pos="5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Agent shall promptly after such seventh Business Day provide a notice to the Borrower and each Lender which specifies (a) the identity of the Lenders that have agreed to provide a commitment under the Commitment Request (the “</w:t>
      </w:r>
      <w:r>
        <w:rPr>
          <w:rFonts w:ascii="Arial" w:cs="Arial" w:eastAsia="Arial" w:hAnsi="Arial"/>
          <w:sz w:val="13"/>
          <w:szCs w:val="13"/>
          <w:b w:val="1"/>
          <w:bCs w:val="1"/>
          <w:color w:val="auto"/>
        </w:rPr>
        <w:t>Committing Lenders</w:t>
      </w:r>
      <w:r>
        <w:rPr>
          <w:rFonts w:ascii="Arial" w:cs="Arial" w:eastAsia="Arial" w:hAnsi="Arial"/>
          <w:sz w:val="13"/>
          <w:szCs w:val="13"/>
          <w:color w:val="auto"/>
        </w:rPr>
        <w:t>”), (b) the aggregate amount committed to by the Committing Lenders, (c) in the event that</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100330</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29" w:name="page130"/>
    <w:bookmarkEnd w:id="129"/>
    <w:p>
      <w:pPr>
        <w:jc w:val="center"/>
        <w:ind w:right="220"/>
        <w:spacing w:after="0"/>
        <w:rPr>
          <w:sz w:val="20"/>
          <w:szCs w:val="20"/>
          <w:color w:val="auto"/>
        </w:rPr>
      </w:pPr>
      <w:r>
        <w:rPr>
          <w:rFonts w:ascii="Arial" w:cs="Arial" w:eastAsia="Arial" w:hAnsi="Arial"/>
          <w:sz w:val="13"/>
          <w:szCs w:val="13"/>
          <w:color w:val="auto"/>
        </w:rPr>
        <w:t>- 4 -</w:t>
      </w:r>
    </w:p>
    <w:p>
      <w:pPr>
        <w:spacing w:after="0" w:line="141" w:lineRule="exact"/>
        <w:rPr>
          <w:sz w:val="20"/>
          <w:szCs w:val="20"/>
          <w:color w:val="auto"/>
        </w:rPr>
      </w:pPr>
    </w:p>
    <w:p>
      <w:pPr>
        <w:ind w:left="580" w:right="40"/>
        <w:spacing w:after="0" w:line="291" w:lineRule="auto"/>
        <w:rPr>
          <w:sz w:val="20"/>
          <w:szCs w:val="20"/>
          <w:color w:val="auto"/>
        </w:rPr>
      </w:pPr>
      <w:r>
        <w:rPr>
          <w:rFonts w:ascii="Arial" w:cs="Arial" w:eastAsia="Arial" w:hAnsi="Arial"/>
          <w:sz w:val="12"/>
          <w:szCs w:val="12"/>
          <w:color w:val="auto"/>
        </w:rPr>
        <w:t>the aggregate amount committed to by the Committing Lenders is less than the Requested Amount (such shortfall being the “</w:t>
      </w:r>
      <w:r>
        <w:rPr>
          <w:rFonts w:ascii="Arial" w:cs="Arial" w:eastAsia="Arial" w:hAnsi="Arial"/>
          <w:sz w:val="12"/>
          <w:szCs w:val="12"/>
          <w:b w:val="1"/>
          <w:bCs w:val="1"/>
          <w:color w:val="auto"/>
        </w:rPr>
        <w:t>Commitment Deficit</w:t>
      </w:r>
      <w:r>
        <w:rPr>
          <w:rFonts w:ascii="Arial" w:cs="Arial" w:eastAsia="Arial" w:hAnsi="Arial"/>
          <w:sz w:val="12"/>
          <w:szCs w:val="12"/>
          <w:color w:val="auto"/>
        </w:rPr>
        <w:t xml:space="preserve">”), an invitation to each Committing Lender to commit, in its sole and unfettered discretion, to increase its commitment by its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share of the Commitment Deficit, and (d) the date upon which each Committing Lender is required to provide to the Agent its response in that regard, which, in any event, shall not be later than four Business Days following the day upon which the Agent provided notice of the opportunity to participate in the Commitment Deficit, with any failure by a Committing Lender to so respond being deemed to be a refusal to provide its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share of the Commitment Deficit.</w:t>
      </w:r>
    </w:p>
    <w:p>
      <w:pPr>
        <w:spacing w:after="0" w:line="38" w:lineRule="exact"/>
        <w:rPr>
          <w:sz w:val="20"/>
          <w:szCs w:val="20"/>
          <w:color w:val="auto"/>
        </w:rPr>
      </w:pPr>
    </w:p>
    <w:p>
      <w:pPr>
        <w:ind w:left="560" w:right="60" w:hanging="555"/>
        <w:spacing w:after="0" w:line="338" w:lineRule="auto"/>
        <w:tabs>
          <w:tab w:leader="none" w:pos="560" w:val="left"/>
        </w:tabs>
        <w:numPr>
          <w:ilvl w:val="0"/>
          <w:numId w:val="91"/>
        </w:numPr>
        <w:rPr>
          <w:rFonts w:ascii="Arial" w:cs="Arial" w:eastAsia="Arial" w:hAnsi="Arial"/>
          <w:sz w:val="11"/>
          <w:szCs w:val="11"/>
          <w:color w:val="auto"/>
        </w:rPr>
      </w:pPr>
      <w:r>
        <w:rPr>
          <w:rFonts w:ascii="Arial" w:cs="Arial" w:eastAsia="Arial" w:hAnsi="Arial"/>
          <w:sz w:val="11"/>
          <w:szCs w:val="11"/>
          <w:color w:val="auto"/>
        </w:rPr>
        <w:t>The Agent shall promptly after such fourth Business Day provide a notice (the “</w:t>
      </w:r>
      <w:r>
        <w:rPr>
          <w:rFonts w:ascii="Arial" w:cs="Arial" w:eastAsia="Arial" w:hAnsi="Arial"/>
          <w:sz w:val="11"/>
          <w:szCs w:val="11"/>
          <w:b w:val="1"/>
          <w:bCs w:val="1"/>
          <w:color w:val="auto"/>
        </w:rPr>
        <w:t>Existing Lender Notice</w:t>
      </w:r>
      <w:r>
        <w:rPr>
          <w:rFonts w:ascii="Arial" w:cs="Arial" w:eastAsia="Arial" w:hAnsi="Arial"/>
          <w:sz w:val="11"/>
          <w:szCs w:val="11"/>
          <w:color w:val="auto"/>
        </w:rPr>
        <w:t>”) to the Borrower and each Lender which specifies (a) the aggregate amount committed to by the Committing Lenders, (b) the allocation of the such aggregate amount committed to among the Committing Lenders, (c) the date such new commitment is to become effective, (d) the difference, if any between the Requested Amount and the aggregate amount committed to by the Committing Lenders (the “</w:t>
      </w:r>
      <w:r>
        <w:rPr>
          <w:rFonts w:ascii="Arial" w:cs="Arial" w:eastAsia="Arial" w:hAnsi="Arial"/>
          <w:sz w:val="11"/>
          <w:szCs w:val="11"/>
          <w:b w:val="1"/>
          <w:bCs w:val="1"/>
          <w:color w:val="auto"/>
        </w:rPr>
        <w:t>Remaining Deficit</w:t>
      </w:r>
      <w:r>
        <w:rPr>
          <w:rFonts w:ascii="Arial" w:cs="Arial" w:eastAsia="Arial" w:hAnsi="Arial"/>
          <w:sz w:val="11"/>
          <w:szCs w:val="11"/>
          <w:color w:val="auto"/>
        </w:rPr>
        <w:t>”), and (e) such other matters as the Agent may, in its discretion, include.</w:t>
      </w:r>
    </w:p>
    <w:p>
      <w:pPr>
        <w:spacing w:after="0" w:line="29" w:lineRule="exact"/>
        <w:rPr>
          <w:rFonts w:ascii="Arial" w:cs="Arial" w:eastAsia="Arial" w:hAnsi="Arial"/>
          <w:sz w:val="11"/>
          <w:szCs w:val="11"/>
          <w:color w:val="auto"/>
        </w:rPr>
      </w:pPr>
    </w:p>
    <w:p>
      <w:pPr>
        <w:ind w:left="560" w:right="80" w:hanging="555"/>
        <w:spacing w:after="0" w:line="264" w:lineRule="auto"/>
        <w:tabs>
          <w:tab w:leader="none" w:pos="560" w:val="left"/>
        </w:tabs>
        <w:numPr>
          <w:ilvl w:val="0"/>
          <w:numId w:val="91"/>
        </w:numPr>
        <w:rPr>
          <w:rFonts w:ascii="Arial" w:cs="Arial" w:eastAsia="Arial" w:hAnsi="Arial"/>
          <w:sz w:val="13"/>
          <w:szCs w:val="13"/>
          <w:color w:val="auto"/>
        </w:rPr>
      </w:pPr>
      <w:r>
        <w:rPr>
          <w:rFonts w:ascii="Arial" w:cs="Arial" w:eastAsia="Arial" w:hAnsi="Arial"/>
          <w:sz w:val="13"/>
          <w:szCs w:val="13"/>
          <w:color w:val="auto"/>
        </w:rPr>
        <w:t>Following receipt by the Borrower of the Existing Lender Notice indicating the existence of a Remaining Deficit, the Borrower may invite one or more banks or other commercial lenders (who are not then Lenders), to provide all or a portion of the Remaining Deficit. The aggregate amount committed to by the Committing Lenders together with any commitment in relation to the Remaining Deficit as contemplated in this subsection, is referred to herein as a “</w:t>
      </w:r>
      <w:r>
        <w:rPr>
          <w:rFonts w:ascii="Arial" w:cs="Arial" w:eastAsia="Arial" w:hAnsi="Arial"/>
          <w:sz w:val="13"/>
          <w:szCs w:val="13"/>
          <w:b w:val="1"/>
          <w:bCs w:val="1"/>
          <w:color w:val="auto"/>
        </w:rPr>
        <w:t>New Commitment</w:t>
      </w:r>
      <w:r>
        <w:rPr>
          <w:rFonts w:ascii="Arial" w:cs="Arial" w:eastAsia="Arial" w:hAnsi="Arial"/>
          <w:sz w:val="13"/>
          <w:szCs w:val="13"/>
          <w:color w:val="auto"/>
        </w:rPr>
        <w:t>”.</w:t>
      </w:r>
    </w:p>
    <w:p>
      <w:pPr>
        <w:spacing w:after="0" w:line="66" w:lineRule="exact"/>
        <w:rPr>
          <w:rFonts w:ascii="Arial" w:cs="Arial" w:eastAsia="Arial" w:hAnsi="Arial"/>
          <w:sz w:val="13"/>
          <w:szCs w:val="13"/>
          <w:color w:val="auto"/>
        </w:rPr>
      </w:pPr>
    </w:p>
    <w:p>
      <w:pPr>
        <w:ind w:left="560" w:hanging="555"/>
        <w:spacing w:after="0"/>
        <w:tabs>
          <w:tab w:leader="none" w:pos="560" w:val="left"/>
        </w:tabs>
        <w:numPr>
          <w:ilvl w:val="0"/>
          <w:numId w:val="91"/>
        </w:numPr>
        <w:rPr>
          <w:rFonts w:ascii="Arial" w:cs="Arial" w:eastAsia="Arial" w:hAnsi="Arial"/>
          <w:sz w:val="12"/>
          <w:szCs w:val="12"/>
          <w:color w:val="auto"/>
        </w:rPr>
      </w:pPr>
      <w:r>
        <w:rPr>
          <w:rFonts w:ascii="Arial" w:cs="Arial" w:eastAsia="Arial" w:hAnsi="Arial"/>
          <w:sz w:val="12"/>
          <w:szCs w:val="12"/>
          <w:color w:val="auto"/>
        </w:rPr>
        <w:t>Once the amount of the New Commitment is determined in accordance with Section 2.9(10), the Credit shall be deemed to be increased by such amount. It is acknowledged and agreed that:</w:t>
      </w:r>
    </w:p>
    <w:p>
      <w:pPr>
        <w:spacing w:after="0" w:line="97" w:lineRule="exact"/>
        <w:rPr>
          <w:rFonts w:ascii="Arial" w:cs="Arial" w:eastAsia="Arial" w:hAnsi="Arial"/>
          <w:sz w:val="12"/>
          <w:szCs w:val="12"/>
          <w:color w:val="auto"/>
        </w:rPr>
      </w:pPr>
    </w:p>
    <w:p>
      <w:pPr>
        <w:ind w:left="1140" w:hanging="565"/>
        <w:spacing w:after="0"/>
        <w:tabs>
          <w:tab w:leader="none" w:pos="1140" w:val="left"/>
        </w:tabs>
        <w:numPr>
          <w:ilvl w:val="1"/>
          <w:numId w:val="91"/>
        </w:numPr>
        <w:rPr>
          <w:rFonts w:ascii="Arial" w:cs="Arial" w:eastAsia="Arial" w:hAnsi="Arial"/>
          <w:sz w:val="13"/>
          <w:szCs w:val="13"/>
          <w:color w:val="auto"/>
        </w:rPr>
      </w:pPr>
      <w:r>
        <w:rPr>
          <w:rFonts w:ascii="Arial" w:cs="Arial" w:eastAsia="Arial" w:hAnsi="Arial"/>
          <w:sz w:val="13"/>
          <w:szCs w:val="13"/>
          <w:color w:val="auto"/>
        </w:rPr>
        <w:t>the New Commitment shall be subject to the terms and conditions of this Agreement (as amended, modified and supplemented to such time); and</w:t>
      </w:r>
    </w:p>
    <w:p>
      <w:pPr>
        <w:spacing w:after="0" w:line="96" w:lineRule="exact"/>
        <w:rPr>
          <w:rFonts w:ascii="Arial" w:cs="Arial" w:eastAsia="Arial" w:hAnsi="Arial"/>
          <w:sz w:val="13"/>
          <w:szCs w:val="13"/>
          <w:color w:val="auto"/>
        </w:rPr>
      </w:pPr>
    </w:p>
    <w:p>
      <w:pPr>
        <w:ind w:left="1140" w:hanging="565"/>
        <w:spacing w:after="0"/>
        <w:tabs>
          <w:tab w:leader="none" w:pos="1140" w:val="left"/>
        </w:tabs>
        <w:numPr>
          <w:ilvl w:val="1"/>
          <w:numId w:val="91"/>
        </w:numPr>
        <w:rPr>
          <w:rFonts w:ascii="Arial" w:cs="Arial" w:eastAsia="Arial" w:hAnsi="Arial"/>
          <w:sz w:val="13"/>
          <w:szCs w:val="13"/>
          <w:color w:val="auto"/>
        </w:rPr>
      </w:pPr>
      <w:r>
        <w:rPr>
          <w:rFonts w:ascii="Arial" w:cs="Arial" w:eastAsia="Arial" w:hAnsi="Arial"/>
          <w:sz w:val="13"/>
          <w:szCs w:val="13"/>
          <w:color w:val="auto"/>
        </w:rPr>
        <w:t>that each Obligor, effective as of the time of the initial Advance under the New Commitment, shall be deemed to have:</w:t>
      </w:r>
    </w:p>
    <w:p>
      <w:pPr>
        <w:spacing w:after="0" w:line="86" w:lineRule="exact"/>
        <w:rPr>
          <w:rFonts w:ascii="Arial" w:cs="Arial" w:eastAsia="Arial" w:hAnsi="Arial"/>
          <w:sz w:val="13"/>
          <w:szCs w:val="13"/>
          <w:color w:val="auto"/>
        </w:rPr>
      </w:pPr>
    </w:p>
    <w:p>
      <w:pPr>
        <w:ind w:left="1720" w:right="240" w:hanging="565"/>
        <w:spacing w:after="0" w:line="276" w:lineRule="auto"/>
        <w:tabs>
          <w:tab w:leader="none" w:pos="1720" w:val="left"/>
        </w:tabs>
        <w:numPr>
          <w:ilvl w:val="2"/>
          <w:numId w:val="91"/>
        </w:numPr>
        <w:rPr>
          <w:rFonts w:ascii="Arial" w:cs="Arial" w:eastAsia="Arial" w:hAnsi="Arial"/>
          <w:sz w:val="13"/>
          <w:szCs w:val="13"/>
          <w:color w:val="auto"/>
        </w:rPr>
      </w:pPr>
      <w:r>
        <w:rPr>
          <w:rFonts w:ascii="Arial" w:cs="Arial" w:eastAsia="Arial" w:hAnsi="Arial"/>
          <w:sz w:val="13"/>
          <w:szCs w:val="13"/>
          <w:color w:val="auto"/>
        </w:rPr>
        <w:t>confirmed that the representations and warranties made in Section 6.1 of this Agreement, other than those expressly stated to be made as of a specific date or otherwise expressly modified pursuant to the provisions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100330</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3"/>
          <w:szCs w:val="13"/>
          <w:color w:val="auto"/>
        </w:rPr>
        <w:t>- 5 -</w:t>
      </w:r>
    </w:p>
    <w:p>
      <w:pPr>
        <w:spacing w:after="0" w:line="145" w:lineRule="exact"/>
        <w:rPr>
          <w:sz w:val="20"/>
          <w:szCs w:val="20"/>
          <w:color w:val="auto"/>
        </w:rPr>
      </w:pPr>
    </w:p>
    <w:p>
      <w:pPr>
        <w:ind w:left="1940" w:right="160"/>
        <w:spacing w:after="0" w:line="276" w:lineRule="auto"/>
        <w:rPr>
          <w:sz w:val="20"/>
          <w:szCs w:val="20"/>
          <w:color w:val="auto"/>
        </w:rPr>
      </w:pPr>
      <w:r>
        <w:rPr>
          <w:rFonts w:ascii="Arial" w:cs="Arial" w:eastAsia="Arial" w:hAnsi="Arial"/>
          <w:sz w:val="13"/>
          <w:szCs w:val="13"/>
          <w:color w:val="auto"/>
        </w:rPr>
        <w:t>of Section 6.2 of this Agreement, to be true and correct on and as of the date thereof including, without limitation, that there has occurred no Event of Default or Pending Event of Default which is continuing;</w:t>
      </w:r>
    </w:p>
    <w:p>
      <w:pPr>
        <w:spacing w:after="0" w:line="49" w:lineRule="exact"/>
        <w:rPr>
          <w:sz w:val="20"/>
          <w:szCs w:val="20"/>
          <w:color w:val="auto"/>
        </w:rPr>
      </w:pPr>
    </w:p>
    <w:p>
      <w:pPr>
        <w:ind w:left="1940" w:right="140" w:hanging="565"/>
        <w:spacing w:after="0" w:line="276" w:lineRule="auto"/>
        <w:tabs>
          <w:tab w:leader="none" w:pos="1940" w:val="left"/>
        </w:tabs>
        <w:numPr>
          <w:ilvl w:val="2"/>
          <w:numId w:val="92"/>
        </w:numPr>
        <w:rPr>
          <w:rFonts w:ascii="Arial" w:cs="Arial" w:eastAsia="Arial" w:hAnsi="Arial"/>
          <w:sz w:val="13"/>
          <w:szCs w:val="13"/>
          <w:color w:val="auto"/>
        </w:rPr>
      </w:pPr>
      <w:r>
        <w:rPr>
          <w:rFonts w:ascii="Arial" w:cs="Arial" w:eastAsia="Arial" w:hAnsi="Arial"/>
          <w:sz w:val="13"/>
          <w:szCs w:val="13"/>
          <w:color w:val="auto"/>
        </w:rPr>
        <w:t>agreed that, except as amended in relation to the New Commitment, this Agreement remains in full force and effect, without amendment, and that it has ratified and confirmed this Agreement; and</w:t>
      </w:r>
    </w:p>
    <w:p>
      <w:pPr>
        <w:spacing w:after="0" w:line="59" w:lineRule="exact"/>
        <w:rPr>
          <w:rFonts w:ascii="Arial" w:cs="Arial" w:eastAsia="Arial" w:hAnsi="Arial"/>
          <w:sz w:val="13"/>
          <w:szCs w:val="13"/>
          <w:color w:val="auto"/>
        </w:rPr>
      </w:pPr>
    </w:p>
    <w:p>
      <w:pPr>
        <w:ind w:left="1940" w:right="100" w:hanging="565"/>
        <w:spacing w:after="0" w:line="260" w:lineRule="auto"/>
        <w:tabs>
          <w:tab w:leader="none" w:pos="1940" w:val="left"/>
        </w:tabs>
        <w:numPr>
          <w:ilvl w:val="2"/>
          <w:numId w:val="92"/>
        </w:numPr>
        <w:rPr>
          <w:rFonts w:ascii="Arial" w:cs="Arial" w:eastAsia="Arial" w:hAnsi="Arial"/>
          <w:sz w:val="13"/>
          <w:szCs w:val="13"/>
          <w:color w:val="auto"/>
        </w:rPr>
      </w:pPr>
      <w:r>
        <w:rPr>
          <w:rFonts w:ascii="Arial" w:cs="Arial" w:eastAsia="Arial" w:hAnsi="Arial"/>
          <w:sz w:val="13"/>
          <w:szCs w:val="13"/>
          <w:color w:val="auto"/>
        </w:rPr>
        <w:t>agreed that, without in any way limiting the terms of this Agreement or any other Loan Document, it has confirmed that the Security made or granted by it pursuant to this Agreement remains in full force and effect notwithstanding the arrangements effected in relation to the New Commitment and that such Security shall continue to secure or support all of the Obligations and all other the debts, liabilities and obligations described as being so supported in the Security, including but not limited to those debts, liabilities and obligations arising as a result of the New Commitment.</w:t>
      </w:r>
    </w:p>
    <w:p>
      <w:pPr>
        <w:spacing w:after="0" w:line="59" w:lineRule="exact"/>
        <w:rPr>
          <w:rFonts w:ascii="Arial" w:cs="Arial" w:eastAsia="Arial" w:hAnsi="Arial"/>
          <w:sz w:val="13"/>
          <w:szCs w:val="13"/>
          <w:color w:val="auto"/>
        </w:rPr>
      </w:pPr>
    </w:p>
    <w:p>
      <w:pPr>
        <w:ind w:left="780" w:right="60" w:hanging="555"/>
        <w:spacing w:after="0" w:line="276" w:lineRule="auto"/>
        <w:tabs>
          <w:tab w:leader="none" w:pos="7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transactions arising from the Commitment Request shall be completed within 15 days after the Agent delivers the Existing Lender Notice. In connection therewith, and prior to or concurrent with the initial Advance under the New Commitment:</w:t>
      </w:r>
    </w:p>
    <w:p>
      <w:pPr>
        <w:spacing w:after="0" w:line="49" w:lineRule="exact"/>
        <w:rPr>
          <w:rFonts w:ascii="Arial" w:cs="Arial" w:eastAsia="Arial" w:hAnsi="Arial"/>
          <w:sz w:val="13"/>
          <w:szCs w:val="13"/>
          <w:color w:val="auto"/>
        </w:rPr>
      </w:pPr>
    </w:p>
    <w:p>
      <w:pPr>
        <w:ind w:left="1360" w:right="220" w:hanging="565"/>
        <w:spacing w:after="0" w:line="320" w:lineRule="auto"/>
        <w:tabs>
          <w:tab w:leader="none" w:pos="1360" w:val="left"/>
        </w:tabs>
        <w:numPr>
          <w:ilvl w:val="1"/>
          <w:numId w:val="93"/>
        </w:numPr>
        <w:rPr>
          <w:rFonts w:ascii="Arial" w:cs="Arial" w:eastAsia="Arial" w:hAnsi="Arial"/>
          <w:sz w:val="12"/>
          <w:szCs w:val="12"/>
          <w:color w:val="auto"/>
        </w:rPr>
      </w:pPr>
      <w:r>
        <w:rPr>
          <w:rFonts w:ascii="Arial" w:cs="Arial" w:eastAsia="Arial" w:hAnsi="Arial"/>
          <w:sz w:val="12"/>
          <w:szCs w:val="12"/>
          <w:color w:val="auto"/>
        </w:rPr>
        <w:t>the Borrower and each other Obligor shall, promptly do, make, execute or deliver, or cause to be done, made, executed or delivered, all such further acts, documents and things as the Agent may reasonably request including, without limitation providing documentation parallel in scope to the documentation described in Sections 4.1(2) and 4.1(3);</w:t>
      </w:r>
    </w:p>
    <w:p>
      <w:pPr>
        <w:spacing w:after="0" w:line="35" w:lineRule="exact"/>
        <w:rPr>
          <w:rFonts w:ascii="Arial" w:cs="Arial" w:eastAsia="Arial" w:hAnsi="Arial"/>
          <w:sz w:val="12"/>
          <w:szCs w:val="12"/>
          <w:color w:val="auto"/>
        </w:rPr>
      </w:pPr>
    </w:p>
    <w:p>
      <w:pPr>
        <w:ind w:left="1360" w:hanging="565"/>
        <w:spacing w:after="0"/>
        <w:tabs>
          <w:tab w:leader="none" w:pos="1360" w:val="left"/>
        </w:tabs>
        <w:numPr>
          <w:ilvl w:val="1"/>
          <w:numId w:val="93"/>
        </w:numPr>
        <w:rPr>
          <w:rFonts w:ascii="Arial" w:cs="Arial" w:eastAsia="Arial" w:hAnsi="Arial"/>
          <w:sz w:val="13"/>
          <w:szCs w:val="13"/>
          <w:color w:val="auto"/>
        </w:rPr>
      </w:pPr>
      <w:r>
        <w:rPr>
          <w:rFonts w:ascii="Arial" w:cs="Arial" w:eastAsia="Arial" w:hAnsi="Arial"/>
          <w:sz w:val="13"/>
          <w:szCs w:val="13"/>
          <w:color w:val="auto"/>
        </w:rPr>
        <w:t>pay any related fees in relation to the New Commitment; and</w:t>
      </w:r>
    </w:p>
    <w:p>
      <w:pPr>
        <w:spacing w:after="0" w:line="96" w:lineRule="exact"/>
        <w:rPr>
          <w:rFonts w:ascii="Arial" w:cs="Arial" w:eastAsia="Arial" w:hAnsi="Arial"/>
          <w:sz w:val="13"/>
          <w:szCs w:val="13"/>
          <w:color w:val="auto"/>
        </w:rPr>
      </w:pPr>
    </w:p>
    <w:p>
      <w:pPr>
        <w:ind w:left="1360" w:hanging="565"/>
        <w:spacing w:after="0"/>
        <w:tabs>
          <w:tab w:leader="none" w:pos="1360" w:val="left"/>
        </w:tabs>
        <w:numPr>
          <w:ilvl w:val="1"/>
          <w:numId w:val="93"/>
        </w:numPr>
        <w:rPr>
          <w:rFonts w:ascii="Arial" w:cs="Arial" w:eastAsia="Arial" w:hAnsi="Arial"/>
          <w:sz w:val="13"/>
          <w:szCs w:val="13"/>
          <w:color w:val="auto"/>
        </w:rPr>
      </w:pPr>
      <w:r>
        <w:rPr>
          <w:rFonts w:ascii="Arial" w:cs="Arial" w:eastAsia="Arial" w:hAnsi="Arial"/>
          <w:sz w:val="13"/>
          <w:szCs w:val="13"/>
          <w:color w:val="auto"/>
        </w:rPr>
        <w:t>the Agent shall circulate a revised Schedule E to this Agreement to the Borrower and each of the Lenders.</w:t>
      </w:r>
    </w:p>
    <w:p>
      <w:pPr>
        <w:spacing w:after="0" w:line="86" w:lineRule="exact"/>
        <w:rPr>
          <w:rFonts w:ascii="Arial" w:cs="Arial" w:eastAsia="Arial" w:hAnsi="Arial"/>
          <w:sz w:val="13"/>
          <w:szCs w:val="13"/>
          <w:color w:val="auto"/>
        </w:rPr>
      </w:pPr>
    </w:p>
    <w:p>
      <w:pPr>
        <w:ind w:left="780" w:hanging="555"/>
        <w:spacing w:after="0"/>
        <w:tabs>
          <w:tab w:leader="none" w:pos="7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For greater certainty, no approval of any Commitment Request shall be required from any Lender which is not a Committing Lender.</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Section 4 – Amendment to Schedule E of Existing Credit 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Schedule E to the Existing Credit Agreement is deleted and replaced by Schedule E to this First Amendment Agreement.</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3"/>
          <w:szCs w:val="13"/>
          <w:color w:val="auto"/>
        </w:rPr>
        <w:t>- 6 -</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Section 5 – Conditions Precedent to Effectiveness of this First Amendment 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First Amendment Agreement shall become binding on the Lenders only upon satisfaction of the following conditions precedent:</w:t>
      </w:r>
    </w:p>
    <w:p>
      <w:pPr>
        <w:spacing w:after="0" w:line="86" w:lineRule="exact"/>
        <w:rPr>
          <w:sz w:val="20"/>
          <w:szCs w:val="20"/>
          <w:color w:val="auto"/>
        </w:rPr>
      </w:pPr>
    </w:p>
    <w:p>
      <w:pPr>
        <w:ind w:left="780" w:hanging="555"/>
        <w:spacing w:after="0"/>
        <w:tabs>
          <w:tab w:leader="none" w:pos="7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execution and delivery of this First Amendment Agreement by each of the Borrower and the Guarantors;</w:t>
      </w:r>
    </w:p>
    <w:p>
      <w:pPr>
        <w:spacing w:after="0" w:line="96" w:lineRule="exact"/>
        <w:rPr>
          <w:rFonts w:ascii="Arial" w:cs="Arial" w:eastAsia="Arial" w:hAnsi="Arial"/>
          <w:sz w:val="13"/>
          <w:szCs w:val="13"/>
          <w:color w:val="auto"/>
        </w:rPr>
      </w:pPr>
    </w:p>
    <w:p>
      <w:pPr>
        <w:ind w:left="780" w:hanging="555"/>
        <w:spacing w:after="0"/>
        <w:tabs>
          <w:tab w:leader="none" w:pos="7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execution and delivery of this First Amendment Agreement by the Lenders in accordance with Section 9.7 of the Existing Credit Agreement;</w:t>
      </w:r>
    </w:p>
    <w:p>
      <w:pPr>
        <w:spacing w:after="0" w:line="96" w:lineRule="exact"/>
        <w:rPr>
          <w:rFonts w:ascii="Arial" w:cs="Arial" w:eastAsia="Arial" w:hAnsi="Arial"/>
          <w:sz w:val="13"/>
          <w:szCs w:val="13"/>
          <w:color w:val="auto"/>
        </w:rPr>
      </w:pPr>
    </w:p>
    <w:p>
      <w:pPr>
        <w:ind w:left="780" w:hanging="555"/>
        <w:spacing w:after="0"/>
        <w:tabs>
          <w:tab w:leader="none" w:pos="7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no Event of Default or Pending Event of Default having occurred and being continuing as at the date of satisfaction of all of the foregoing conditions precedent;</w:t>
      </w:r>
    </w:p>
    <w:p>
      <w:pPr>
        <w:spacing w:after="0" w:line="96" w:lineRule="exact"/>
        <w:rPr>
          <w:rFonts w:ascii="Arial" w:cs="Arial" w:eastAsia="Arial" w:hAnsi="Arial"/>
          <w:sz w:val="13"/>
          <w:szCs w:val="13"/>
          <w:color w:val="auto"/>
        </w:rPr>
      </w:pPr>
    </w:p>
    <w:p>
      <w:pPr>
        <w:ind w:left="780" w:right="100" w:hanging="555"/>
        <w:spacing w:after="0" w:line="276" w:lineRule="auto"/>
        <w:tabs>
          <w:tab w:leader="none" w:pos="7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Agent having received an amendment fee equal to 0.10% of the amount of the Credit, being Cdn. $340,000, for the account of each consenting Lender in proportion to each Lender’s Commitment as set forth in Schedule E;</w:t>
      </w:r>
    </w:p>
    <w:p>
      <w:pPr>
        <w:spacing w:after="0" w:line="59" w:lineRule="exact"/>
        <w:rPr>
          <w:rFonts w:ascii="Arial" w:cs="Arial" w:eastAsia="Arial" w:hAnsi="Arial"/>
          <w:sz w:val="13"/>
          <w:szCs w:val="13"/>
          <w:color w:val="auto"/>
        </w:rPr>
      </w:pPr>
    </w:p>
    <w:p>
      <w:pPr>
        <w:ind w:left="780" w:right="380" w:hanging="555"/>
        <w:spacing w:after="0" w:line="276" w:lineRule="auto"/>
        <w:tabs>
          <w:tab w:leader="none" w:pos="7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Agent having received the favourable opinions of such Ontario and foreign counsel to the Borrower and the Guarantors as it may reasonably require, in relation to the enforceability of this First Amendment Agreement; and</w:t>
      </w:r>
    </w:p>
    <w:p>
      <w:pPr>
        <w:spacing w:after="0" w:line="59" w:lineRule="exact"/>
        <w:rPr>
          <w:rFonts w:ascii="Arial" w:cs="Arial" w:eastAsia="Arial" w:hAnsi="Arial"/>
          <w:sz w:val="13"/>
          <w:szCs w:val="13"/>
          <w:color w:val="auto"/>
        </w:rPr>
      </w:pPr>
    </w:p>
    <w:p>
      <w:pPr>
        <w:ind w:left="780" w:right="280" w:hanging="555"/>
        <w:spacing w:after="0" w:line="276" w:lineRule="auto"/>
        <w:tabs>
          <w:tab w:leader="none" w:pos="7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Agent having received such corporate resolutions, incumbency and other certificates of each of the Borrower and the Guarantors as the Agent may reasonably request in connection with this First Amendment Agreement and the transactions contemplated hereby.</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Section 6 – Representations and Warranties of the Obligors</w:t>
      </w:r>
    </w:p>
    <w:p>
      <w:pPr>
        <w:spacing w:after="0" w:line="90" w:lineRule="exact"/>
        <w:rPr>
          <w:sz w:val="20"/>
          <w:szCs w:val="20"/>
          <w:color w:val="auto"/>
        </w:rPr>
      </w:pPr>
    </w:p>
    <w:p>
      <w:pPr>
        <w:ind w:right="20" w:firstLine="164"/>
        <w:spacing w:after="0" w:line="258" w:lineRule="auto"/>
        <w:rPr>
          <w:sz w:val="20"/>
          <w:szCs w:val="20"/>
          <w:color w:val="auto"/>
        </w:rPr>
      </w:pPr>
      <w:r>
        <w:rPr>
          <w:rFonts w:ascii="Arial" w:cs="Arial" w:eastAsia="Arial" w:hAnsi="Arial"/>
          <w:sz w:val="13"/>
          <w:szCs w:val="13"/>
          <w:color w:val="auto"/>
        </w:rPr>
        <w:t>Each of the Obligors acknowledge that this First Amendment Agreement is a Loan Document and that all of their respective representations and warranties concerning Loan Documents that are contained in the Existing Credit Agreement apply to this First Amendment Agreement and are deemed to be repeated on their execution of this First Amendment Agreement as if set out in full in this First Amendment Agreement. The other representations and warranties made in Section 6.1 of the Existing Credit Agreement, other than those expressly stated to be made as of a specific date or otherwise expressly modified pursuant to the provisions of Section 6.2 of the Existing Credit Agreement, are true and correct on and as of the date hereof with the same force and effect as if such representations and warranties had been made on and as of the date hereof, but subject to the same qualifications as are contained in Section 6.2 of the Existing Credit Agreement.</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Section 7 – Continuing Effect of Existing Credit Agreement</w:t>
      </w:r>
    </w:p>
    <w:p>
      <w:pPr>
        <w:spacing w:after="0" w:line="90"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Except as amended by this First Amendment Agreement, the Existing Credit Agreement shall remain in full force and effect, without amendment, and is hereby ratified and confirmed. Without in any way limiting the terms of the Existing Credit Agreement or any other Loan Document, each Obligor confirms that the Security made or granted by it pursuant to the</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3"/>
          <w:szCs w:val="13"/>
          <w:color w:val="auto"/>
        </w:rPr>
        <w:t>- 7 -</w:t>
      </w:r>
    </w:p>
    <w:p>
      <w:pPr>
        <w:spacing w:after="0" w:line="145"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Existing Credit Agreement remains in full force and effect notwithstanding the amendments to the Existing Credit Agreement contained herein and that such Security shall continue to secure or support all of the Obligations and all other the debts, liabilities and obligations described as being so supported in the Security, including but not limited to those debts, liabilities and obligations arising as a result of this First Amendment Agreement.</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Section 8 – Further Assurances</w:t>
      </w:r>
    </w:p>
    <w:p>
      <w:pPr>
        <w:spacing w:after="0" w:line="90" w:lineRule="exact"/>
        <w:rPr>
          <w:sz w:val="20"/>
          <w:szCs w:val="20"/>
          <w:color w:val="auto"/>
        </w:rPr>
      </w:pPr>
    </w:p>
    <w:p>
      <w:pPr>
        <w:ind w:right="20" w:firstLine="161"/>
        <w:spacing w:after="0" w:line="371" w:lineRule="auto"/>
        <w:rPr>
          <w:sz w:val="20"/>
          <w:szCs w:val="20"/>
          <w:color w:val="auto"/>
        </w:rPr>
      </w:pPr>
      <w:r>
        <w:rPr>
          <w:rFonts w:ascii="Arial" w:cs="Arial" w:eastAsia="Arial" w:hAnsi="Arial"/>
          <w:sz w:val="11"/>
          <w:szCs w:val="11"/>
          <w:color w:val="auto"/>
        </w:rPr>
        <w:t>The Borrower shall promptly do, make, execute or deliver, or cause to be done, made, executed or delivered, all such further acts, documents and things as the Agent may require from time to time for the purposes of giving effect to this First Amendment Agreement and shall use reasonable efforts and take all such steps as may be within its power to implement, to the full extent, the provisions of this First Amendment Agreement.</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Section 9 – Counterparts and Facsimile</w:t>
      </w:r>
    </w:p>
    <w:p>
      <w:pPr>
        <w:spacing w:after="0" w:line="90" w:lineRule="exact"/>
        <w:rPr>
          <w:sz w:val="20"/>
          <w:szCs w:val="20"/>
          <w:color w:val="auto"/>
        </w:rPr>
      </w:pPr>
    </w:p>
    <w:p>
      <w:pPr>
        <w:ind w:right="140" w:firstLine="161"/>
        <w:spacing w:after="0" w:line="371" w:lineRule="auto"/>
        <w:rPr>
          <w:sz w:val="20"/>
          <w:szCs w:val="20"/>
          <w:color w:val="auto"/>
        </w:rPr>
      </w:pPr>
      <w:r>
        <w:rPr>
          <w:rFonts w:ascii="Arial" w:cs="Arial" w:eastAsia="Arial" w:hAnsi="Arial"/>
          <w:sz w:val="11"/>
          <w:szCs w:val="11"/>
          <w:color w:val="auto"/>
        </w:rPr>
        <w:t>This First Amendment Agreement may be executed in any number of counterparts, each of which when executed and delivered shall be deemed to be an original, and such counterparts together shall constitute one and the same agreement. For the purposes of this Section, the delivery of a facsimile copy of an executed counterpart of this First Amendment Agreement shall be deemed to be valid execution and delivery thereof.</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Section 10 – Governing Law</w:t>
      </w:r>
    </w:p>
    <w:p>
      <w:pPr>
        <w:spacing w:after="0" w:line="90" w:lineRule="exact"/>
        <w:rPr>
          <w:sz w:val="20"/>
          <w:szCs w:val="20"/>
          <w:color w:val="auto"/>
        </w:rPr>
      </w:pPr>
    </w:p>
    <w:p>
      <w:pPr>
        <w:ind w:right="480" w:firstLine="161"/>
        <w:spacing w:after="0" w:line="276" w:lineRule="auto"/>
        <w:rPr>
          <w:sz w:val="20"/>
          <w:szCs w:val="20"/>
          <w:color w:val="auto"/>
        </w:rPr>
      </w:pPr>
      <w:r>
        <w:rPr>
          <w:rFonts w:ascii="Arial" w:cs="Arial" w:eastAsia="Arial" w:hAnsi="Arial"/>
          <w:sz w:val="13"/>
          <w:szCs w:val="13"/>
          <w:color w:val="auto"/>
        </w:rPr>
        <w:t>The parties agree that this First Amendment Agreement shall be conclusively deemed to be a contract made under, and shall for all purposes be governed by and construed in accordance with, the laws of the Province of Ontario and the laws of Canada applicable in the Province of Ontario.</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Section 11 – Interpretation</w:t>
      </w:r>
    </w:p>
    <w:p>
      <w:pPr>
        <w:spacing w:after="0" w:line="90" w:lineRule="exact"/>
        <w:rPr>
          <w:sz w:val="20"/>
          <w:szCs w:val="20"/>
          <w:color w:val="auto"/>
        </w:rPr>
      </w:pPr>
    </w:p>
    <w:p>
      <w:pPr>
        <w:ind w:right="460" w:firstLine="164"/>
        <w:spacing w:after="0" w:line="276" w:lineRule="auto"/>
        <w:rPr>
          <w:sz w:val="20"/>
          <w:szCs w:val="20"/>
          <w:color w:val="auto"/>
        </w:rPr>
      </w:pPr>
      <w:r>
        <w:rPr>
          <w:rFonts w:ascii="Arial" w:cs="Arial" w:eastAsia="Arial" w:hAnsi="Arial"/>
          <w:sz w:val="13"/>
          <w:szCs w:val="13"/>
          <w:color w:val="auto"/>
        </w:rPr>
        <w:t>Capitalized terms used herein, unless otherwise defined or indicated herein, have the respective meanings defined in the Existing Credit Agreement. This First Amendment Agreement and the Existing Credit Agreement shall be read together and have effect so far as practicable as though the provisions thereof and the relevant provisions hereof are contained in one document.</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Section 12 – Effective Date</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This First Amendment Agreement may be referred to as being dated as of December 21, 2007, notwithstanding the actual date of execution by the parties hereto as set forth on their respective signing pages.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[EXECUTION PAGES FOLLOW]</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3"/>
          <w:szCs w:val="13"/>
          <w:color w:val="auto"/>
        </w:rPr>
        <w:t>- S1 -</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duly executed this First Amendment Agreement as of the 21st day of December, 2007.</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THE BANK OF NOVA SCOTIA</w:t>
      </w:r>
      <w:r>
        <w:rPr>
          <w:rFonts w:ascii="Arial" w:cs="Arial" w:eastAsia="Arial" w:hAnsi="Arial"/>
          <w:sz w:val="13"/>
          <w:szCs w:val="13"/>
          <w:color w:val="auto"/>
        </w:rPr>
        <w:t>, as Agent</w:t>
      </w:r>
    </w:p>
    <w:p>
      <w:pPr>
        <w:spacing w:after="0" w:line="169"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R. J. BOOMHOUR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R. J. Boomhour</w:t>
      </w:r>
    </w:p>
    <w:p>
      <w:pPr>
        <w:spacing w:after="0" w:line="15" w:lineRule="exact"/>
        <w:rPr>
          <w:sz w:val="20"/>
          <w:szCs w:val="20"/>
          <w:color w:val="auto"/>
        </w:rPr>
      </w:pPr>
    </w:p>
    <w:p>
      <w:pPr>
        <w:jc w:val="center"/>
        <w:ind w:left="340"/>
        <w:spacing w:after="0"/>
        <w:rPr>
          <w:sz w:val="20"/>
          <w:szCs w:val="20"/>
          <w:color w:val="auto"/>
        </w:rPr>
      </w:pPr>
      <w:r>
        <w:rPr>
          <w:rFonts w:ascii="Arial" w:cs="Arial" w:eastAsia="Arial" w:hAnsi="Arial"/>
          <w:sz w:val="13"/>
          <w:szCs w:val="13"/>
          <w:color w:val="auto"/>
        </w:rPr>
        <w:t>Director</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By: /s/ J. QI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right="5260" w:firstLine="10"/>
        <w:spacing w:after="0" w:line="371" w:lineRule="auto"/>
        <w:tabs>
          <w:tab w:leader="none" w:pos="5796" w:val="left"/>
        </w:tabs>
        <w:numPr>
          <w:ilvl w:val="0"/>
          <w:numId w:val="95"/>
        </w:numPr>
        <w:rPr>
          <w:rFonts w:ascii="Arial" w:cs="Arial" w:eastAsia="Arial" w:hAnsi="Arial"/>
          <w:sz w:val="11"/>
          <w:szCs w:val="11"/>
          <w:color w:val="auto"/>
        </w:rPr>
      </w:pPr>
      <w:r>
        <w:rPr>
          <w:rFonts w:ascii="Arial" w:cs="Arial" w:eastAsia="Arial" w:hAnsi="Arial"/>
          <w:sz w:val="11"/>
          <w:szCs w:val="11"/>
          <w:color w:val="auto"/>
        </w:rPr>
        <w:t>Qi Associate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[signature page for First Amendment Agreement to Credit Agreement relating to Waste Management of Canada Corporation et al.]</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3"/>
          <w:szCs w:val="13"/>
          <w:color w:val="auto"/>
        </w:rPr>
        <w:t>- S2 -</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duly executed this First Amendment Agreement as of the 21st day of December, 2007.</w:t>
      </w:r>
    </w:p>
    <w:p>
      <w:pPr>
        <w:spacing w:after="0" w:line="165"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WASTE MANAGEMENT OF CANADA CORPORATION</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596515"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Cherie C. Rice</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Vice President and Treasurer</w:t>
      </w:r>
    </w:p>
    <w:p>
      <w:pPr>
        <w:spacing w:after="0" w:line="315"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DAVID LAPAUL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59651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David LaPaul</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Assistant Treasurer</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[signature page for First Amendment Agreement to Credit Agreement relating to Waste Management of Canada Corporation et al.]</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3"/>
          <w:szCs w:val="13"/>
          <w:color w:val="auto"/>
        </w:rPr>
        <w:t>- S3 -</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duly executed this First Amendment Agreement as of the 21st day of December, 2007.</w:t>
      </w:r>
    </w:p>
    <w:p>
      <w:pPr>
        <w:spacing w:after="0" w:line="165"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WASTE MANAGEMENT, INC.</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59651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Cherie C. Rice</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Vice President-Finance &amp; Treasurer</w:t>
      </w:r>
    </w:p>
    <w:p>
      <w:pPr>
        <w:spacing w:after="0" w:line="315"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DAVID LAPAUL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59651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David LaPaul</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Assistant Treasurer</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[signature page for First Amendment Agreement to Credit Agreement relating to Waste Management of Canada Corporation et al.]</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3"/>
          <w:szCs w:val="13"/>
          <w:color w:val="auto"/>
        </w:rPr>
        <w:t>- S4 -</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duly executed this First Amendment Agreement as of the 21st day of December, 2007.</w:t>
      </w:r>
    </w:p>
    <w:p>
      <w:pPr>
        <w:spacing w:after="0" w:line="165"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WASTE MANAGEMENT HOLDINGS, INC.</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596515"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Cherie C. Rice</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Vice President and Treasurer</w:t>
      </w:r>
    </w:p>
    <w:p>
      <w:pPr>
        <w:spacing w:after="0" w:line="315"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DAVID LAPAUL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596515"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David LaPaul</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Assistant Treasurer</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[signature page for First Amendment Agreement to Credit Agreement relating to Waste Management of Canada Corporation et al.]</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3"/>
          <w:szCs w:val="13"/>
          <w:color w:val="auto"/>
        </w:rPr>
        <w:t>- S5 -</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duly executed this First Amendment Agreement as of the 21st day of December, 2007.</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BNP PARIBAS (CANADA)</w:t>
      </w:r>
    </w:p>
    <w:p>
      <w:pPr>
        <w:spacing w:after="0" w:line="169"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ANDREW SCLATER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Andrew Sclater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Vice President</w:t>
      </w:r>
    </w:p>
    <w:p>
      <w:pPr>
        <w:spacing w:after="0" w:line="31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COLIN DICKINSON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Colin Dickinson</w:t>
      </w:r>
    </w:p>
    <w:p>
      <w:pPr>
        <w:spacing w:after="0" w:line="15" w:lineRule="exact"/>
        <w:rPr>
          <w:sz w:val="20"/>
          <w:szCs w:val="20"/>
          <w:color w:val="auto"/>
        </w:rPr>
      </w:pPr>
    </w:p>
    <w:p>
      <w:pPr>
        <w:jc w:val="center"/>
        <w:ind w:left="340"/>
        <w:spacing w:after="0"/>
        <w:rPr>
          <w:sz w:val="20"/>
          <w:szCs w:val="20"/>
          <w:color w:val="auto"/>
        </w:rPr>
      </w:pPr>
      <w:r>
        <w:rPr>
          <w:rFonts w:ascii="Arial" w:cs="Arial" w:eastAsia="Arial" w:hAnsi="Arial"/>
          <w:sz w:val="13"/>
          <w:szCs w:val="13"/>
          <w:color w:val="auto"/>
        </w:rPr>
        <w:t>Director</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[signature page for First Amendment Agreement to Credit Agreement relating to Waste Management of Canada Corporation et al.]</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3"/>
          <w:szCs w:val="13"/>
          <w:color w:val="auto"/>
        </w:rPr>
        <w:t>- S6 -</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duly executed this First Amendment Agreement as of the 21st day of December, 2007.</w:t>
      </w:r>
    </w:p>
    <w:p>
      <w:pPr>
        <w:spacing w:after="0" w:line="165"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THE BANK OF NOVA SCOTIA</w:t>
      </w:r>
      <w:r>
        <w:rPr>
          <w:rFonts w:ascii="Arial" w:cs="Arial" w:eastAsia="Arial" w:hAnsi="Arial"/>
          <w:sz w:val="13"/>
          <w:szCs w:val="13"/>
          <w:color w:val="auto"/>
        </w:rPr>
        <w:t>, as Lender</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D. MALONEY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59651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 Maloney</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Director, Credit Solutions</w:t>
      </w:r>
    </w:p>
    <w:p>
      <w:pPr>
        <w:spacing w:after="0" w:line="315"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J. HOLZSCHERER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59651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J. Holzscherer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Senior Credit Solutions Manager</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[signature page for First Amendment Agreement to Credit Agreement relating to Waste Management of Canada Corporation et al.]</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3"/>
          <w:szCs w:val="13"/>
          <w:color w:val="auto"/>
        </w:rPr>
        <w:t>- S7 -</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duly executed this First Amendment Agreement as of the 21st day of December, 2007.</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BANK OF AMERICA, NATIONAL</w:t>
      </w:r>
    </w:p>
    <w:p>
      <w:pPr>
        <w:spacing w:after="0" w:line="19"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ASSOCIATION (CANADA BRANCH)</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MEDINA SALES DE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Medina Sales De Andrade</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[signature page for First Amendment Agreement to Credit Agreement relating to Waste Management of Canada Corporation et al.]</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3"/>
          <w:szCs w:val="13"/>
          <w:color w:val="auto"/>
        </w:rPr>
        <w:t>- S8 -</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duly executed this First Amendment Agreement as of the 21st day of December, 2007.</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MIZUHO CORPORATE BANK, LTD.</w:t>
      </w:r>
    </w:p>
    <w:p>
      <w:pPr>
        <w:spacing w:after="0" w:line="169"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HIRONOBU SHIRAISHI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Hironobu Shiraishi</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Joint General Manager</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[signature page for First Amendment Agreement to Credit Agreement relating to Waste Management of Canada Corporation et al.]</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3"/>
          <w:szCs w:val="13"/>
          <w:color w:val="auto"/>
        </w:rPr>
        <w:t>- S9 -</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duly executed this First Amendment Agreement as of the 21st day of December, 2007.</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ABN AMRO BANK N.V.</w:t>
      </w:r>
    </w:p>
    <w:p>
      <w:pPr>
        <w:spacing w:after="0" w:line="19"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(CANADA BRANCH)</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AMY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Amy MacDonald</w:t>
      </w:r>
    </w:p>
    <w:p>
      <w:pPr>
        <w:spacing w:after="0" w:line="15" w:lineRule="exact"/>
        <w:rPr>
          <w:sz w:val="20"/>
          <w:szCs w:val="20"/>
          <w:color w:val="auto"/>
        </w:rPr>
      </w:pPr>
    </w:p>
    <w:p>
      <w:pPr>
        <w:jc w:val="center"/>
        <w:ind w:left="380"/>
        <w:spacing w:after="0"/>
        <w:rPr>
          <w:sz w:val="20"/>
          <w:szCs w:val="20"/>
          <w:color w:val="auto"/>
        </w:rPr>
      </w:pPr>
      <w:r>
        <w:rPr>
          <w:rFonts w:ascii="Arial" w:cs="Arial" w:eastAsia="Arial" w:hAnsi="Arial"/>
          <w:sz w:val="13"/>
          <w:szCs w:val="13"/>
          <w:color w:val="auto"/>
        </w:rPr>
        <w:t>Manager</w:t>
      </w:r>
    </w:p>
    <w:p>
      <w:pPr>
        <w:spacing w:after="0" w:line="31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Geoffrey Morphy</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Senior 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[signature page for First Amendment Agreement to Credit Agreement relating to Waste Management of Canada Corporation et al.]</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3"/>
          <w:szCs w:val="13"/>
          <w:color w:val="auto"/>
        </w:rPr>
        <w:t>- S10 -</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duly executed this First Amendment Agreement as of the 21st day of December, 2007.</w:t>
      </w:r>
    </w:p>
    <w:p>
      <w:pPr>
        <w:spacing w:after="0" w:line="165"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SUMITOMO MITSUI BANKING</w:t>
      </w:r>
    </w:p>
    <w:p>
      <w:pPr>
        <w:spacing w:after="0" w:line="19"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CORPORATION OF CANADA</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ELWOOD LANGLEY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596515"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Elwood Langley</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Senior 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[signature page for First Amendment Agreement to Credit Agreement relating to Waste Management of Canada Corporation et al.]</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3"/>
          <w:szCs w:val="13"/>
          <w:color w:val="auto"/>
        </w:rPr>
        <w:t>- S11 -</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duly executed this First Amendment Agreement as of the 21st day of December, 2007.</w:t>
      </w:r>
    </w:p>
    <w:p>
      <w:pPr>
        <w:spacing w:after="0" w:line="165"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U.S. BANK NATIONAL ASSOCIATION,</w:t>
      </w:r>
    </w:p>
    <w:p>
      <w:pPr>
        <w:spacing w:after="0" w:line="19"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CANADA BRANCH</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Signature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10795</wp:posOffset>
            </wp:positionV>
            <wp:extent cx="2596515"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[signature page for First Amendment Agreement to Credit Agreement relating to Waste Management of Canada Corporation et al.]</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3"/>
          <w:szCs w:val="13"/>
          <w:color w:val="auto"/>
        </w:rPr>
        <w:t>- S12 -</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duly executed this First Amendment Agreement as of the 21st day of December, 2007.</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JPMORGAN CHASE BANK, NATIONAL</w:t>
      </w:r>
    </w:p>
    <w:p>
      <w:pPr>
        <w:spacing w:after="0" w:line="19"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ASSOCIATION, TORONTO BRANCH</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MUHAMMAD HASAN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Muhammad Hasan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[signature page for First Amendment Agreement to Credit Agreement relating to Waste Management of Canada Corporation et al.]</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3"/>
          <w:szCs w:val="13"/>
          <w:color w:val="auto"/>
        </w:rPr>
        <w:t>- S13 -</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duly executed this First Amendment Agreement as of the 21st day of December, 2007.</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COMERICA BANK</w:t>
      </w:r>
    </w:p>
    <w:p>
      <w:pPr>
        <w:spacing w:after="0" w:line="169"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DE VON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De Von Lang</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Corporate Banking Officer</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[signature page for First Amendment Agreement to Credit Agreement relating to Waste Management of Canada Corporation et al.]</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3"/>
          <w:szCs w:val="13"/>
          <w:b w:val="1"/>
          <w:bCs w:val="1"/>
          <w:color w:val="auto"/>
        </w:rPr>
        <w:t>SCHEDULE 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APPLICABLE PERCENTAGES OF LENDERS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references in Section 1.1]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Lender</w:t>
            </w:r>
          </w:p>
        </w:tc>
        <w:tc>
          <w:tcPr>
            <w:tcW w:w="560" w:type="dxa"/>
            <w:vAlign w:val="bottom"/>
          </w:tcPr>
          <w:p>
            <w:pPr>
              <w:spacing w:after="0"/>
              <w:rPr>
                <w:sz w:val="10"/>
                <w:szCs w:val="10"/>
                <w:color w:val="auto"/>
              </w:rPr>
            </w:pPr>
          </w:p>
        </w:tc>
        <w:tc>
          <w:tcPr>
            <w:tcW w:w="1560" w:type="dxa"/>
            <w:vAlign w:val="bottom"/>
            <w:gridSpan w:val="2"/>
            <w:vMerge w:val="restart"/>
          </w:tcPr>
          <w:p>
            <w:pPr>
              <w:jc w:val="right"/>
              <w:ind w:right="760"/>
              <w:spacing w:after="0"/>
              <w:rPr>
                <w:sz w:val="20"/>
                <w:szCs w:val="20"/>
                <w:color w:val="auto"/>
              </w:rPr>
            </w:pPr>
            <w:r>
              <w:rPr>
                <w:rFonts w:ascii="Arial" w:cs="Arial" w:eastAsia="Arial" w:hAnsi="Arial"/>
                <w:sz w:val="10"/>
                <w:szCs w:val="10"/>
                <w:b w:val="1"/>
                <w:bCs w:val="1"/>
                <w:color w:val="auto"/>
              </w:rPr>
              <w:t>Commitment</w:t>
            </w:r>
          </w:p>
        </w:tc>
        <w:tc>
          <w:tcPr>
            <w:tcW w:w="102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rPr>
              <w:t>Applicable</w:t>
            </w:r>
          </w:p>
        </w:tc>
        <w:tc>
          <w:tcPr>
            <w:tcW w:w="0" w:type="dxa"/>
            <w:vAlign w:val="bottom"/>
          </w:tcPr>
          <w:p>
            <w:pPr>
              <w:spacing w:after="0"/>
              <w:rPr>
                <w:sz w:val="1"/>
                <w:szCs w:val="1"/>
                <w:color w:val="auto"/>
              </w:rPr>
            </w:pPr>
          </w:p>
        </w:tc>
      </w:tr>
      <w:tr>
        <w:trPr>
          <w:trHeight w:val="125"/>
        </w:trPr>
        <w:tc>
          <w:tcPr>
            <w:tcW w:w="83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rPr>
              <w:t>Percentage</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83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The Bank of Nova Scotia</w:t>
            </w:r>
          </w:p>
        </w:tc>
        <w:tc>
          <w:tcPr>
            <w:tcW w:w="5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w w:val="94"/>
              </w:rPr>
              <w:t>Cdn. $84,231,000</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24.774%</w:t>
            </w:r>
          </w:p>
        </w:tc>
        <w:tc>
          <w:tcPr>
            <w:tcW w:w="0" w:type="dxa"/>
            <w:vAlign w:val="bottom"/>
          </w:tcPr>
          <w:p>
            <w:pPr>
              <w:spacing w:after="0"/>
              <w:rPr>
                <w:sz w:val="1"/>
                <w:szCs w:val="1"/>
                <w:color w:val="auto"/>
              </w:rPr>
            </w:pPr>
          </w:p>
        </w:tc>
      </w:tr>
      <w:tr>
        <w:trPr>
          <w:trHeight w:val="313"/>
        </w:trPr>
        <w:tc>
          <w:tcPr>
            <w:tcW w:w="8320" w:type="dxa"/>
            <w:vAlign w:val="bottom"/>
            <w:gridSpan w:val="2"/>
          </w:tcPr>
          <w:p>
            <w:pPr>
              <w:spacing w:after="0"/>
              <w:rPr>
                <w:sz w:val="20"/>
                <w:szCs w:val="20"/>
                <w:color w:val="auto"/>
              </w:rPr>
            </w:pPr>
            <w:r>
              <w:rPr>
                <w:rFonts w:ascii="Arial" w:cs="Arial" w:eastAsia="Arial" w:hAnsi="Arial"/>
                <w:sz w:val="13"/>
                <w:szCs w:val="13"/>
                <w:color w:val="auto"/>
              </w:rPr>
              <w:t>BNP Paribas (Canada)</w:t>
            </w:r>
          </w:p>
        </w:tc>
        <w:tc>
          <w:tcPr>
            <w:tcW w:w="560" w:type="dxa"/>
            <w:vAlign w:val="bottom"/>
          </w:tcPr>
          <w:p>
            <w:pPr>
              <w:spacing w:after="0"/>
              <w:rPr>
                <w:sz w:val="24"/>
                <w:szCs w:val="24"/>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3"/>
                <w:szCs w:val="13"/>
                <w:color w:val="auto"/>
                <w:w w:val="94"/>
              </w:rPr>
              <w:t>Cdn. $62,430,000</w:t>
            </w: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18.362%</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Mizuho Corporate Bank, Ltd.</w:t>
            </w:r>
          </w:p>
        </w:tc>
        <w:tc>
          <w:tcPr>
            <w:tcW w:w="5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w w:val="94"/>
              </w:rPr>
              <w:t>Cdn. $41,499,000</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12.206%</w:t>
            </w:r>
          </w:p>
        </w:tc>
        <w:tc>
          <w:tcPr>
            <w:tcW w:w="0" w:type="dxa"/>
            <w:vAlign w:val="bottom"/>
          </w:tcPr>
          <w:p>
            <w:pPr>
              <w:spacing w:after="0"/>
              <w:rPr>
                <w:sz w:val="1"/>
                <w:szCs w:val="1"/>
                <w:color w:val="auto"/>
              </w:rPr>
            </w:pPr>
          </w:p>
        </w:tc>
      </w:tr>
      <w:tr>
        <w:trPr>
          <w:trHeight w:val="313"/>
        </w:trPr>
        <w:tc>
          <w:tcPr>
            <w:tcW w:w="8320" w:type="dxa"/>
            <w:vAlign w:val="bottom"/>
            <w:gridSpan w:val="2"/>
          </w:tcPr>
          <w:p>
            <w:pPr>
              <w:spacing w:after="0"/>
              <w:rPr>
                <w:sz w:val="20"/>
                <w:szCs w:val="20"/>
                <w:color w:val="auto"/>
              </w:rPr>
            </w:pPr>
            <w:r>
              <w:rPr>
                <w:rFonts w:ascii="Arial" w:cs="Arial" w:eastAsia="Arial" w:hAnsi="Arial"/>
                <w:sz w:val="13"/>
                <w:szCs w:val="13"/>
                <w:color w:val="auto"/>
              </w:rPr>
              <w:t>U.S. Bank National Association</w:t>
            </w:r>
          </w:p>
        </w:tc>
        <w:tc>
          <w:tcPr>
            <w:tcW w:w="560" w:type="dxa"/>
            <w:vAlign w:val="bottom"/>
          </w:tcPr>
          <w:p>
            <w:pPr>
              <w:spacing w:after="0"/>
              <w:rPr>
                <w:sz w:val="24"/>
                <w:szCs w:val="24"/>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3"/>
                <w:szCs w:val="13"/>
                <w:color w:val="auto"/>
                <w:w w:val="94"/>
              </w:rPr>
              <w:t>Cdn. $41,741,000</w:t>
            </w: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12.277%</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Bank of America, National Association</w:t>
            </w:r>
          </w:p>
        </w:tc>
        <w:tc>
          <w:tcPr>
            <w:tcW w:w="5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w w:val="94"/>
              </w:rPr>
              <w:t>Cdn. $37,459,000</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11.017%</w:t>
            </w:r>
          </w:p>
        </w:tc>
        <w:tc>
          <w:tcPr>
            <w:tcW w:w="0" w:type="dxa"/>
            <w:vAlign w:val="bottom"/>
          </w:tcPr>
          <w:p>
            <w:pPr>
              <w:spacing w:after="0"/>
              <w:rPr>
                <w:sz w:val="1"/>
                <w:szCs w:val="1"/>
                <w:color w:val="auto"/>
              </w:rPr>
            </w:pPr>
          </w:p>
        </w:tc>
      </w:tr>
      <w:tr>
        <w:trPr>
          <w:trHeight w:val="313"/>
        </w:trPr>
        <w:tc>
          <w:tcPr>
            <w:tcW w:w="8320" w:type="dxa"/>
            <w:vAlign w:val="bottom"/>
            <w:gridSpan w:val="2"/>
          </w:tcPr>
          <w:p>
            <w:pPr>
              <w:spacing w:after="0"/>
              <w:rPr>
                <w:sz w:val="20"/>
                <w:szCs w:val="20"/>
                <w:color w:val="auto"/>
              </w:rPr>
            </w:pPr>
            <w:r>
              <w:rPr>
                <w:rFonts w:ascii="Arial" w:cs="Arial" w:eastAsia="Arial" w:hAnsi="Arial"/>
                <w:sz w:val="13"/>
                <w:szCs w:val="13"/>
                <w:color w:val="auto"/>
              </w:rPr>
              <w:t>ABN AMRO Bank N.V.</w:t>
            </w:r>
          </w:p>
        </w:tc>
        <w:tc>
          <w:tcPr>
            <w:tcW w:w="560" w:type="dxa"/>
            <w:vAlign w:val="bottom"/>
          </w:tcPr>
          <w:p>
            <w:pPr>
              <w:spacing w:after="0"/>
              <w:rPr>
                <w:sz w:val="24"/>
                <w:szCs w:val="24"/>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3"/>
                <w:szCs w:val="13"/>
                <w:color w:val="auto"/>
                <w:w w:val="94"/>
              </w:rPr>
              <w:t>Cdn. $26,036,000</w:t>
            </w: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7.658%</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Sumitomo Mitsui Banking Corporation of Canada</w:t>
            </w:r>
          </w:p>
        </w:tc>
        <w:tc>
          <w:tcPr>
            <w:tcW w:w="5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w w:val="94"/>
              </w:rPr>
              <w:t>Cdn. $20,733,000</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6.098%</w:t>
            </w:r>
          </w:p>
        </w:tc>
        <w:tc>
          <w:tcPr>
            <w:tcW w:w="0" w:type="dxa"/>
            <w:vAlign w:val="bottom"/>
          </w:tcPr>
          <w:p>
            <w:pPr>
              <w:spacing w:after="0"/>
              <w:rPr>
                <w:sz w:val="1"/>
                <w:szCs w:val="1"/>
                <w:color w:val="auto"/>
              </w:rPr>
            </w:pPr>
          </w:p>
        </w:tc>
      </w:tr>
      <w:tr>
        <w:trPr>
          <w:trHeight w:val="313"/>
        </w:trPr>
        <w:tc>
          <w:tcPr>
            <w:tcW w:w="8320" w:type="dxa"/>
            <w:vAlign w:val="bottom"/>
            <w:gridSpan w:val="2"/>
          </w:tcPr>
          <w:p>
            <w:pPr>
              <w:spacing w:after="0"/>
              <w:rPr>
                <w:sz w:val="20"/>
                <w:szCs w:val="20"/>
                <w:color w:val="auto"/>
              </w:rPr>
            </w:pPr>
            <w:r>
              <w:rPr>
                <w:rFonts w:ascii="Arial" w:cs="Arial" w:eastAsia="Arial" w:hAnsi="Arial"/>
                <w:sz w:val="13"/>
                <w:szCs w:val="13"/>
                <w:color w:val="auto"/>
              </w:rPr>
              <w:t>JPMorgan Chase Bank, National Association</w:t>
            </w:r>
          </w:p>
        </w:tc>
        <w:tc>
          <w:tcPr>
            <w:tcW w:w="560" w:type="dxa"/>
            <w:vAlign w:val="bottom"/>
          </w:tcPr>
          <w:p>
            <w:pPr>
              <w:spacing w:after="0"/>
              <w:rPr>
                <w:sz w:val="24"/>
                <w:szCs w:val="24"/>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3"/>
                <w:szCs w:val="13"/>
                <w:color w:val="auto"/>
                <w:w w:val="94"/>
              </w:rPr>
              <w:t>Cdn. $16,557,000</w:t>
            </w: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4.870%</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Comerica Bank</w:t>
            </w:r>
          </w:p>
        </w:tc>
        <w:tc>
          <w:tcPr>
            <w:tcW w:w="5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Cdn. $9,314,000</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3"/>
                <w:szCs w:val="13"/>
                <w:color w:val="auto"/>
                <w:w w:val="88"/>
              </w:rPr>
              <w:t>Cdn. $340,000,000</w:t>
            </w:r>
          </w:p>
        </w:tc>
        <w:tc>
          <w:tcPr>
            <w:tcW w:w="1020" w:type="dxa"/>
            <w:vAlign w:val="bottom"/>
            <w:gridSpan w:val="3"/>
          </w:tcPr>
          <w:p>
            <w:pPr>
              <w:jc w:val="right"/>
              <w:ind w:right="22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bl>
    <w:p>
      <w:pPr>
        <w:spacing w:after="0" w:line="36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F</w:t>
      </w:r>
      <w:r>
        <w:rPr>
          <w:rFonts w:ascii="Arial" w:cs="Arial" w:eastAsia="Arial" w:hAnsi="Arial"/>
          <w:sz w:val="6"/>
          <w:szCs w:val="6"/>
          <w:color w:val="auto"/>
        </w:rPr>
        <w:t>IRST</w:t>
      </w:r>
      <w:r>
        <w:rPr>
          <w:rFonts w:ascii="Arial" w:cs="Arial" w:eastAsia="Arial" w:hAnsi="Arial"/>
          <w:sz w:val="10"/>
          <w:szCs w:val="10"/>
          <w:color w:val="auto"/>
        </w:rPr>
        <w:t xml:space="preserve"> A</w:t>
      </w:r>
      <w:r>
        <w:rPr>
          <w:rFonts w:ascii="Arial" w:cs="Arial" w:eastAsia="Arial" w:hAnsi="Arial"/>
          <w:sz w:val="6"/>
          <w:szCs w:val="6"/>
          <w:color w:val="auto"/>
        </w:rPr>
        <w:t>MENDMENT</w:t>
      </w:r>
      <w:r>
        <w:rPr>
          <w:rFonts w:ascii="Arial" w:cs="Arial" w:eastAsia="Arial" w:hAnsi="Arial"/>
          <w:sz w:val="10"/>
          <w:szCs w:val="10"/>
          <w:color w:val="auto"/>
        </w:rPr>
        <w:t xml:space="preserve"> A</w:t>
      </w:r>
      <w:r>
        <w:rPr>
          <w:rFonts w:ascii="Arial" w:cs="Arial" w:eastAsia="Arial" w:hAnsi="Arial"/>
          <w:sz w:val="6"/>
          <w:szCs w:val="6"/>
          <w:color w:val="auto"/>
        </w:rPr>
        <w:t>GREEMENT</w:t>
      </w:r>
    </w:p>
    <w:p>
      <w:pPr>
        <w:sectPr>
          <w:pgSz w:w="11900" w:h="16838" w:orient="portrait"/>
          <w:cols w:equalWidth="0" w:num="1">
            <w:col w:w="11460"/>
          </w:cols>
          <w:pgMar w:left="220" w:top="716" w:right="219" w:bottom="1440" w:gutter="0" w:footer="0" w:header="0"/>
        </w:sectPr>
      </w:pPr>
    </w:p>
    <w:bookmarkStart w:id="147" w:name="page148"/>
    <w:bookmarkEnd w:id="147"/>
    <w:p>
      <w:pPr>
        <w:ind w:left="10641"/>
        <w:spacing w:after="0"/>
        <w:rPr>
          <w:sz w:val="20"/>
          <w:szCs w:val="20"/>
          <w:color w:val="auto"/>
        </w:rPr>
      </w:pPr>
      <w:r>
        <w:rPr>
          <w:rFonts w:ascii="Arial" w:cs="Arial" w:eastAsia="Arial" w:hAnsi="Arial"/>
          <w:sz w:val="13"/>
          <w:szCs w:val="13"/>
          <w:b w:val="1"/>
          <w:bCs w:val="1"/>
          <w:color w:val="auto"/>
        </w:rPr>
        <w:t>EXHIBIT 12.1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COMPUTATION OF RATIO OF EARNINGS TO FIXED CHARGES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 Except Ratios)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49" w:lineRule="exact"/>
        <w:rPr>
          <w:sz w:val="20"/>
          <w:szCs w:val="20"/>
          <w:color w:val="auto"/>
        </w:rPr>
      </w:pPr>
    </w:p>
    <w:tbl>
      <w:tblPr>
        <w:tblLayout w:type="fixed"/>
        <w:tblInd w:w="1" w:type="dxa"/>
        <w:tblCellMar>
          <w:top w:w="0" w:type="dxa"/>
          <w:left w:w="0" w:type="dxa"/>
          <w:bottom w:w="0" w:type="dxa"/>
          <w:right w:w="0" w:type="dxa"/>
        </w:tblCellMar>
      </w:tblPr>
      <w:tr>
        <w:trPr>
          <w:trHeight w:val="125"/>
        </w:trPr>
        <w:tc>
          <w:tcPr>
            <w:tcW w:w="37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0"/>
                <w:szCs w:val="10"/>
                <w:b w:val="1"/>
                <w:bCs w:val="1"/>
                <w:color w:val="auto"/>
              </w:rPr>
              <w:t>Years Ended December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7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2007</w:t>
            </w:r>
          </w:p>
        </w:tc>
        <w:tc>
          <w:tcPr>
            <w:tcW w:w="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56"/>
              <w:spacing w:after="0" w:line="98" w:lineRule="exact"/>
              <w:rPr>
                <w:sz w:val="20"/>
                <w:szCs w:val="20"/>
                <w:color w:val="auto"/>
              </w:rPr>
            </w:pPr>
            <w:r>
              <w:rPr>
                <w:rFonts w:ascii="Arial" w:cs="Arial" w:eastAsia="Arial" w:hAnsi="Arial"/>
                <w:sz w:val="10"/>
                <w:szCs w:val="10"/>
                <w:b w:val="1"/>
                <w:bCs w:val="1"/>
                <w:color w:val="auto"/>
              </w:rPr>
              <w:t>2004</w:t>
            </w: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7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Income before income taxes, cumulative</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change in accounting principle,</w:t>
            </w:r>
          </w:p>
        </w:tc>
        <w:tc>
          <w:tcPr>
            <w:tcW w:w="1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losses in equity investments and</w:t>
            </w:r>
          </w:p>
        </w:tc>
        <w:tc>
          <w:tcPr>
            <w:tcW w:w="1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interests</w:t>
            </w:r>
          </w:p>
        </w:tc>
        <w:tc>
          <w:tcPr>
            <w:tcW w:w="15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1,792</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1,253</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w:t>
            </w:r>
          </w:p>
        </w:tc>
        <w:tc>
          <w:tcPr>
            <w:tcW w:w="3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3760" w:type="dxa"/>
            <w:vAlign w:val="bottom"/>
          </w:tcPr>
          <w:p>
            <w:pPr>
              <w:spacing w:after="0"/>
              <w:rPr>
                <w:sz w:val="20"/>
                <w:szCs w:val="20"/>
                <w:color w:val="auto"/>
              </w:rPr>
            </w:pPr>
            <w:r>
              <w:rPr>
                <w:rFonts w:ascii="Arial" w:cs="Arial" w:eastAsia="Arial" w:hAnsi="Arial"/>
                <w:sz w:val="13"/>
                <w:szCs w:val="13"/>
                <w:color w:val="auto"/>
              </w:rPr>
              <w:t>Fixed charges deducted from income:</w:t>
            </w:r>
          </w:p>
        </w:tc>
        <w:tc>
          <w:tcPr>
            <w:tcW w:w="1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521</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545</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496</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157"/>
        </w:trPr>
        <w:tc>
          <w:tcPr>
            <w:tcW w:w="3760" w:type="dxa"/>
            <w:vAlign w:val="bottom"/>
          </w:tcPr>
          <w:p>
            <w:pPr>
              <w:ind w:left="140"/>
              <w:spacing w:after="0"/>
              <w:rPr>
                <w:sz w:val="20"/>
                <w:szCs w:val="20"/>
                <w:color w:val="auto"/>
              </w:rPr>
            </w:pPr>
            <w:r>
              <w:rPr>
                <w:rFonts w:ascii="Arial" w:cs="Arial" w:eastAsia="Arial" w:hAnsi="Arial"/>
                <w:sz w:val="13"/>
                <w:szCs w:val="13"/>
                <w:color w:val="auto"/>
              </w:rPr>
              <w:t>Implicit interest in rents</w:t>
            </w: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44</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51</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51</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565</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594</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547</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508</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300"/>
              <w:spacing w:after="0"/>
              <w:rPr>
                <w:sz w:val="20"/>
                <w:szCs w:val="20"/>
                <w:color w:val="auto"/>
              </w:rPr>
            </w:pPr>
            <w:r>
              <w:rPr>
                <w:rFonts w:ascii="Arial" w:cs="Arial" w:eastAsia="Arial" w:hAnsi="Arial"/>
                <w:sz w:val="13"/>
                <w:szCs w:val="13"/>
                <w:color w:val="auto"/>
              </w:rPr>
              <w:t>Earnings available for fixed charges (a)</w:t>
            </w:r>
          </w:p>
        </w:tc>
        <w:tc>
          <w:tcPr>
            <w:tcW w:w="1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6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2,357</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2,154</w:t>
            </w:r>
          </w:p>
        </w:tc>
        <w:tc>
          <w:tcPr>
            <w:tcW w:w="2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1,800</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1,822</w:t>
            </w:r>
          </w:p>
        </w:tc>
        <w:tc>
          <w:tcPr>
            <w:tcW w:w="34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1,637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521</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545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496</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w:t>
            </w:r>
          </w:p>
        </w:tc>
        <w:tc>
          <w:tcPr>
            <w:tcW w:w="3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157"/>
        </w:trPr>
        <w:tc>
          <w:tcPr>
            <w:tcW w:w="3760" w:type="dxa"/>
            <w:vAlign w:val="bottom"/>
          </w:tcPr>
          <w:p>
            <w:pPr>
              <w:spacing w:after="0"/>
              <w:rPr>
                <w:sz w:val="20"/>
                <w:szCs w:val="20"/>
                <w:color w:val="auto"/>
              </w:rPr>
            </w:pPr>
            <w:r>
              <w:rPr>
                <w:rFonts w:ascii="Arial" w:cs="Arial" w:eastAsia="Arial" w:hAnsi="Arial"/>
                <w:sz w:val="13"/>
                <w:szCs w:val="13"/>
                <w:color w:val="auto"/>
              </w:rPr>
              <w:t>Capitalized interest</w:t>
            </w: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22</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9</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Implicit interest in rents</w:t>
            </w:r>
          </w:p>
        </w:tc>
        <w:tc>
          <w:tcPr>
            <w:tcW w:w="1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44</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51</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ind w:left="300"/>
              <w:spacing w:after="0"/>
              <w:rPr>
                <w:sz w:val="20"/>
                <w:szCs w:val="20"/>
                <w:color w:val="auto"/>
              </w:rPr>
            </w:pPr>
            <w:r>
              <w:rPr>
                <w:rFonts w:ascii="Arial" w:cs="Arial" w:eastAsia="Arial" w:hAnsi="Arial"/>
                <w:sz w:val="13"/>
                <w:szCs w:val="13"/>
                <w:color w:val="auto"/>
              </w:rPr>
              <w:t>Total fixed charges (a)</w:t>
            </w:r>
          </w:p>
        </w:tc>
        <w:tc>
          <w:tcPr>
            <w:tcW w:w="1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6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587</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612</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556</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528</w:t>
            </w:r>
          </w:p>
        </w:tc>
        <w:tc>
          <w:tcPr>
            <w:tcW w:w="34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530</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37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Ratio of earnings to fixed charges</w:t>
            </w: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4.0x</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3.5x</w:t>
            </w: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3.2x</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3.5x</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3.1x</w:t>
            </w:r>
          </w:p>
        </w:tc>
        <w:tc>
          <w:tcPr>
            <w:tcW w:w="0" w:type="dxa"/>
            <w:vAlign w:val="bottom"/>
          </w:tcPr>
          <w:p>
            <w:pPr>
              <w:spacing w:after="0"/>
              <w:rPr>
                <w:sz w:val="1"/>
                <w:szCs w:val="1"/>
                <w:color w:val="auto"/>
              </w:rPr>
            </w:pPr>
          </w:p>
        </w:tc>
      </w:tr>
      <w:tr>
        <w:trPr>
          <w:trHeight w:val="29"/>
        </w:trPr>
        <w:tc>
          <w:tcPr>
            <w:tcW w:w="3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31064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56" w:lineRule="exact"/>
        <w:rPr>
          <w:sz w:val="20"/>
          <w:szCs w:val="20"/>
          <w:color w:val="auto"/>
        </w:rPr>
      </w:pPr>
    </w:p>
    <w:p>
      <w:pPr>
        <w:ind w:left="461" w:hanging="461"/>
        <w:spacing w:after="0" w:line="371" w:lineRule="auto"/>
        <w:tabs>
          <w:tab w:leader="none" w:pos="461" w:val="left"/>
        </w:tabs>
        <w:numPr>
          <w:ilvl w:val="0"/>
          <w:numId w:val="96"/>
        </w:numPr>
        <w:rPr>
          <w:rFonts w:ascii="Arial" w:cs="Arial" w:eastAsia="Arial" w:hAnsi="Arial"/>
          <w:sz w:val="11"/>
          <w:szCs w:val="11"/>
          <w:color w:val="auto"/>
        </w:rPr>
      </w:pPr>
      <w:r>
        <w:rPr>
          <w:rFonts w:ascii="Arial" w:cs="Arial" w:eastAsia="Arial" w:hAnsi="Arial"/>
          <w:sz w:val="11"/>
          <w:szCs w:val="11"/>
          <w:color w:val="auto"/>
        </w:rPr>
        <w:t>To the extent interest may be assessed by taxing authorities on any underpayment of income tax, such amounts are classified as a component of income tax expense in our Statements of Operations. For purposes of this disclosure, interest expense related to income tax matters has been excluded from our measurements of “Earnings available for fixed charges” and “Total fixed charges” for all periods presented.</w:t>
      </w:r>
    </w:p>
    <w:p>
      <w:pPr>
        <w:sectPr>
          <w:pgSz w:w="11900" w:h="16838" w:orient="portrait"/>
          <w:cols w:equalWidth="0" w:num="1">
            <w:col w:w="11461"/>
          </w:cols>
          <w:pgMar w:left="219" w:top="716" w:right="21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2"/>
          </w:tcPr>
          <w:p>
            <w:pPr>
              <w:ind w:left="600"/>
              <w:spacing w:after="0"/>
              <w:rPr>
                <w:sz w:val="20"/>
                <w:szCs w:val="20"/>
                <w:color w:val="auto"/>
              </w:rPr>
            </w:pPr>
            <w:r>
              <w:rPr>
                <w:rFonts w:ascii="Arial" w:cs="Arial" w:eastAsia="Arial" w:hAnsi="Arial"/>
                <w:sz w:val="13"/>
                <w:szCs w:val="13"/>
                <w:b w:val="1"/>
                <w:bCs w:val="1"/>
                <w:color w:val="auto"/>
                <w:w w:val="91"/>
              </w:rPr>
              <w:t>Exhibit 21.1</w:t>
            </w:r>
          </w:p>
        </w:tc>
      </w:tr>
      <w:tr>
        <w:trPr>
          <w:trHeight w:val="254"/>
        </w:trPr>
        <w:tc>
          <w:tcPr>
            <w:tcW w:w="20" w:type="dxa"/>
            <w:vAlign w:val="bottom"/>
          </w:tcPr>
          <w:p>
            <w:pPr>
              <w:spacing w:after="0"/>
              <w:rPr>
                <w:sz w:val="22"/>
                <w:szCs w:val="22"/>
                <w:color w:val="auto"/>
              </w:rPr>
            </w:pPr>
          </w:p>
        </w:tc>
        <w:tc>
          <w:tcPr>
            <w:tcW w:w="9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21"/>
        </w:trPr>
        <w:tc>
          <w:tcPr>
            <w:tcW w:w="9660" w:type="dxa"/>
            <w:vAlign w:val="bottom"/>
            <w:gridSpan w:val="2"/>
          </w:tcPr>
          <w:p>
            <w:pPr>
              <w:spacing w:after="0"/>
              <w:rPr>
                <w:sz w:val="20"/>
                <w:szCs w:val="20"/>
                <w:color w:val="auto"/>
              </w:rPr>
            </w:pPr>
            <w:r>
              <w:rPr>
                <w:rFonts w:ascii="Arial" w:cs="Arial" w:eastAsia="Arial" w:hAnsi="Arial"/>
                <w:sz w:val="10"/>
                <w:szCs w:val="10"/>
                <w:b w:val="1"/>
                <w:bCs w:val="1"/>
                <w:i w:val="1"/>
                <w:iCs w:val="1"/>
                <w:color w:val="auto"/>
              </w:rPr>
              <w:t>Name</w:t>
            </w:r>
          </w:p>
        </w:tc>
        <w:tc>
          <w:tcPr>
            <w:tcW w:w="540" w:type="dxa"/>
            <w:vAlign w:val="bottom"/>
          </w:tcPr>
          <w:p>
            <w:pPr>
              <w:spacing w:after="0"/>
              <w:rPr>
                <w:sz w:val="10"/>
                <w:szCs w:val="10"/>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0"/>
                <w:szCs w:val="10"/>
                <w:b w:val="1"/>
                <w:bCs w:val="1"/>
                <w:i w:val="1"/>
                <w:iCs w:val="1"/>
                <w:color w:val="auto"/>
                <w:w w:val="93"/>
              </w:rPr>
              <w:t>or Formation</w:t>
            </w:r>
          </w:p>
        </w:tc>
      </w:tr>
      <w:tr>
        <w:trPr>
          <w:trHeight w:val="147"/>
        </w:trPr>
        <w:tc>
          <w:tcPr>
            <w:tcW w:w="20" w:type="dxa"/>
            <w:vAlign w:val="bottom"/>
          </w:tcPr>
          <w:p>
            <w:pPr>
              <w:spacing w:after="0"/>
              <w:rPr>
                <w:sz w:val="12"/>
                <w:szCs w:val="12"/>
                <w:color w:val="auto"/>
              </w:rPr>
            </w:pPr>
          </w:p>
        </w:tc>
        <w:tc>
          <w:tcPr>
            <w:tcW w:w="964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1329409 Ontario Inc.</w:t>
            </w:r>
          </w:p>
        </w:tc>
        <w:tc>
          <w:tcPr>
            <w:tcW w:w="540" w:type="dxa"/>
            <w:vAlign w:val="bottom"/>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center"/>
              <w:spacing w:after="0" w:line="148" w:lineRule="exact"/>
              <w:rPr>
                <w:sz w:val="20"/>
                <w:szCs w:val="20"/>
                <w:color w:val="auto"/>
              </w:rPr>
            </w:pPr>
            <w:r>
              <w:rPr>
                <w:rFonts w:ascii="Arial" w:cs="Arial" w:eastAsia="Arial" w:hAnsi="Arial"/>
                <w:sz w:val="13"/>
                <w:szCs w:val="13"/>
                <w:color w:val="auto"/>
                <w:w w:val="93"/>
              </w:rPr>
              <w:t>Ontario</w:t>
            </w:r>
          </w:p>
        </w:tc>
        <w:tc>
          <w:tcPr>
            <w:tcW w:w="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2M Investments,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4"/>
              </w:rPr>
              <w:t>Utah</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3368084 Canada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Canada</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635952 Ontario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3"/>
              </w:rPr>
              <w:t>Ontario</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Acaverde S.A. de C.V.</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Mexico</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Akron Regional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Alabama Waste Disposal Solutions,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Alabama</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Alliance Sanitary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Pennsylvania</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Alpharetta Transfer Station,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Georgia</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American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4"/>
              </w:rPr>
              <w:t>Ohio</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American RRT Fiber Supply, L.P.</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Pennsylvania</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Anderson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Antelope Valley Recycling and Disposal Facility,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Arden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Pennsylvania</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Atlantic Waste Disposal,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Automated Salvage Transport Co.,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Azusa Land Reclamation,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B&amp;B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Barre Landfill Gas Associates, L.P.</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Beecher Development Company</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rPr>
              <w:t>Illinois</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Bestan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Quebec</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Big Dipper Enterprises,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3"/>
              </w:rPr>
              <w:t>North Dakota</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Bio-Energy Partners</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Bluegrass Containment,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Brazoria County Recycling Center,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Texas</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Burnsville Sanitary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3"/>
              </w:rPr>
              <w:t>Minnesota</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C&amp;C Disposal,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Georgia</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C.I.D.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5"/>
              </w:rPr>
              <w:t>New York</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CA Newco,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Cal Sierra Disposal</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California</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California Asbestos Monofill,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Canadian Waste Services Holdings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3"/>
              </w:rPr>
              <w:t>Ontario</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CAP/CRA,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Capital Sanitation Company</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9"/>
              </w:rPr>
              <w:t>Nevada</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Capitol Disposal,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Alaska</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Carolina Grading,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2"/>
              </w:rPr>
              <w:t>South Carolina</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Cedar Ridge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Central Disposal Systems,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4"/>
              </w:rPr>
              <w:t>Iowa</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Central Missouri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Missouri</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Chadwick Road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Georgia</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Chambers Clearview Environmental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Mississippi</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Chambers Development Company,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Chambers Development of Ohio,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Chambers of Georgia,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Chambers of Mississippi,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Mississippi</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Chastang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Chemical Waste Management of Indiana,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Chemical Waste Management of the Northwest,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Washington</w:t>
            </w:r>
          </w:p>
        </w:tc>
        <w:tc>
          <w:tcPr>
            <w:tcW w:w="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Chemical Waste Management,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c>
          <w:tcPr>
            <w:tcW w:w="20" w:type="dxa"/>
            <w:vAlign w:val="bottom"/>
          </w:tcPr>
          <w:p>
            <w:pPr>
              <w:spacing w:after="0"/>
              <w:rPr>
                <w:sz w:val="13"/>
                <w:szCs w:val="13"/>
                <w:color w:val="auto"/>
              </w:rPr>
            </w:pPr>
          </w:p>
        </w:tc>
      </w:tr>
      <w:tr>
        <w:trPr>
          <w:trHeight w:val="457"/>
        </w:trPr>
        <w:tc>
          <w:tcPr>
            <w:tcW w:w="20" w:type="dxa"/>
            <w:vAlign w:val="bottom"/>
          </w:tcPr>
          <w:p>
            <w:pPr>
              <w:spacing w:after="0"/>
              <w:rPr>
                <w:sz w:val="24"/>
                <w:szCs w:val="24"/>
                <w:color w:val="auto"/>
              </w:rPr>
            </w:pPr>
          </w:p>
        </w:tc>
        <w:tc>
          <w:tcPr>
            <w:tcW w:w="96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15"/>
        </w:trPr>
        <w:tc>
          <w:tcPr>
            <w:tcW w:w="9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21"/>
        </w:trPr>
        <w:tc>
          <w:tcPr>
            <w:tcW w:w="96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i w:val="1"/>
                <w:iCs w:val="1"/>
                <w:color w:val="auto"/>
              </w:rPr>
              <w:t>Name</w:t>
            </w:r>
          </w:p>
        </w:tc>
        <w:tc>
          <w:tcPr>
            <w:tcW w:w="540" w:type="dxa"/>
            <w:vAlign w:val="bottom"/>
          </w:tcPr>
          <w:p>
            <w:pPr>
              <w:spacing w:after="0"/>
              <w:rPr>
                <w:sz w:val="10"/>
                <w:szCs w:val="1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i w:val="1"/>
                <w:iCs w:val="1"/>
                <w:color w:val="auto"/>
                <w:w w:val="93"/>
              </w:rPr>
              <w:t>or Formation</w:t>
            </w:r>
          </w:p>
        </w:tc>
      </w:tr>
      <w:tr>
        <w:trPr>
          <w:trHeight w:val="147"/>
        </w:trPr>
        <w:tc>
          <w:tcPr>
            <w:tcW w:w="9660" w:type="dxa"/>
            <w:vAlign w:val="bottom"/>
          </w:tcPr>
          <w:p>
            <w:pPr>
              <w:spacing w:after="0" w:line="148" w:lineRule="exact"/>
              <w:rPr>
                <w:sz w:val="20"/>
                <w:szCs w:val="20"/>
                <w:color w:val="auto"/>
              </w:rPr>
            </w:pPr>
            <w:r>
              <w:rPr>
                <w:rFonts w:ascii="Arial" w:cs="Arial" w:eastAsia="Arial" w:hAnsi="Arial"/>
                <w:sz w:val="13"/>
                <w:szCs w:val="13"/>
                <w:color w:val="auto"/>
              </w:rPr>
              <w:t>Chesser Island Road Landfill, Inc.</w:t>
            </w:r>
          </w:p>
        </w:tc>
        <w:tc>
          <w:tcPr>
            <w:tcW w:w="540" w:type="dxa"/>
            <w:vAlign w:val="bottom"/>
          </w:tcPr>
          <w:p>
            <w:pPr>
              <w:spacing w:after="0"/>
              <w:rPr>
                <w:sz w:val="12"/>
                <w:szCs w:val="12"/>
                <w:color w:val="auto"/>
              </w:rPr>
            </w:pPr>
          </w:p>
        </w:tc>
        <w:tc>
          <w:tcPr>
            <w:tcW w:w="1260" w:type="dxa"/>
            <w:vAlign w:val="bottom"/>
          </w:tcPr>
          <w:p>
            <w:pPr>
              <w:jc w:val="center"/>
              <w:spacing w:after="0" w:line="148" w:lineRule="exact"/>
              <w:rPr>
                <w:sz w:val="20"/>
                <w:szCs w:val="20"/>
                <w:color w:val="auto"/>
              </w:rPr>
            </w:pPr>
            <w:r>
              <w:rPr>
                <w:rFonts w:ascii="Arial" w:cs="Arial" w:eastAsia="Arial" w:hAnsi="Arial"/>
                <w:sz w:val="13"/>
                <w:szCs w:val="13"/>
                <w:color w:val="auto"/>
                <w:w w:val="90"/>
              </w:rPr>
              <w:t>Georgia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City Disposal Systems,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City Environmental Services, Inc. of Waters</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Michigan</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City Environmental,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City Management Corporation</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Michigan</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Cleburne Landfill Company Corp.</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Alabama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Coast Waste Management,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California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Connecticut Valley Sanitary Waste Disposal,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Massachusetts</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Conservation Services,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Colorado</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Continental Waste Industries Arizona,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New Jersey</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Coshocton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4"/>
              </w:rPr>
              <w:t>Ohio</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Cougar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Texas</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Countryside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rPr>
              <w:t>Illinois</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CR Group,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Utah</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Cuyahoga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CWM Chemical Services,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Dafter Sanitary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Michigan</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Dauphin Meadows,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Pennsylvania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Deep Valley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Deer Track Park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Del Almo Landfill,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Delaware Recyclable Products,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Dickinson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Disposal Service, Incorporated</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West Virginia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E.C. Waste,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1"/>
              </w:rPr>
              <w:t>Puerto Rico</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Earthmovers Landfill,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East Liverpool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4"/>
              </w:rPr>
              <w:t>Ohio</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Eastern One Land Corporation</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eCycling Services,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El Coqui Landfill Company,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Puerto Rico</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El Coqui Waste Disposal,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ELDA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Elk River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3"/>
              </w:rPr>
              <w:t>Minnesota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Envirofil of Illinois,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Evergreen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Evergreen National Indemnity Company</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Evergreen Recycling and Disposal Facility,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Farmer’s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Missouri</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Feather River Disposal,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California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Fernley Disposal,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Nevada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G.I. Industries</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4"/>
              </w:rPr>
              <w:t>Utah</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GA Landfills,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Gallia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Garnet of Maryland,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Maryland</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Gateway Transfer Station,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Georgia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Georgia Waste Systems,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Georgia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Gestion Des Rebuts D.M.P.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7"/>
              </w:rPr>
              <w:t>Quebec</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Giordano Recycling,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65"/>
        </w:trPr>
        <w:tc>
          <w:tcPr>
            <w:tcW w:w="9660" w:type="dxa"/>
            <w:vAlign w:val="bottom"/>
          </w:tcPr>
          <w:p>
            <w:pPr>
              <w:spacing w:after="0"/>
              <w:rPr>
                <w:sz w:val="20"/>
                <w:szCs w:val="20"/>
                <w:color w:val="auto"/>
              </w:rPr>
            </w:pPr>
            <w:r>
              <w:rPr>
                <w:rFonts w:ascii="Arial" w:cs="Arial" w:eastAsia="Arial" w:hAnsi="Arial"/>
                <w:sz w:val="13"/>
                <w:szCs w:val="13"/>
                <w:color w:val="auto"/>
              </w:rPr>
              <w:t>Glen’s Sanitary Landfill, Inc.</w:t>
            </w:r>
          </w:p>
        </w:tc>
        <w:tc>
          <w:tcPr>
            <w:tcW w:w="5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Michigan</w:t>
            </w:r>
          </w:p>
        </w:tc>
      </w:tr>
      <w:tr>
        <w:trPr>
          <w:trHeight w:val="449"/>
        </w:trPr>
        <w:tc>
          <w:tcPr>
            <w:tcW w:w="96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7" w:right="21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21"/>
        </w:trPr>
        <w:tc>
          <w:tcPr>
            <w:tcW w:w="9660" w:type="dxa"/>
            <w:vAlign w:val="bottom"/>
            <w:gridSpan w:val="2"/>
          </w:tcPr>
          <w:p>
            <w:pPr>
              <w:spacing w:after="0"/>
              <w:rPr>
                <w:sz w:val="20"/>
                <w:szCs w:val="20"/>
                <w:color w:val="auto"/>
              </w:rPr>
            </w:pPr>
            <w:r>
              <w:rPr>
                <w:rFonts w:ascii="Arial" w:cs="Arial" w:eastAsia="Arial" w:hAnsi="Arial"/>
                <w:sz w:val="10"/>
                <w:szCs w:val="10"/>
                <w:b w:val="1"/>
                <w:bCs w:val="1"/>
                <w:i w:val="1"/>
                <w:iCs w:val="1"/>
                <w:color w:val="auto"/>
              </w:rPr>
              <w:t>Name</w:t>
            </w:r>
          </w:p>
        </w:tc>
        <w:tc>
          <w:tcPr>
            <w:tcW w:w="54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b w:val="1"/>
                <w:bCs w:val="1"/>
                <w:i w:val="1"/>
                <w:iCs w:val="1"/>
                <w:color w:val="auto"/>
                <w:w w:val="93"/>
              </w:rPr>
              <w:t>or Formation</w:t>
            </w:r>
          </w:p>
        </w:tc>
      </w:tr>
      <w:tr>
        <w:trPr>
          <w:trHeight w:val="147"/>
        </w:trPr>
        <w:tc>
          <w:tcPr>
            <w:tcW w:w="20" w:type="dxa"/>
            <w:vAlign w:val="bottom"/>
          </w:tcPr>
          <w:p>
            <w:pPr>
              <w:spacing w:after="0"/>
              <w:rPr>
                <w:sz w:val="12"/>
                <w:szCs w:val="12"/>
                <w:color w:val="auto"/>
              </w:rPr>
            </w:pPr>
          </w:p>
        </w:tc>
        <w:tc>
          <w:tcPr>
            <w:tcW w:w="964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Grand Central Sanitary Landfill, Inc.</w:t>
            </w:r>
          </w:p>
        </w:tc>
        <w:tc>
          <w:tcPr>
            <w:tcW w:w="540" w:type="dxa"/>
            <w:vAlign w:val="bottom"/>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Pennsylvania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Guadalupe Mines Mutual Water Company</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California</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Guadalupe Rubbish Disposal Co.,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Guam Resource Recovery Partners, L.P.</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Harris Sanitation,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Florida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Harwood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7"/>
              </w:rPr>
              <w:t>Maryland</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Hillsboro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Oregon</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Holyoke Sanitary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7"/>
              </w:rPr>
              <w:t>Massachusetts</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IN Landfills,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Jahner Sanitation,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3"/>
              </w:rPr>
              <w:t>North Dakota</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Jay County Landfill,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K and W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Michigan</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Kahle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Missouri</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Keene Road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5"/>
              </w:rPr>
              <w:t>Florida</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Kelly Run Sanitation,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Pennsylvania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Key Disposal Ltd.</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5"/>
              </w:rPr>
              <w:t>British Columbia</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King George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Virginia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Lakeville Recycling, L.P.</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Land Reclamation Company,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Land South Holdings,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Landfill of Pine Ridge,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Landfill Services of Charleston,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3"/>
              </w:rPr>
              <w:t>West Virginia</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Laurel Highlands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Pennsylvania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LCS Services,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3"/>
              </w:rPr>
              <w:t>West Virginia</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Liberty Landfill,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Liberty Lane West Owners’ Association</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2"/>
              </w:rPr>
              <w:t>New Hampshire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Liquid Waste Management,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Longleaf C&amp;D Disposal Facility,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5"/>
              </w:rPr>
              <w:t>Florida</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Longmont Landfill,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M.S.T.S. Limited Partnership</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rPr>
              <w:t>Illinois</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M.S.T.S.,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Mahoning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4"/>
              </w:rPr>
              <w:t>Ohio</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Mass Gravel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Massachusetts</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Mc Ginnes Industrial Maintenance Corporation</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4"/>
              </w:rPr>
              <w:t>Texas</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McDaniel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North Dakota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McGill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Michigan</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Meadowfill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Michigan Environs,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Michigan</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Midwest One Land Corporation</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Modern-Mallard Energy,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Modesto Garbage Co.,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Moor Refuse,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California</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Mountain Indemnity Insurance Company</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Vermont</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Mountainview Landfill, Inc. (MD)</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7"/>
              </w:rPr>
              <w:t>Maryland</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Mountainview Landfill, Inc. (UT)</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Utah</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Nassau Landfill,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National Guaranty Insurance Company of Vermont</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Vermont</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New England CR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New Milford Landfill,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457"/>
        </w:trPr>
        <w:tc>
          <w:tcPr>
            <w:tcW w:w="20" w:type="dxa"/>
            <w:vAlign w:val="bottom"/>
          </w:tcPr>
          <w:p>
            <w:pPr>
              <w:spacing w:after="0"/>
              <w:rPr>
                <w:sz w:val="24"/>
                <w:szCs w:val="24"/>
                <w:color w:val="auto"/>
              </w:rPr>
            </w:pPr>
          </w:p>
        </w:tc>
        <w:tc>
          <w:tcPr>
            <w:tcW w:w="96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7" w:right="21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15"/>
        </w:trPr>
        <w:tc>
          <w:tcPr>
            <w:tcW w:w="9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21"/>
        </w:trPr>
        <w:tc>
          <w:tcPr>
            <w:tcW w:w="96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i w:val="1"/>
                <w:iCs w:val="1"/>
                <w:color w:val="auto"/>
              </w:rPr>
              <w:t>Name</w:t>
            </w:r>
          </w:p>
        </w:tc>
        <w:tc>
          <w:tcPr>
            <w:tcW w:w="540" w:type="dxa"/>
            <w:vAlign w:val="bottom"/>
          </w:tcPr>
          <w:p>
            <w:pPr>
              <w:spacing w:after="0"/>
              <w:rPr>
                <w:sz w:val="10"/>
                <w:szCs w:val="1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i w:val="1"/>
                <w:iCs w:val="1"/>
                <w:color w:val="auto"/>
                <w:w w:val="93"/>
              </w:rPr>
              <w:t>or Formation</w:t>
            </w:r>
          </w:p>
        </w:tc>
      </w:tr>
      <w:tr>
        <w:trPr>
          <w:trHeight w:val="147"/>
        </w:trPr>
        <w:tc>
          <w:tcPr>
            <w:tcW w:w="9660" w:type="dxa"/>
            <w:vAlign w:val="bottom"/>
          </w:tcPr>
          <w:p>
            <w:pPr>
              <w:spacing w:after="0" w:line="148" w:lineRule="exact"/>
              <w:rPr>
                <w:sz w:val="20"/>
                <w:szCs w:val="20"/>
                <w:color w:val="auto"/>
              </w:rPr>
            </w:pPr>
            <w:r>
              <w:rPr>
                <w:rFonts w:ascii="Arial" w:cs="Arial" w:eastAsia="Arial" w:hAnsi="Arial"/>
                <w:sz w:val="13"/>
                <w:szCs w:val="13"/>
                <w:color w:val="auto"/>
              </w:rPr>
              <w:t>New Orleans Landfill, L.L.C.</w:t>
            </w:r>
          </w:p>
        </w:tc>
        <w:tc>
          <w:tcPr>
            <w:tcW w:w="540" w:type="dxa"/>
            <w:vAlign w:val="bottom"/>
          </w:tcPr>
          <w:p>
            <w:pPr>
              <w:spacing w:after="0"/>
              <w:rPr>
                <w:sz w:val="12"/>
                <w:szCs w:val="12"/>
                <w:color w:val="auto"/>
              </w:rPr>
            </w:pPr>
          </w:p>
        </w:tc>
        <w:tc>
          <w:tcPr>
            <w:tcW w:w="1260" w:type="dxa"/>
            <w:vAlign w:val="bottom"/>
          </w:tcPr>
          <w:p>
            <w:pPr>
              <w:jc w:val="center"/>
              <w:spacing w:after="0" w:line="148" w:lineRule="exact"/>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NH/VT Energy Recovery Corporation</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New Hampshire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North America One Land Company,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North Manatee Recycling and Disposal Facility,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Florida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Northwestern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Nu-Way Live Oak Reclamation,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Oakridge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2"/>
              </w:rPr>
              <w:t>South Carolina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Oakwood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South Carolina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Okeechobee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5"/>
              </w:rPr>
              <w:t>Florida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Ozark Ridge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Arkansas</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P &amp; R Environmental Industries,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5"/>
              </w:rPr>
              <w:t>North Carolina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Pacific Waste Management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Palo Alto Sanitation Company</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California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Paper Recycling International, L.P.</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Pappy,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7"/>
              </w:rPr>
              <w:t>Maryland</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Peltz H.C.,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Wisconsin</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Pen-Rob,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5"/>
              </w:rPr>
              <w:t>Arizona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Penuelas Valley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Puerto Rico</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People’s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Peterson Demolition,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Minnesota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Phoenix Resources,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Pennsylvania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Pine Grove Landfill, Inc. (DE)</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Pine Grove Landfill, Inc. (PA)</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Pennsylvania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Pine Tree Acres,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Plantation Oaks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PPP Corporation</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Prairie Bluff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Pulaski Grading,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Pullman-Hoffman,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4"/>
              </w:rPr>
              <w:t>Ohio</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Quail Hollow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R &amp; B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Georgia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RAA Colorado,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Colorado</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RAA Trucking,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1"/>
              </w:rPr>
              <w:t>Wisconsin</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Rail Cycle North Ltd.</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Ontario</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RCI Hudson,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7"/>
              </w:rPr>
              <w:t>Massachusetts</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RE-CY-CO,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Minnesota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Recycle America Co.,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Recycle America Holdings,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Redwood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Refuse Services,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Florida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Refuse,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9"/>
              </w:rPr>
              <w:t>Nevada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REI Holdings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Reliable Landfill,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Remote Landfill Services,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Tennessee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Reno Disposal Co.</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9"/>
              </w:rPr>
              <w:t>Nevada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Resco Holdings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Resource Control Composting,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7"/>
              </w:rPr>
              <w:t>Massachusetts</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Resource Control,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Massachusetts</w:t>
            </w:r>
          </w:p>
        </w:tc>
      </w:tr>
      <w:tr>
        <w:trPr>
          <w:trHeight w:val="165"/>
        </w:trPr>
        <w:tc>
          <w:tcPr>
            <w:tcW w:w="9660" w:type="dxa"/>
            <w:vAlign w:val="bottom"/>
          </w:tcPr>
          <w:p>
            <w:pPr>
              <w:spacing w:after="0"/>
              <w:rPr>
                <w:sz w:val="20"/>
                <w:szCs w:val="20"/>
                <w:color w:val="auto"/>
              </w:rPr>
            </w:pPr>
            <w:r>
              <w:rPr>
                <w:rFonts w:ascii="Arial" w:cs="Arial" w:eastAsia="Arial" w:hAnsi="Arial"/>
                <w:sz w:val="13"/>
                <w:szCs w:val="13"/>
                <w:color w:val="auto"/>
              </w:rPr>
              <w:t>Richland County Landfill, Inc.</w:t>
            </w:r>
          </w:p>
        </w:tc>
        <w:tc>
          <w:tcPr>
            <w:tcW w:w="5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2"/>
              </w:rPr>
              <w:t>South Carolina</w:t>
            </w:r>
          </w:p>
        </w:tc>
      </w:tr>
      <w:tr>
        <w:trPr>
          <w:trHeight w:val="449"/>
        </w:trPr>
        <w:tc>
          <w:tcPr>
            <w:tcW w:w="96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7" w:right="21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21"/>
        </w:trPr>
        <w:tc>
          <w:tcPr>
            <w:tcW w:w="9660" w:type="dxa"/>
            <w:vAlign w:val="bottom"/>
            <w:gridSpan w:val="2"/>
          </w:tcPr>
          <w:p>
            <w:pPr>
              <w:spacing w:after="0"/>
              <w:rPr>
                <w:sz w:val="20"/>
                <w:szCs w:val="20"/>
                <w:color w:val="auto"/>
              </w:rPr>
            </w:pPr>
            <w:r>
              <w:rPr>
                <w:rFonts w:ascii="Arial" w:cs="Arial" w:eastAsia="Arial" w:hAnsi="Arial"/>
                <w:sz w:val="10"/>
                <w:szCs w:val="10"/>
                <w:b w:val="1"/>
                <w:bCs w:val="1"/>
                <w:i w:val="1"/>
                <w:iCs w:val="1"/>
                <w:color w:val="auto"/>
              </w:rPr>
              <w:t>Name</w:t>
            </w:r>
          </w:p>
        </w:tc>
        <w:tc>
          <w:tcPr>
            <w:tcW w:w="54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b w:val="1"/>
                <w:bCs w:val="1"/>
                <w:i w:val="1"/>
                <w:iCs w:val="1"/>
                <w:color w:val="auto"/>
                <w:w w:val="93"/>
              </w:rPr>
              <w:t>or Formation</w:t>
            </w:r>
          </w:p>
        </w:tc>
      </w:tr>
      <w:tr>
        <w:trPr>
          <w:trHeight w:val="147"/>
        </w:trPr>
        <w:tc>
          <w:tcPr>
            <w:tcW w:w="20" w:type="dxa"/>
            <w:vAlign w:val="bottom"/>
          </w:tcPr>
          <w:p>
            <w:pPr>
              <w:spacing w:after="0"/>
              <w:rPr>
                <w:sz w:val="12"/>
                <w:szCs w:val="12"/>
                <w:color w:val="auto"/>
              </w:rPr>
            </w:pPr>
          </w:p>
        </w:tc>
        <w:tc>
          <w:tcPr>
            <w:tcW w:w="964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Riegel Ridge, LLC</w:t>
            </w:r>
          </w:p>
        </w:tc>
        <w:tc>
          <w:tcPr>
            <w:tcW w:w="540" w:type="dxa"/>
            <w:vAlign w:val="bottom"/>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center"/>
              <w:spacing w:after="0" w:line="148" w:lineRule="exact"/>
              <w:rPr>
                <w:sz w:val="20"/>
                <w:szCs w:val="20"/>
                <w:color w:val="auto"/>
              </w:rPr>
            </w:pPr>
            <w:r>
              <w:rPr>
                <w:rFonts w:ascii="Arial" w:cs="Arial" w:eastAsia="Arial" w:hAnsi="Arial"/>
                <w:sz w:val="13"/>
                <w:szCs w:val="13"/>
                <w:color w:val="auto"/>
                <w:w w:val="95"/>
              </w:rPr>
              <w:t>North Carolina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Riverbend Landfill Co.</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2"/>
              </w:rPr>
              <w:t>Oregon</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Rolling Meadows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RRT Design &amp; Construction Corp.</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RRT Empire of Monroe County,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New York</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RTS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Rust Engineering &amp; Construction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Rust International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S &amp; S Grading,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West Virginia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S. V. Farming Corp.</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8"/>
              </w:rPr>
              <w:t>New Jersey</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Sanifill de Mexico (US),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Sanifill Power Corporation</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SC Holdings,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Pennsylvania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SES Bridgeport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Shade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Sierra Estrella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5"/>
              </w:rPr>
              <w:t>Arizona</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Southern Alleghenies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Pennsylvania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Southern One Land Corporation</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Southern Plains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Oklahoma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Southern Waste Services,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Spruce Ridge,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Minnesota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Stony Hollow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Storey County Sanitation,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Nevada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Suburban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Texarkana Landfill,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The Peltz Group,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1"/>
              </w:rPr>
              <w:t>Wisconsin</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The Waste Management Charitable Foundation</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The Woodlands of Van Buren,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TNT Sands,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South Carolina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Trail Ridge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Transamerican Waste Central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Trash Hunters,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5"/>
              </w:rPr>
              <w:t>Mississippi</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Tri-County Sanitary Landfill,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TX Newco,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United Waste Systems Leasing,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United Waste Systems of Gardner,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7"/>
              </w:rPr>
              <w:t>Massachusetts</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USA South Hills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Pennsylvania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USA Valley Facility,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USA Waste Geneva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USA Waste Landfill Operations and Transfer,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4"/>
              </w:rPr>
              <w:t>Texas</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USA Waste of California,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USA Waste of Pennsylvania,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USA Waste of Texas Landfills,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USA Waste of Virginia Landfills,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USA Waste Services of Nevada,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Nevada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USA Waste Services of NYC,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USA Waste-Management Resources,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New York</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USA-Crinc,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UWS Barre,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Massachusetts</w:t>
            </w:r>
          </w:p>
        </w:tc>
      </w:tr>
      <w:tr>
        <w:trPr>
          <w:trHeight w:val="457"/>
        </w:trPr>
        <w:tc>
          <w:tcPr>
            <w:tcW w:w="20" w:type="dxa"/>
            <w:vAlign w:val="bottom"/>
          </w:tcPr>
          <w:p>
            <w:pPr>
              <w:spacing w:after="0"/>
              <w:rPr>
                <w:sz w:val="24"/>
                <w:szCs w:val="24"/>
                <w:color w:val="auto"/>
              </w:rPr>
            </w:pPr>
          </w:p>
        </w:tc>
        <w:tc>
          <w:tcPr>
            <w:tcW w:w="96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7" w:right="21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15"/>
        </w:trPr>
        <w:tc>
          <w:tcPr>
            <w:tcW w:w="9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21"/>
        </w:trPr>
        <w:tc>
          <w:tcPr>
            <w:tcW w:w="96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i w:val="1"/>
                <w:iCs w:val="1"/>
                <w:color w:val="auto"/>
              </w:rPr>
              <w:t>Name</w:t>
            </w:r>
          </w:p>
        </w:tc>
        <w:tc>
          <w:tcPr>
            <w:tcW w:w="540" w:type="dxa"/>
            <w:vAlign w:val="bottom"/>
          </w:tcPr>
          <w:p>
            <w:pPr>
              <w:spacing w:after="0"/>
              <w:rPr>
                <w:sz w:val="10"/>
                <w:szCs w:val="1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i w:val="1"/>
                <w:iCs w:val="1"/>
                <w:color w:val="auto"/>
                <w:w w:val="93"/>
              </w:rPr>
              <w:t>or Formation</w:t>
            </w:r>
          </w:p>
        </w:tc>
      </w:tr>
      <w:tr>
        <w:trPr>
          <w:trHeight w:val="147"/>
        </w:trPr>
        <w:tc>
          <w:tcPr>
            <w:tcW w:w="9660" w:type="dxa"/>
            <w:vAlign w:val="bottom"/>
          </w:tcPr>
          <w:p>
            <w:pPr>
              <w:spacing w:after="0" w:line="148" w:lineRule="exact"/>
              <w:rPr>
                <w:sz w:val="20"/>
                <w:szCs w:val="20"/>
                <w:color w:val="auto"/>
              </w:rPr>
            </w:pPr>
            <w:r>
              <w:rPr>
                <w:rFonts w:ascii="Arial" w:cs="Arial" w:eastAsia="Arial" w:hAnsi="Arial"/>
                <w:sz w:val="13"/>
                <w:szCs w:val="13"/>
                <w:color w:val="auto"/>
              </w:rPr>
              <w:t>Valley Garbage and Rubbish Company, Inc.</w:t>
            </w:r>
          </w:p>
        </w:tc>
        <w:tc>
          <w:tcPr>
            <w:tcW w:w="540" w:type="dxa"/>
            <w:vAlign w:val="bottom"/>
          </w:tcPr>
          <w:p>
            <w:pPr>
              <w:spacing w:after="0"/>
              <w:rPr>
                <w:sz w:val="12"/>
                <w:szCs w:val="12"/>
                <w:color w:val="auto"/>
              </w:rPr>
            </w:pPr>
          </w:p>
        </w:tc>
        <w:tc>
          <w:tcPr>
            <w:tcW w:w="1260" w:type="dxa"/>
            <w:vAlign w:val="bottom"/>
          </w:tcPr>
          <w:p>
            <w:pPr>
              <w:jc w:val="center"/>
              <w:spacing w:after="0" w:line="148" w:lineRule="exact"/>
              <w:rPr>
                <w:sz w:val="20"/>
                <w:szCs w:val="20"/>
                <w:color w:val="auto"/>
              </w:rPr>
            </w:pPr>
            <w:r>
              <w:rPr>
                <w:rFonts w:ascii="Arial" w:cs="Arial" w:eastAsia="Arial" w:hAnsi="Arial"/>
                <w:sz w:val="13"/>
                <w:szCs w:val="13"/>
                <w:color w:val="auto"/>
                <w:w w:val="98"/>
              </w:rPr>
              <w:t>California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Vern’s Refuse Service,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North Dakota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Vickery Environmental,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4"/>
              </w:rPr>
              <w:t>Ohio</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Vista Landfill,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Florida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Voyageur Disposal Processing,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3"/>
              </w:rPr>
              <w:t>Minnesota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Warner Company</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Away Group,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3"/>
              </w:rPr>
              <w:t>Alabama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Arizona Landfills,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Buckeye,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Canadian Finance L.P.</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Quebec</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Collection and Recycling,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California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Disposal Services of Colorado,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Colorado</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Disposal Services of Maine,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5"/>
              </w:rPr>
              <w:t>Maine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Disposal Services of Maryland,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Maryland</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Disposal Services of Massachusetts,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7"/>
              </w:rPr>
              <w:t>Massachusetts</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Disposal Services of Oregon,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Disposal Services of Pennsylvania,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Pennsylvania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Disposal Services of Virginia,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Financing Corporation</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Holdings,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Inc. of Florida</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5"/>
              </w:rPr>
              <w:t>Florida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Indycoke,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International,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International, Ltd.</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Municipal Services of California,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California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National Services,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New England Environmental Transport,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Alameda County,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of Alaska,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Arizona,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of Arkansas,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California,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of Canada Corporation</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1"/>
              </w:rPr>
              <w:t>Nova Scotia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Carolinas,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North Carolina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of Colorado,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Colorado</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Connecticut,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of Delaware,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Five Oaks Recycling and Disposal Facility,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of Georgia,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Georgia</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Hawaii,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of Idaho,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2"/>
              </w:rPr>
              <w:t>Idaho</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Illinois,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of Indiana Holdings One,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Indiana Holdings Two,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of Indiana,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Iowa,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Iowa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Waste Management of Kansas,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7"/>
              </w:rPr>
              <w:t>Kansas</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Kentucky Holdings,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65"/>
        </w:trPr>
        <w:tc>
          <w:tcPr>
            <w:tcW w:w="9660" w:type="dxa"/>
            <w:vAlign w:val="bottom"/>
          </w:tcPr>
          <w:p>
            <w:pPr>
              <w:spacing w:after="0"/>
              <w:rPr>
                <w:sz w:val="20"/>
                <w:szCs w:val="20"/>
                <w:color w:val="auto"/>
              </w:rPr>
            </w:pPr>
            <w:r>
              <w:rPr>
                <w:rFonts w:ascii="Arial" w:cs="Arial" w:eastAsia="Arial" w:hAnsi="Arial"/>
                <w:sz w:val="13"/>
                <w:szCs w:val="13"/>
                <w:color w:val="auto"/>
              </w:rPr>
              <w:t>Waste Management of Kentucky, L.L.C.</w:t>
            </w:r>
          </w:p>
        </w:tc>
        <w:tc>
          <w:tcPr>
            <w:tcW w:w="5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449"/>
        </w:trPr>
        <w:tc>
          <w:tcPr>
            <w:tcW w:w="96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7" w:right="21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21"/>
        </w:trPr>
        <w:tc>
          <w:tcPr>
            <w:tcW w:w="9660" w:type="dxa"/>
            <w:vAlign w:val="bottom"/>
            <w:gridSpan w:val="2"/>
          </w:tcPr>
          <w:p>
            <w:pPr>
              <w:spacing w:after="0"/>
              <w:rPr>
                <w:sz w:val="20"/>
                <w:szCs w:val="20"/>
                <w:color w:val="auto"/>
              </w:rPr>
            </w:pPr>
            <w:r>
              <w:rPr>
                <w:rFonts w:ascii="Arial" w:cs="Arial" w:eastAsia="Arial" w:hAnsi="Arial"/>
                <w:sz w:val="10"/>
                <w:szCs w:val="10"/>
                <w:b w:val="1"/>
                <w:bCs w:val="1"/>
                <w:i w:val="1"/>
                <w:iCs w:val="1"/>
                <w:color w:val="auto"/>
              </w:rPr>
              <w:t>Name</w:t>
            </w:r>
          </w:p>
        </w:tc>
        <w:tc>
          <w:tcPr>
            <w:tcW w:w="54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b w:val="1"/>
                <w:bCs w:val="1"/>
                <w:i w:val="1"/>
                <w:iCs w:val="1"/>
                <w:color w:val="auto"/>
                <w:w w:val="93"/>
              </w:rPr>
              <w:t>or Formation</w:t>
            </w:r>
          </w:p>
        </w:tc>
      </w:tr>
      <w:tr>
        <w:trPr>
          <w:trHeight w:val="147"/>
        </w:trPr>
        <w:tc>
          <w:tcPr>
            <w:tcW w:w="20" w:type="dxa"/>
            <w:vAlign w:val="bottom"/>
          </w:tcPr>
          <w:p>
            <w:pPr>
              <w:spacing w:after="0"/>
              <w:rPr>
                <w:sz w:val="12"/>
                <w:szCs w:val="12"/>
                <w:color w:val="auto"/>
              </w:rPr>
            </w:pPr>
          </w:p>
        </w:tc>
        <w:tc>
          <w:tcPr>
            <w:tcW w:w="964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Waste Management of Leon County, Inc.</w:t>
            </w:r>
          </w:p>
        </w:tc>
        <w:tc>
          <w:tcPr>
            <w:tcW w:w="540" w:type="dxa"/>
            <w:vAlign w:val="bottom"/>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center"/>
              <w:spacing w:after="0" w:line="148" w:lineRule="exact"/>
              <w:rPr>
                <w:sz w:val="20"/>
                <w:szCs w:val="20"/>
                <w:color w:val="auto"/>
              </w:rPr>
            </w:pPr>
            <w:r>
              <w:rPr>
                <w:rFonts w:ascii="Arial" w:cs="Arial" w:eastAsia="Arial" w:hAnsi="Arial"/>
                <w:sz w:val="13"/>
                <w:szCs w:val="13"/>
                <w:color w:val="auto"/>
                <w:w w:val="95"/>
              </w:rPr>
              <w:t>Florida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of Londonderry,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Louisiana Holdings One,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of Louisiana,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Maine,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Maine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of Maryland,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7"/>
              </w:rPr>
              <w:t>Maryland</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Massachusetts,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Massachusetts</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of Metro Atlanta,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Georgia</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Michigan,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of Minnesota,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3"/>
              </w:rPr>
              <w:t>Minnesota</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Mississippi,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Mississippi</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of Missouri,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Montana,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of Nebraska,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Nevada,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Nevada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of New Hampshire,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3"/>
              </w:rPr>
              <w:t>Connecticut</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New Jersey,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of New Mexico,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5"/>
              </w:rPr>
              <w:t>New Mexico</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New York,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of North Dakota,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Ohio,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of Oklahoma,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1"/>
              </w:rPr>
              <w:t>Oklahoma</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Oregon,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Oregon</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of Pennsylvania Gas Recovery,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Pennsylvania,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Pennsylvania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of Plainfield,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Rhode Island,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of South Carolina,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2"/>
              </w:rPr>
              <w:t>South Carolina</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South Dakota,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South Dakota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of Texas Holdings,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Texas,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Texas</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of Tunica Landfill,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5"/>
              </w:rPr>
              <w:t>Mississippi</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Utah,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Utah</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of Virginia,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Virginia</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Washington,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of West Virginia,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Wisconsin,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Wisconsin</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of Wyoming,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Partners,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Plastic Products,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Recycle Asia,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Ohio</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Recycling and Disposal Services of California,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California</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Recycling of New Jersey,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Security,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Service Center,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Management Technology Center,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Inc. of Tennessee</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Tennessee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Waste Resources of Tennessee,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3"/>
              </w:rPr>
              <w:t>Tennessee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Waste Services of Kentucky,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457"/>
        </w:trPr>
        <w:tc>
          <w:tcPr>
            <w:tcW w:w="20" w:type="dxa"/>
            <w:vAlign w:val="bottom"/>
          </w:tcPr>
          <w:p>
            <w:pPr>
              <w:spacing w:after="0"/>
              <w:rPr>
                <w:sz w:val="24"/>
                <w:szCs w:val="24"/>
                <w:color w:val="auto"/>
              </w:rPr>
            </w:pPr>
          </w:p>
        </w:tc>
        <w:tc>
          <w:tcPr>
            <w:tcW w:w="96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7" w:right="21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15"/>
        </w:trPr>
        <w:tc>
          <w:tcPr>
            <w:tcW w:w="9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21"/>
        </w:trPr>
        <w:tc>
          <w:tcPr>
            <w:tcW w:w="96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i w:val="1"/>
                <w:iCs w:val="1"/>
                <w:color w:val="auto"/>
              </w:rPr>
              <w:t>Name</w:t>
            </w:r>
          </w:p>
        </w:tc>
        <w:tc>
          <w:tcPr>
            <w:tcW w:w="540" w:type="dxa"/>
            <w:vAlign w:val="bottom"/>
          </w:tcPr>
          <w:p>
            <w:pPr>
              <w:spacing w:after="0"/>
              <w:rPr>
                <w:sz w:val="10"/>
                <w:szCs w:val="1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i w:val="1"/>
                <w:iCs w:val="1"/>
                <w:color w:val="auto"/>
                <w:w w:val="93"/>
              </w:rPr>
              <w:t>or Formation</w:t>
            </w:r>
          </w:p>
        </w:tc>
      </w:tr>
      <w:tr>
        <w:trPr>
          <w:trHeight w:val="147"/>
        </w:trPr>
        <w:tc>
          <w:tcPr>
            <w:tcW w:w="9660" w:type="dxa"/>
            <w:vAlign w:val="bottom"/>
          </w:tcPr>
          <w:p>
            <w:pPr>
              <w:spacing w:after="0" w:line="148" w:lineRule="exact"/>
              <w:rPr>
                <w:sz w:val="20"/>
                <w:szCs w:val="20"/>
                <w:color w:val="auto"/>
              </w:rPr>
            </w:pPr>
            <w:r>
              <w:rPr>
                <w:rFonts w:ascii="Arial" w:cs="Arial" w:eastAsia="Arial" w:hAnsi="Arial"/>
                <w:sz w:val="13"/>
                <w:szCs w:val="13"/>
                <w:color w:val="auto"/>
              </w:rPr>
              <w:t>Waste to Energy Holdings, Inc.</w:t>
            </w:r>
          </w:p>
        </w:tc>
        <w:tc>
          <w:tcPr>
            <w:tcW w:w="540" w:type="dxa"/>
            <w:vAlign w:val="bottom"/>
          </w:tcPr>
          <w:p>
            <w:pPr>
              <w:spacing w:after="0"/>
              <w:rPr>
                <w:sz w:val="12"/>
                <w:szCs w:val="12"/>
                <w:color w:val="auto"/>
              </w:rPr>
            </w:pPr>
          </w:p>
        </w:tc>
        <w:tc>
          <w:tcPr>
            <w:tcW w:w="1260" w:type="dxa"/>
            <w:vAlign w:val="bottom"/>
          </w:tcPr>
          <w:p>
            <w:pPr>
              <w:jc w:val="center"/>
              <w:spacing w:after="0" w:line="148" w:lineRule="exact"/>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Wastech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Nevada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WESI Baltimore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WESI Capital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WESI Peekskill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WESI Westchester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Western One Land Corporation</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Western Waste Industries</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California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Western Waste of Texas,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Baltimore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Wheelabrator Baltimore, L.P.</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7"/>
              </w:rPr>
              <w:t>Maryland</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Bridgeport, L.P.</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Wheelabrator Cedar Creek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Claremont Company, L.P.</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Wheelabrator Claremont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Concord Company, L.P.</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Wheelabrator Concord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Connecticut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Wheelabrator Culm Services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Environmental Systems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Wheelabrator Falls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Frackville Energy Company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Wheelabrator Frackville Properties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Fuel Services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Wheelabrator Gloucester Company, L.P.</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8"/>
              </w:rPr>
              <w:t>New Jersey</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Gloucester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Wheelabrator Guam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Hudson Energy Company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Wheelabrator Hudson Falls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Land Resources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Wheelabrator Lassen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Lisbon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Wheelabrator Martell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McKay Bay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Florida</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Wheelabrator Millbury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New Hampshire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Wheelabrator New Jersey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NHC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Wheelabrator North Andover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North Broward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Wheelabrator North Shore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Norwalk Energy Company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Wheelabrator Penacook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Pinellas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Wheelabrator Putnam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Ridge Energy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Wheelabrator Saugus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Wheelabrator Saugus, J.V.</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Massachusetts</w:t>
            </w:r>
          </w:p>
        </w:tc>
      </w:tr>
      <w:tr>
        <w:trPr>
          <w:trHeight w:val="165"/>
        </w:trPr>
        <w:tc>
          <w:tcPr>
            <w:tcW w:w="9660" w:type="dxa"/>
            <w:vAlign w:val="bottom"/>
          </w:tcPr>
          <w:p>
            <w:pPr>
              <w:spacing w:after="0"/>
              <w:rPr>
                <w:sz w:val="20"/>
                <w:szCs w:val="20"/>
                <w:color w:val="auto"/>
              </w:rPr>
            </w:pPr>
            <w:r>
              <w:rPr>
                <w:rFonts w:ascii="Arial" w:cs="Arial" w:eastAsia="Arial" w:hAnsi="Arial"/>
                <w:sz w:val="13"/>
                <w:szCs w:val="13"/>
                <w:color w:val="auto"/>
              </w:rPr>
              <w:t>Wheelabrator Shasta Energy Company Inc.</w:t>
            </w:r>
          </w:p>
        </w:tc>
        <w:tc>
          <w:tcPr>
            <w:tcW w:w="5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449"/>
        </w:trPr>
        <w:tc>
          <w:tcPr>
            <w:tcW w:w="96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7" w:right="21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21"/>
        </w:trPr>
        <w:tc>
          <w:tcPr>
            <w:tcW w:w="9660" w:type="dxa"/>
            <w:vAlign w:val="bottom"/>
            <w:gridSpan w:val="2"/>
          </w:tcPr>
          <w:p>
            <w:pPr>
              <w:spacing w:after="0"/>
              <w:rPr>
                <w:sz w:val="20"/>
                <w:szCs w:val="20"/>
                <w:color w:val="auto"/>
              </w:rPr>
            </w:pPr>
            <w:r>
              <w:rPr>
                <w:rFonts w:ascii="Arial" w:cs="Arial" w:eastAsia="Arial" w:hAnsi="Arial"/>
                <w:sz w:val="10"/>
                <w:szCs w:val="10"/>
                <w:b w:val="1"/>
                <w:bCs w:val="1"/>
                <w:i w:val="1"/>
                <w:iCs w:val="1"/>
                <w:color w:val="auto"/>
              </w:rPr>
              <w:t>Name</w:t>
            </w:r>
          </w:p>
        </w:tc>
        <w:tc>
          <w:tcPr>
            <w:tcW w:w="54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b w:val="1"/>
                <w:bCs w:val="1"/>
                <w:i w:val="1"/>
                <w:iCs w:val="1"/>
                <w:color w:val="auto"/>
                <w:w w:val="93"/>
              </w:rPr>
              <w:t>or Formation</w:t>
            </w:r>
          </w:p>
        </w:tc>
      </w:tr>
      <w:tr>
        <w:trPr>
          <w:trHeight w:val="147"/>
        </w:trPr>
        <w:tc>
          <w:tcPr>
            <w:tcW w:w="20" w:type="dxa"/>
            <w:vAlign w:val="bottom"/>
          </w:tcPr>
          <w:p>
            <w:pPr>
              <w:spacing w:after="0"/>
              <w:rPr>
                <w:sz w:val="12"/>
                <w:szCs w:val="12"/>
                <w:color w:val="auto"/>
              </w:rPr>
            </w:pPr>
          </w:p>
        </w:tc>
        <w:tc>
          <w:tcPr>
            <w:tcW w:w="964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Wheelabrator Sherman Energy Company, G.P.</w:t>
            </w:r>
          </w:p>
        </w:tc>
        <w:tc>
          <w:tcPr>
            <w:tcW w:w="540" w:type="dxa"/>
            <w:vAlign w:val="bottom"/>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center"/>
              <w:spacing w:after="0" w:line="148" w:lineRule="exact"/>
              <w:rPr>
                <w:sz w:val="20"/>
                <w:szCs w:val="20"/>
                <w:color w:val="auto"/>
              </w:rPr>
            </w:pPr>
            <w:r>
              <w:rPr>
                <w:rFonts w:ascii="Arial" w:cs="Arial" w:eastAsia="Arial" w:hAnsi="Arial"/>
                <w:sz w:val="13"/>
                <w:szCs w:val="13"/>
                <w:color w:val="auto"/>
                <w:w w:val="95"/>
              </w:rPr>
              <w:t>Maine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Wheelabrator Sherman Station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Wheelabrator Sherman Station One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Wheelabrator South Broward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Wheelabrator Spokane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Wheelabrator Technologies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Wheelabrator Technologies International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Wheelabrator Westchester, L.P.</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White Lake Landfill,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Michigan</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Williams Landfill,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Willow Oak Landfill,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Georgia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WM Arizona Operations,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WM Emergency Employee Support Fund,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WM Energy Solutions,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WM Green Squad,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WM GTL,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WM GTL,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WM Healthcare Solutions,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WM Illinois Renewable Energy,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WM International Holdings,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WM LampTracker,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WM Landfills of Ohio,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WM Landfills of Tennessee,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WM Leasing of Arizona,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WM Leasing of Texas, L.P.</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WM Middle Tennessee Environmental Center,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WM of Texas,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WM Organic Growth,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WM Pack-Rat of California,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WM Pack-Rat of Illinois,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WM Pack-Rat of Maryland,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WM Pack-Rat of Massachusetts,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WM Pack-Rat of Rhode Island,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WM Pack-Rat,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WM Partnership Holdings,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WM Quebec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7"/>
              </w:rPr>
              <w:t>Canada</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WM RA Canada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Ontario</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WM Recycle America,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WM Renewable Energy,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WM Resources,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Pennsylvania</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WM Safety Services,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WM Security Services,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WM Services SA</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Argentina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WM Storage,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WM Tontitown Landfill,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Arkansas</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WM Trash Monitor Plus, L.L.C.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WMI Medical Services of Indiana,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Indiana</w:t>
            </w:r>
          </w:p>
        </w:tc>
      </w:tr>
      <w:tr>
        <w:trPr>
          <w:trHeight w:val="157"/>
        </w:trPr>
        <w:tc>
          <w:tcPr>
            <w:tcW w:w="20" w:type="dxa"/>
            <w:vAlign w:val="bottom"/>
          </w:tcPr>
          <w:p>
            <w:pPr>
              <w:spacing w:after="0"/>
              <w:rPr>
                <w:sz w:val="13"/>
                <w:szCs w:val="13"/>
                <w:color w:val="auto"/>
              </w:rPr>
            </w:pPr>
          </w:p>
        </w:tc>
        <w:tc>
          <w:tcPr>
            <w:tcW w:w="9640" w:type="dxa"/>
            <w:vAlign w:val="bottom"/>
          </w:tcPr>
          <w:p>
            <w:pPr>
              <w:spacing w:after="0"/>
              <w:rPr>
                <w:sz w:val="20"/>
                <w:szCs w:val="20"/>
                <w:color w:val="auto"/>
              </w:rPr>
            </w:pPr>
            <w:r>
              <w:rPr>
                <w:rFonts w:ascii="Arial" w:cs="Arial" w:eastAsia="Arial" w:hAnsi="Arial"/>
                <w:sz w:val="13"/>
                <w:szCs w:val="13"/>
                <w:color w:val="auto"/>
              </w:rPr>
              <w:t>WMI Mexico Holdings,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20" w:type="dxa"/>
            <w:vAlign w:val="bottom"/>
          </w:tcPr>
          <w:p>
            <w:pPr>
              <w:spacing w:after="0"/>
              <w:rPr>
                <w:sz w:val="13"/>
                <w:szCs w:val="13"/>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WMNA Container Recycling,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457"/>
        </w:trPr>
        <w:tc>
          <w:tcPr>
            <w:tcW w:w="20" w:type="dxa"/>
            <w:vAlign w:val="bottom"/>
          </w:tcPr>
          <w:p>
            <w:pPr>
              <w:spacing w:after="0"/>
              <w:rPr>
                <w:sz w:val="24"/>
                <w:szCs w:val="24"/>
                <w:color w:val="auto"/>
              </w:rPr>
            </w:pPr>
          </w:p>
        </w:tc>
        <w:tc>
          <w:tcPr>
            <w:tcW w:w="96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7" w:right="21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15"/>
        </w:trPr>
        <w:tc>
          <w:tcPr>
            <w:tcW w:w="9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21"/>
        </w:trPr>
        <w:tc>
          <w:tcPr>
            <w:tcW w:w="96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i w:val="1"/>
                <w:iCs w:val="1"/>
                <w:color w:val="auto"/>
              </w:rPr>
              <w:t>Name</w:t>
            </w:r>
          </w:p>
        </w:tc>
        <w:tc>
          <w:tcPr>
            <w:tcW w:w="540" w:type="dxa"/>
            <w:vAlign w:val="bottom"/>
          </w:tcPr>
          <w:p>
            <w:pPr>
              <w:spacing w:after="0"/>
              <w:rPr>
                <w:sz w:val="10"/>
                <w:szCs w:val="1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i w:val="1"/>
                <w:iCs w:val="1"/>
                <w:color w:val="auto"/>
                <w:w w:val="93"/>
              </w:rPr>
              <w:t>or Formation</w:t>
            </w:r>
          </w:p>
        </w:tc>
      </w:tr>
      <w:tr>
        <w:trPr>
          <w:trHeight w:val="147"/>
        </w:trPr>
        <w:tc>
          <w:tcPr>
            <w:tcW w:w="9660" w:type="dxa"/>
            <w:vAlign w:val="bottom"/>
          </w:tcPr>
          <w:p>
            <w:pPr>
              <w:spacing w:after="0" w:line="148" w:lineRule="exact"/>
              <w:rPr>
                <w:sz w:val="20"/>
                <w:szCs w:val="20"/>
                <w:color w:val="auto"/>
              </w:rPr>
            </w:pPr>
            <w:r>
              <w:rPr>
                <w:rFonts w:ascii="Arial" w:cs="Arial" w:eastAsia="Arial" w:hAnsi="Arial"/>
                <w:sz w:val="13"/>
                <w:szCs w:val="13"/>
                <w:color w:val="auto"/>
              </w:rPr>
              <w:t>WMSALSA, Inc.</w:t>
            </w:r>
          </w:p>
        </w:tc>
        <w:tc>
          <w:tcPr>
            <w:tcW w:w="540" w:type="dxa"/>
            <w:vAlign w:val="bottom"/>
          </w:tcPr>
          <w:p>
            <w:pPr>
              <w:spacing w:after="0"/>
              <w:rPr>
                <w:sz w:val="12"/>
                <w:szCs w:val="12"/>
                <w:color w:val="auto"/>
              </w:rPr>
            </w:pPr>
          </w:p>
        </w:tc>
        <w:tc>
          <w:tcPr>
            <w:tcW w:w="1260" w:type="dxa"/>
            <w:vAlign w:val="bottom"/>
          </w:tcPr>
          <w:p>
            <w:pPr>
              <w:jc w:val="center"/>
              <w:spacing w:after="0" w:line="148" w:lineRule="exact"/>
              <w:rPr>
                <w:sz w:val="20"/>
                <w:szCs w:val="20"/>
                <w:color w:val="auto"/>
              </w:rPr>
            </w:pPr>
            <w:r>
              <w:rPr>
                <w:rFonts w:ascii="Arial" w:cs="Arial" w:eastAsia="Arial" w:hAnsi="Arial"/>
                <w:sz w:val="13"/>
                <w:szCs w:val="13"/>
                <w:color w:val="auto"/>
                <w:w w:val="84"/>
              </w:rPr>
              <w:t>Texas</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WMST Illinois,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Illinois</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WTI Air Pollution Control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WTI Financial L.L.C.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tcPr>
          <w:p>
            <w:pPr>
              <w:spacing w:after="0"/>
              <w:rPr>
                <w:sz w:val="20"/>
                <w:szCs w:val="20"/>
                <w:color w:val="auto"/>
              </w:rPr>
            </w:pPr>
            <w:r>
              <w:rPr>
                <w:rFonts w:ascii="Arial" w:cs="Arial" w:eastAsia="Arial" w:hAnsi="Arial"/>
                <w:sz w:val="13"/>
                <w:szCs w:val="13"/>
                <w:color w:val="auto"/>
              </w:rPr>
              <w:t>WTI International Holdings Inc.</w:t>
            </w:r>
          </w:p>
        </w:tc>
        <w:tc>
          <w:tcPr>
            <w:tcW w:w="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Delaware</w:t>
            </w:r>
          </w:p>
        </w:tc>
      </w:tr>
      <w:tr>
        <w:trPr>
          <w:trHeight w:val="157"/>
        </w:trPr>
        <w:tc>
          <w:tcPr>
            <w:tcW w:w="9660" w:type="dxa"/>
            <w:vAlign w:val="bottom"/>
            <w:shd w:val="clear" w:color="auto" w:fill="CCEEFF"/>
          </w:tcPr>
          <w:p>
            <w:pPr>
              <w:spacing w:after="0"/>
              <w:rPr>
                <w:sz w:val="20"/>
                <w:szCs w:val="20"/>
                <w:color w:val="auto"/>
              </w:rPr>
            </w:pPr>
            <w:r>
              <w:rPr>
                <w:rFonts w:ascii="Arial" w:cs="Arial" w:eastAsia="Arial" w:hAnsi="Arial"/>
                <w:sz w:val="13"/>
                <w:szCs w:val="13"/>
                <w:color w:val="auto"/>
              </w:rPr>
              <w:t>WTI Rust Holdings Inc.</w:t>
            </w: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Delaware</w:t>
            </w:r>
          </w:p>
        </w:tc>
      </w:tr>
    </w:tbl>
    <w:p>
      <w:pPr>
        <w:sectPr>
          <w:pgSz w:w="11900" w:h="16838" w:orient="portrait"/>
          <w:cols w:equalWidth="0" w:num="1">
            <w:col w:w="11460"/>
          </w:cols>
          <w:pgMar w:left="220" w:top="867" w:right="219" w:bottom="1440" w:gutter="0" w:footer="0" w:header="0"/>
        </w:sectPr>
      </w:pPr>
    </w:p>
    <w:bookmarkStart w:id="158" w:name="page159"/>
    <w:bookmarkEnd w:id="158"/>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We consent to the incorporation by reference in the following Registration Statements:</w:t>
      </w:r>
    </w:p>
    <w:p>
      <w:pPr>
        <w:spacing w:after="0" w:line="86" w:lineRule="exact"/>
        <w:rPr>
          <w:sz w:val="20"/>
          <w:szCs w:val="20"/>
          <w:color w:val="auto"/>
        </w:rPr>
      </w:pPr>
    </w:p>
    <w:p>
      <w:pPr>
        <w:ind w:left="220" w:right="140" w:firstLine="8"/>
        <w:spacing w:after="0" w:line="276" w:lineRule="auto"/>
        <w:tabs>
          <w:tab w:leader="none" w:pos="405" w:val="left"/>
        </w:tabs>
        <w:numPr>
          <w:ilvl w:val="0"/>
          <w:numId w:val="97"/>
        </w:numPr>
        <w:rPr>
          <w:rFonts w:ascii="Arial" w:cs="Arial" w:eastAsia="Arial" w:hAnsi="Arial"/>
          <w:sz w:val="13"/>
          <w:szCs w:val="13"/>
          <w:color w:val="auto"/>
        </w:rPr>
      </w:pPr>
      <w:r>
        <w:rPr>
          <w:rFonts w:ascii="Arial" w:cs="Arial" w:eastAsia="Arial" w:hAnsi="Arial"/>
          <w:sz w:val="13"/>
          <w:szCs w:val="13"/>
          <w:color w:val="auto"/>
        </w:rPr>
        <w:t>Registration Statement (Form S-8 No. 333-45062) of Waste Management, Inc. pertaining to the issuance of shares of common stock pursuant to the Waste Management Retirement Savings Plan and the Waste Management Retirement Savings Plan for Bargaining Unit Employees,</w:t>
      </w:r>
    </w:p>
    <w:p>
      <w:pPr>
        <w:spacing w:after="0" w:line="49" w:lineRule="exact"/>
        <w:rPr>
          <w:rFonts w:ascii="Arial" w:cs="Arial" w:eastAsia="Arial" w:hAnsi="Arial"/>
          <w:sz w:val="13"/>
          <w:szCs w:val="13"/>
          <w:color w:val="auto"/>
        </w:rPr>
      </w:pPr>
    </w:p>
    <w:p>
      <w:pPr>
        <w:ind w:left="220" w:right="560" w:firstLine="8"/>
        <w:spacing w:after="0" w:line="276" w:lineRule="auto"/>
        <w:tabs>
          <w:tab w:leader="none" w:pos="405" w:val="left"/>
        </w:tabs>
        <w:numPr>
          <w:ilvl w:val="0"/>
          <w:numId w:val="97"/>
        </w:numPr>
        <w:rPr>
          <w:rFonts w:ascii="Arial" w:cs="Arial" w:eastAsia="Arial" w:hAnsi="Arial"/>
          <w:sz w:val="13"/>
          <w:szCs w:val="13"/>
          <w:color w:val="auto"/>
        </w:rPr>
      </w:pPr>
      <w:r>
        <w:rPr>
          <w:rFonts w:ascii="Arial" w:cs="Arial" w:eastAsia="Arial" w:hAnsi="Arial"/>
          <w:sz w:val="13"/>
          <w:szCs w:val="13"/>
          <w:color w:val="auto"/>
        </w:rPr>
        <w:t>Registration Statement (Form S-8 No. 333-110293) of Waste Management, Inc. pertaining to the issuance of shares of common stock pursuant to the 2003 Waste Management, Inc. Directors’ Deferred Compensation Plan,</w:t>
      </w:r>
    </w:p>
    <w:p>
      <w:pPr>
        <w:spacing w:after="0" w:line="49" w:lineRule="exact"/>
        <w:rPr>
          <w:rFonts w:ascii="Arial" w:cs="Arial" w:eastAsia="Arial" w:hAnsi="Arial"/>
          <w:sz w:val="13"/>
          <w:szCs w:val="13"/>
          <w:color w:val="auto"/>
        </w:rPr>
      </w:pPr>
    </w:p>
    <w:p>
      <w:pPr>
        <w:ind w:left="420" w:hanging="192"/>
        <w:spacing w:after="0"/>
        <w:tabs>
          <w:tab w:leader="none" w:pos="420" w:val="left"/>
        </w:tabs>
        <w:numPr>
          <w:ilvl w:val="0"/>
          <w:numId w:val="97"/>
        </w:numPr>
        <w:rPr>
          <w:rFonts w:ascii="Arial" w:cs="Arial" w:eastAsia="Arial" w:hAnsi="Arial"/>
          <w:sz w:val="11"/>
          <w:szCs w:val="11"/>
          <w:color w:val="auto"/>
        </w:rPr>
      </w:pPr>
      <w:r>
        <w:rPr>
          <w:rFonts w:ascii="Arial" w:cs="Arial" w:eastAsia="Arial" w:hAnsi="Arial"/>
          <w:sz w:val="11"/>
          <w:szCs w:val="11"/>
          <w:color w:val="auto"/>
        </w:rPr>
        <w:t>Registration Statement (Form S-8 No. 333-135379) of Waste Management, Inc. pertaining to the issuance of shares of common stock pursuant to the Waste Management, Inc. Employee Stock Purchase Plan,</w:t>
      </w:r>
    </w:p>
    <w:p>
      <w:pPr>
        <w:spacing w:after="0" w:line="109" w:lineRule="exact"/>
        <w:rPr>
          <w:rFonts w:ascii="Arial" w:cs="Arial" w:eastAsia="Arial" w:hAnsi="Arial"/>
          <w:sz w:val="11"/>
          <w:szCs w:val="11"/>
          <w:color w:val="auto"/>
        </w:rPr>
      </w:pPr>
    </w:p>
    <w:p>
      <w:pPr>
        <w:jc w:val="both"/>
        <w:ind w:left="220" w:right="220" w:firstLine="8"/>
        <w:spacing w:after="0" w:line="264" w:lineRule="auto"/>
        <w:tabs>
          <w:tab w:leader="none" w:pos="405" w:val="left"/>
        </w:tabs>
        <w:numPr>
          <w:ilvl w:val="0"/>
          <w:numId w:val="97"/>
        </w:numPr>
        <w:rPr>
          <w:rFonts w:ascii="Arial" w:cs="Arial" w:eastAsia="Arial" w:hAnsi="Arial"/>
          <w:sz w:val="13"/>
          <w:szCs w:val="13"/>
          <w:color w:val="auto"/>
        </w:rPr>
      </w:pPr>
      <w:r>
        <w:rPr>
          <w:rFonts w:ascii="Arial" w:cs="Arial" w:eastAsia="Arial" w:hAnsi="Arial"/>
          <w:sz w:val="13"/>
          <w:szCs w:val="13"/>
          <w:color w:val="auto"/>
        </w:rPr>
        <w:t>Registration Statement (Form S-8 No. 333-45066) of Waste Management, Inc. pertaining to the issuance of shares of common stock pursuant to the WMI 2000 Stock Incentive Plan, WMI 2000 Broad-Based Stock Plan, WMI 1993 Stock Incentive Plan, WMI 1996 Stock Option Plan for Non-Employee Directors, Waste Management Holdings, Inc. 1997 Equity Incentive Plan, Waste Management Holdings, Inc. 1992 Stock Option Plan for Non-Employee Directors and Eastern Environmental Services, Inc. 1997 Stock Option Plan.</w:t>
      </w:r>
    </w:p>
    <w:p>
      <w:pPr>
        <w:spacing w:after="0" w:line="57" w:lineRule="exact"/>
        <w:rPr>
          <w:rFonts w:ascii="Arial" w:cs="Arial" w:eastAsia="Arial" w:hAnsi="Arial"/>
          <w:sz w:val="13"/>
          <w:szCs w:val="13"/>
          <w:color w:val="auto"/>
        </w:rPr>
      </w:pPr>
    </w:p>
    <w:p>
      <w:pPr>
        <w:ind w:left="420" w:hanging="192"/>
        <w:spacing w:after="0"/>
        <w:tabs>
          <w:tab w:leader="none" w:pos="4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Registration Statement (Form S-8 No. 333-115932) of Waste Management, Inc. pertaining to the issuance of shares of common stock pursuant to the 2004 Stock Incentive Plan,</w:t>
      </w:r>
    </w:p>
    <w:p>
      <w:pPr>
        <w:spacing w:after="0" w:line="86" w:lineRule="exact"/>
        <w:rPr>
          <w:rFonts w:ascii="Arial" w:cs="Arial" w:eastAsia="Arial" w:hAnsi="Arial"/>
          <w:sz w:val="13"/>
          <w:szCs w:val="13"/>
          <w:color w:val="auto"/>
        </w:rPr>
      </w:pPr>
    </w:p>
    <w:p>
      <w:pPr>
        <w:ind w:left="420" w:hanging="192"/>
        <w:spacing w:after="0"/>
        <w:tabs>
          <w:tab w:leader="none" w:pos="4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Registration Statement (Form S-3 Automatic Shelf Registration No. 333-137526-01) of Waste Management, Inc., and</w:t>
      </w:r>
    </w:p>
    <w:p>
      <w:pPr>
        <w:spacing w:after="0" w:line="86" w:lineRule="exact"/>
        <w:rPr>
          <w:rFonts w:ascii="Arial" w:cs="Arial" w:eastAsia="Arial" w:hAnsi="Arial"/>
          <w:sz w:val="13"/>
          <w:szCs w:val="13"/>
          <w:color w:val="auto"/>
        </w:rPr>
      </w:pPr>
    </w:p>
    <w:p>
      <w:pPr>
        <w:ind w:left="420" w:hanging="192"/>
        <w:spacing w:after="0"/>
        <w:tabs>
          <w:tab w:leader="none" w:pos="4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Registration Statement (Form S-4 No. 333-32805) of Waste Management, Inc.</w:t>
      </w:r>
    </w:p>
    <w:p>
      <w:pPr>
        <w:spacing w:after="0" w:line="86" w:lineRule="exact"/>
        <w:rPr>
          <w:sz w:val="20"/>
          <w:szCs w:val="20"/>
          <w:color w:val="auto"/>
        </w:rPr>
      </w:pPr>
    </w:p>
    <w:p>
      <w:pPr>
        <w:ind w:right="580"/>
        <w:spacing w:after="0" w:line="276" w:lineRule="auto"/>
        <w:rPr>
          <w:sz w:val="20"/>
          <w:szCs w:val="20"/>
          <w:color w:val="auto"/>
        </w:rPr>
      </w:pPr>
      <w:r>
        <w:rPr>
          <w:rFonts w:ascii="Arial" w:cs="Arial" w:eastAsia="Arial" w:hAnsi="Arial"/>
          <w:sz w:val="13"/>
          <w:szCs w:val="13"/>
          <w:color w:val="auto"/>
        </w:rPr>
        <w:t>of our reports dated February 18, 2008, with respect to the consolidated financial statements and schedule of Waste Management, Inc. and the effectiveness of internal control over financial reporting of Waste Management, Inc., included in this Annual Report (Form 10-K) for the year ended December 31, 2007.</w:t>
      </w:r>
    </w:p>
    <w:p>
      <w:pPr>
        <w:spacing w:after="0" w:line="128" w:lineRule="exact"/>
        <w:rPr>
          <w:sz w:val="20"/>
          <w:szCs w:val="20"/>
          <w:color w:val="auto"/>
        </w:rPr>
      </w:pPr>
    </w:p>
    <w:p>
      <w:pPr>
        <w:ind w:left="7860"/>
        <w:spacing w:after="0"/>
        <w:rPr>
          <w:sz w:val="20"/>
          <w:szCs w:val="20"/>
          <w:color w:val="auto"/>
        </w:rPr>
      </w:pPr>
      <w:r>
        <w:rPr>
          <w:rFonts w:ascii="Arial" w:cs="Arial" w:eastAsia="Arial" w:hAnsi="Arial"/>
          <w:sz w:val="13"/>
          <w:szCs w:val="13"/>
          <w:color w:val="auto"/>
        </w:rPr>
        <w:t>ERNST &amp; YOUNG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Houston, Texas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February 18, 2008</w:t>
      </w:r>
    </w:p>
    <w:p>
      <w:pPr>
        <w:sectPr>
          <w:pgSz w:w="11900" w:h="16838" w:orient="portrait"/>
          <w:cols w:equalWidth="0" w:num="1">
            <w:col w:w="11460"/>
          </w:cols>
          <w:pgMar w:left="220" w:top="717" w:right="2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3"/>
          <w:szCs w:val="13"/>
          <w:color w:val="auto"/>
        </w:rPr>
        <w:t>EXHIBIT 31.1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David P. Steiner, certify that:</w:t>
      </w:r>
    </w:p>
    <w:p>
      <w:pPr>
        <w:spacing w:after="0" w:line="86" w:lineRule="exact"/>
        <w:rPr>
          <w:sz w:val="20"/>
          <w:szCs w:val="20"/>
          <w:color w:val="auto"/>
        </w:rPr>
      </w:pPr>
    </w:p>
    <w:p>
      <w:pPr>
        <w:ind w:left="680" w:hanging="455"/>
        <w:spacing w:after="0"/>
        <w:tabs>
          <w:tab w:leader="none" w:pos="6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I have reviewed this report on Form 10-K of Waste Management,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9" w:lineRule="exact"/>
        <w:rPr>
          <w:rFonts w:ascii="Arial" w:cs="Arial" w:eastAsia="Arial" w:hAnsi="Arial"/>
          <w:sz w:val="13"/>
          <w:szCs w:val="13"/>
          <w:color w:val="auto"/>
        </w:rPr>
      </w:pPr>
    </w:p>
    <w:p>
      <w:pPr>
        <w:ind w:left="1360" w:right="220" w:hanging="447"/>
        <w:spacing w:after="0" w:line="320" w:lineRule="auto"/>
        <w:tabs>
          <w:tab w:leader="none" w:pos="1360" w:val="left"/>
        </w:tabs>
        <w:numPr>
          <w:ilvl w:val="1"/>
          <w:numId w:val="9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360" w:right="80" w:hanging="447"/>
        <w:spacing w:after="0" w:line="320" w:lineRule="auto"/>
        <w:tabs>
          <w:tab w:leader="none" w:pos="1360" w:val="left"/>
        </w:tabs>
        <w:numPr>
          <w:ilvl w:val="1"/>
          <w:numId w:val="9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360" w:right="120" w:hanging="447"/>
        <w:spacing w:after="0" w:line="276" w:lineRule="auto"/>
        <w:tabs>
          <w:tab w:leader="none" w:pos="1360" w:val="left"/>
        </w:tabs>
        <w:numPr>
          <w:ilvl w:val="1"/>
          <w:numId w:val="9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360" w:right="40" w:hanging="447"/>
        <w:spacing w:after="0" w:line="320" w:lineRule="auto"/>
        <w:tabs>
          <w:tab w:leader="none" w:pos="1360" w:val="left"/>
        </w:tabs>
        <w:numPr>
          <w:ilvl w:val="1"/>
          <w:numId w:val="9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2"/>
          <w:szCs w:val="12"/>
          <w:color w:val="auto"/>
        </w:rPr>
      </w:pPr>
    </w:p>
    <w:p>
      <w:pPr>
        <w:ind w:left="680" w:right="440" w:hanging="455"/>
        <w:spacing w:after="0" w:line="276" w:lineRule="auto"/>
        <w:tabs>
          <w:tab w:leader="none" w:pos="6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360" w:right="80" w:hanging="447"/>
        <w:spacing w:after="0" w:line="276" w:lineRule="auto"/>
        <w:tabs>
          <w:tab w:leader="none" w:pos="1360" w:val="left"/>
        </w:tabs>
        <w:numPr>
          <w:ilvl w:val="1"/>
          <w:numId w:val="9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360" w:hanging="447"/>
        <w:spacing w:after="0"/>
        <w:tabs>
          <w:tab w:leader="none" w:pos="1360" w:val="left"/>
        </w:tabs>
        <w:numPr>
          <w:ilvl w:val="1"/>
          <w:numId w:val="9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60" w:type="dxa"/>
            <w:vAlign w:val="bottom"/>
          </w:tcPr>
          <w:p>
            <w:pPr>
              <w:spacing w:after="0"/>
              <w:rPr>
                <w:sz w:val="20"/>
                <w:szCs w:val="20"/>
                <w:color w:val="auto"/>
              </w:rPr>
            </w:pPr>
            <w:r>
              <w:rPr>
                <w:rFonts w:ascii="Arial" w:cs="Arial" w:eastAsia="Arial" w:hAnsi="Arial"/>
                <w:sz w:val="13"/>
                <w:szCs w:val="13"/>
                <w:color w:val="auto"/>
              </w:rPr>
              <w:t>Date: February 18, 2008</w:t>
            </w:r>
          </w:p>
        </w:tc>
        <w:tc>
          <w:tcPr>
            <w:tcW w:w="6400" w:type="dxa"/>
            <w:vAlign w:val="bottom"/>
            <w:gridSpan w:val="2"/>
          </w:tcPr>
          <w:p>
            <w:pPr>
              <w:ind w:left="2080"/>
              <w:spacing w:after="0"/>
              <w:rPr>
                <w:sz w:val="20"/>
                <w:szCs w:val="20"/>
                <w:color w:val="auto"/>
              </w:rPr>
            </w:pPr>
            <w:r>
              <w:rPr>
                <w:rFonts w:ascii="Arial" w:cs="Arial" w:eastAsia="Arial" w:hAnsi="Arial"/>
                <w:sz w:val="13"/>
                <w:szCs w:val="13"/>
                <w:color w:val="auto"/>
              </w:rPr>
              <w:t>By: /s/ David P. Steiner</w:t>
            </w:r>
          </w:p>
        </w:tc>
      </w:tr>
      <w:tr>
        <w:trPr>
          <w:trHeight w:val="139"/>
        </w:trPr>
        <w:tc>
          <w:tcPr>
            <w:tcW w:w="3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David P. Steiner</w:t>
            </w:r>
          </w:p>
        </w:tc>
      </w:tr>
      <w:tr>
        <w:trPr>
          <w:trHeight w:val="165"/>
        </w:trPr>
        <w:tc>
          <w:tcPr>
            <w:tcW w:w="3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i w:val="1"/>
                <w:iCs w:val="1"/>
                <w:color w:val="auto"/>
              </w:rPr>
              <w:t>Chief Executive Officer</w:t>
            </w:r>
          </w:p>
        </w:tc>
      </w:tr>
    </w:tbl>
    <w:p>
      <w:pPr>
        <w:sectPr>
          <w:pgSz w:w="11900" w:h="16838" w:orient="portrait"/>
          <w:cols w:equalWidth="0" w:num="1">
            <w:col w:w="11460"/>
          </w:cols>
          <w:pgMar w:left="220" w:top="720" w:right="2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3"/>
          <w:szCs w:val="13"/>
          <w:color w:val="auto"/>
        </w:rPr>
        <w:t>EXHIBIT 31.2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Robert G. Simpson, certify that:</w:t>
      </w:r>
    </w:p>
    <w:p>
      <w:pPr>
        <w:spacing w:after="0" w:line="86" w:lineRule="exact"/>
        <w:rPr>
          <w:sz w:val="20"/>
          <w:szCs w:val="20"/>
          <w:color w:val="auto"/>
        </w:rPr>
      </w:pPr>
    </w:p>
    <w:p>
      <w:pPr>
        <w:ind w:left="560" w:hanging="335"/>
        <w:spacing w:after="0"/>
        <w:tabs>
          <w:tab w:leader="none" w:pos="560" w:val="left"/>
        </w:tabs>
        <w:numPr>
          <w:ilvl w:val="0"/>
          <w:numId w:val="99"/>
        </w:numPr>
        <w:rPr>
          <w:rFonts w:ascii="Arial" w:cs="Arial" w:eastAsia="Arial" w:hAnsi="Arial"/>
          <w:sz w:val="13"/>
          <w:szCs w:val="13"/>
          <w:color w:val="auto"/>
        </w:rPr>
      </w:pPr>
      <w:r>
        <w:rPr>
          <w:rFonts w:ascii="Arial" w:cs="Arial" w:eastAsia="Arial" w:hAnsi="Arial"/>
          <w:sz w:val="13"/>
          <w:szCs w:val="13"/>
          <w:color w:val="auto"/>
        </w:rPr>
        <w:t>I have reviewed this report on Form 10-K of Waste Management, Inc.;</w:t>
      </w:r>
    </w:p>
    <w:p>
      <w:pPr>
        <w:spacing w:after="0" w:line="96" w:lineRule="exact"/>
        <w:rPr>
          <w:rFonts w:ascii="Arial" w:cs="Arial" w:eastAsia="Arial" w:hAnsi="Arial"/>
          <w:sz w:val="13"/>
          <w:szCs w:val="13"/>
          <w:color w:val="auto"/>
        </w:rPr>
      </w:pPr>
    </w:p>
    <w:p>
      <w:pPr>
        <w:ind w:left="560" w:right="140" w:hanging="335"/>
        <w:spacing w:after="0" w:line="276" w:lineRule="auto"/>
        <w:tabs>
          <w:tab w:leader="none" w:pos="560" w:val="left"/>
        </w:tabs>
        <w:numPr>
          <w:ilvl w:val="0"/>
          <w:numId w:val="9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560" w:right="160" w:hanging="335"/>
        <w:spacing w:after="0" w:line="276" w:lineRule="auto"/>
        <w:tabs>
          <w:tab w:leader="none" w:pos="560" w:val="left"/>
        </w:tabs>
        <w:numPr>
          <w:ilvl w:val="0"/>
          <w:numId w:val="9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560" w:right="300" w:hanging="335"/>
        <w:spacing w:after="0" w:line="276" w:lineRule="auto"/>
        <w:tabs>
          <w:tab w:leader="none" w:pos="560"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9" w:lineRule="exact"/>
        <w:rPr>
          <w:rFonts w:ascii="Arial" w:cs="Arial" w:eastAsia="Arial" w:hAnsi="Arial"/>
          <w:sz w:val="13"/>
          <w:szCs w:val="13"/>
          <w:color w:val="auto"/>
        </w:rPr>
      </w:pPr>
    </w:p>
    <w:p>
      <w:pPr>
        <w:ind w:left="1240" w:right="340" w:hanging="327"/>
        <w:spacing w:after="0" w:line="320" w:lineRule="auto"/>
        <w:tabs>
          <w:tab w:leader="none" w:pos="1240" w:val="left"/>
        </w:tabs>
        <w:numPr>
          <w:ilvl w:val="1"/>
          <w:numId w:val="9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240" w:hanging="327"/>
        <w:spacing w:after="0" w:line="320" w:lineRule="auto"/>
        <w:tabs>
          <w:tab w:leader="none" w:pos="1240" w:val="left"/>
        </w:tabs>
        <w:numPr>
          <w:ilvl w:val="1"/>
          <w:numId w:val="9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240" w:right="100" w:hanging="327"/>
        <w:spacing w:after="0" w:line="276" w:lineRule="auto"/>
        <w:tabs>
          <w:tab w:leader="none" w:pos="1240" w:val="left"/>
        </w:tabs>
        <w:numPr>
          <w:ilvl w:val="1"/>
          <w:numId w:val="9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240" w:right="160" w:hanging="327"/>
        <w:spacing w:after="0" w:line="320" w:lineRule="auto"/>
        <w:tabs>
          <w:tab w:leader="none" w:pos="1240" w:val="left"/>
        </w:tabs>
        <w:numPr>
          <w:ilvl w:val="1"/>
          <w:numId w:val="9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2"/>
          <w:szCs w:val="12"/>
          <w:color w:val="auto"/>
        </w:rPr>
      </w:pPr>
    </w:p>
    <w:p>
      <w:pPr>
        <w:ind w:left="560" w:right="560" w:hanging="335"/>
        <w:spacing w:after="0" w:line="276" w:lineRule="auto"/>
        <w:tabs>
          <w:tab w:leader="none" w:pos="560"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240" w:right="60" w:hanging="327"/>
        <w:spacing w:after="0" w:line="276" w:lineRule="auto"/>
        <w:tabs>
          <w:tab w:leader="none" w:pos="1240" w:val="left"/>
        </w:tabs>
        <w:numPr>
          <w:ilvl w:val="1"/>
          <w:numId w:val="9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240" w:hanging="327"/>
        <w:spacing w:after="0"/>
        <w:tabs>
          <w:tab w:leader="none" w:pos="1240" w:val="left"/>
        </w:tabs>
        <w:numPr>
          <w:ilvl w:val="1"/>
          <w:numId w:val="9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60" w:type="dxa"/>
            <w:vAlign w:val="bottom"/>
          </w:tcPr>
          <w:p>
            <w:pPr>
              <w:spacing w:after="0"/>
              <w:rPr>
                <w:sz w:val="20"/>
                <w:szCs w:val="20"/>
                <w:color w:val="auto"/>
              </w:rPr>
            </w:pPr>
            <w:r>
              <w:rPr>
                <w:rFonts w:ascii="Arial" w:cs="Arial" w:eastAsia="Arial" w:hAnsi="Arial"/>
                <w:sz w:val="13"/>
                <w:szCs w:val="13"/>
                <w:color w:val="auto"/>
              </w:rPr>
              <w:t>Date: February 18, 2008</w:t>
            </w:r>
          </w:p>
        </w:tc>
        <w:tc>
          <w:tcPr>
            <w:tcW w:w="6400" w:type="dxa"/>
            <w:vAlign w:val="bottom"/>
            <w:gridSpan w:val="2"/>
          </w:tcPr>
          <w:p>
            <w:pPr>
              <w:ind w:left="2080"/>
              <w:spacing w:after="0"/>
              <w:rPr>
                <w:sz w:val="20"/>
                <w:szCs w:val="20"/>
                <w:color w:val="auto"/>
              </w:rPr>
            </w:pPr>
            <w:r>
              <w:rPr>
                <w:rFonts w:ascii="Arial" w:cs="Arial" w:eastAsia="Arial" w:hAnsi="Arial"/>
                <w:sz w:val="13"/>
                <w:szCs w:val="13"/>
                <w:color w:val="auto"/>
              </w:rPr>
              <w:t>By: /s/ Robert G. Simpson</w:t>
            </w:r>
          </w:p>
        </w:tc>
      </w:tr>
      <w:tr>
        <w:trPr>
          <w:trHeight w:val="139"/>
        </w:trPr>
        <w:tc>
          <w:tcPr>
            <w:tcW w:w="3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Robert G. Simpson</w:t>
            </w:r>
          </w:p>
        </w:tc>
      </w:tr>
      <w:tr>
        <w:trPr>
          <w:trHeight w:val="165"/>
        </w:trPr>
        <w:tc>
          <w:tcPr>
            <w:tcW w:w="3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i w:val="1"/>
                <w:iCs w:val="1"/>
                <w:color w:val="auto"/>
              </w:rPr>
              <w:t>Senior Vice President and Chief Financial Officer</w:t>
            </w:r>
          </w:p>
        </w:tc>
      </w:tr>
    </w:tbl>
    <w:p>
      <w:pPr>
        <w:sectPr>
          <w:pgSz w:w="11900" w:h="16838" w:orient="portrait"/>
          <w:cols w:equalWidth="0" w:num="1">
            <w:col w:w="11460"/>
          </w:cols>
          <w:pgMar w:left="220" w:top="721" w:right="2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3"/>
          <w:szCs w:val="13"/>
          <w:color w:val="auto"/>
        </w:rPr>
        <w:t>EXHIBIT 32.1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90" w:lineRule="exact"/>
        <w:rPr>
          <w:sz w:val="20"/>
          <w:szCs w:val="20"/>
          <w:color w:val="auto"/>
        </w:rPr>
      </w:pPr>
    </w:p>
    <w:p>
      <w:pPr>
        <w:ind w:right="100" w:firstLine="164"/>
        <w:spacing w:after="0" w:line="320" w:lineRule="auto"/>
        <w:rPr>
          <w:sz w:val="20"/>
          <w:szCs w:val="20"/>
          <w:color w:val="auto"/>
        </w:rPr>
      </w:pPr>
      <w:r>
        <w:rPr>
          <w:rFonts w:ascii="Arial" w:cs="Arial" w:eastAsia="Arial" w:hAnsi="Arial"/>
          <w:sz w:val="12"/>
          <w:szCs w:val="12"/>
          <w:color w:val="auto"/>
        </w:rPr>
        <w:t>In connection with the Annual Report of Waste Management, Inc. (the “Company”) on Form 10-K for the period ended December 31, 2007 as filed with the Securities and Exchange Commission on the date hereof (the “Report”), I, David P. Steiner, Chief Executive Officer of the Company, certify, pursuant to 18 U.S.C. § 1350, as adopted pursuant to § 906 of the Sarbanes-Oxley Act of 2002, that:</w:t>
      </w:r>
    </w:p>
    <w:p>
      <w:pPr>
        <w:spacing w:after="0" w:line="25" w:lineRule="exact"/>
        <w:rPr>
          <w:sz w:val="20"/>
          <w:szCs w:val="20"/>
          <w:color w:val="auto"/>
        </w:rPr>
      </w:pPr>
    </w:p>
    <w:p>
      <w:pPr>
        <w:ind w:left="340" w:hanging="178"/>
        <w:spacing w:after="0"/>
        <w:tabs>
          <w:tab w:leader="none" w:pos="3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3408045"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0804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Chief Executive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February 18, 2008</w:t>
      </w:r>
    </w:p>
    <w:p>
      <w:pPr>
        <w:sectPr>
          <w:pgSz w:w="11900" w:h="16838" w:orient="portrait"/>
          <w:cols w:equalWidth="0" w:num="1">
            <w:col w:w="11460"/>
          </w:cols>
          <w:pgMar w:left="220" w:top="721" w:right="2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3"/>
          <w:szCs w:val="13"/>
          <w:color w:val="auto"/>
        </w:rPr>
        <w:t>EXHIBIT 32.2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90" w:lineRule="exact"/>
        <w:rPr>
          <w:sz w:val="20"/>
          <w:szCs w:val="20"/>
          <w:color w:val="auto"/>
        </w:rPr>
      </w:pPr>
    </w:p>
    <w:p>
      <w:pPr>
        <w:ind w:right="100" w:firstLine="164"/>
        <w:spacing w:after="0" w:line="320" w:lineRule="auto"/>
        <w:rPr>
          <w:sz w:val="20"/>
          <w:szCs w:val="20"/>
          <w:color w:val="auto"/>
        </w:rPr>
      </w:pPr>
      <w:r>
        <w:rPr>
          <w:rFonts w:ascii="Arial" w:cs="Arial" w:eastAsia="Arial" w:hAnsi="Arial"/>
          <w:sz w:val="12"/>
          <w:szCs w:val="12"/>
          <w:color w:val="auto"/>
        </w:rPr>
        <w:t>In connection with the Annual Report of Waste Management, Inc. (the “Company”) on Form 10-K for the period ended December 31, 2007 as filed with the Securities and Exchange Commission on the date hereof (the “Report”), I, Robert G. Simpson, Chief Financial Officer of the Company, certify, pursuant to 18 U.S.C. § 1350, as adopted pursuant to § 906 of the Sarbanes-Oxley Act of 2002, that:</w:t>
      </w:r>
    </w:p>
    <w:p>
      <w:pPr>
        <w:spacing w:after="0" w:line="25" w:lineRule="exact"/>
        <w:rPr>
          <w:sz w:val="20"/>
          <w:szCs w:val="20"/>
          <w:color w:val="auto"/>
        </w:rPr>
      </w:pPr>
    </w:p>
    <w:p>
      <w:pPr>
        <w:ind w:left="340" w:hanging="178"/>
        <w:spacing w:after="0"/>
        <w:tabs>
          <w:tab w:leader="none" w:pos="3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3408045"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0804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Senior Vice President and</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Chief Financial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February 18, 2008</w:t>
      </w:r>
    </w:p>
    <w:sectPr>
      <w:pgSz w:w="11900" w:h="16838" w:orient="portrait"/>
      <w:cols w:equalWidth="0" w:num="1">
        <w:col w:w="11460"/>
      </w:cols>
      <w:pgMar w:left="220" w:top="7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o"/>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1)"/>
      <w:numFmt w:val="lowerLetter"/>
      <w:start w:val="1"/>
    </w:lvl>
  </w:abstractNum>
  <w:abstractNum w:abstractNumId="5">
    <w:nsid w:val="520EEDD1"/>
    <w:multiLevelType w:val="hybridMultilevel"/>
    <w:lvl w:ilvl="0">
      <w:lvlJc w:val="left"/>
      <w:lvlText w:val="(%1)"/>
      <w:numFmt w:val="lowerLetter"/>
      <w:start w:val="1"/>
    </w:lvl>
  </w:abstractNum>
  <w:abstractNum w:abstractNumId="6">
    <w:nsid w:val="374A3FE6"/>
    <w:multiLevelType w:val="hybridMultilevel"/>
    <w:lvl w:ilvl="0">
      <w:lvlJc w:val="left"/>
      <w:lvlText w:val="(%1)"/>
      <w:numFmt w:val="lowerLetter"/>
      <w:start w:val="1"/>
    </w:lvl>
  </w:abstractNum>
  <w:abstractNum w:abstractNumId="7">
    <w:nsid w:val="4F4EF005"/>
    <w:multiLevelType w:val="hybridMultilevel"/>
    <w:lvl w:ilvl="0">
      <w:lvlJc w:val="left"/>
      <w:lvlText w:val="(%1)"/>
      <w:numFmt w:val="lowerRoman"/>
      <w:start w:val="2"/>
    </w:lvl>
  </w:abstractNum>
  <w:abstractNum w:abstractNumId="8">
    <w:nsid w:val="23F9C13C"/>
    <w:multiLevelType w:val="hybridMultilevel"/>
    <w:lvl w:ilvl="0">
      <w:lvlJc w:val="left"/>
      <w:lvlText w:val="(%1)"/>
      <w:numFmt w:val="lowerRoman"/>
      <w:start w:val="5"/>
    </w:lvl>
  </w:abstractNum>
  <w:abstractNum w:abstractNumId="9">
    <w:nsid w:val="649BB77C"/>
    <w:multiLevelType w:val="hybridMultilevel"/>
    <w:lvl w:ilvl="0">
      <w:lvlJc w:val="left"/>
      <w:lvlText w:val="(%1)"/>
      <w:numFmt w:val="lowerLetter"/>
      <w:start w:val="7"/>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1)"/>
      <w:numFmt w:val="lowerLetter"/>
      <w:start w:val="1"/>
    </w:lvl>
  </w:abstractNum>
  <w:abstractNum w:abstractNumId="16">
    <w:nsid w:val="354FE9F9"/>
    <w:multiLevelType w:val="hybridMultilevel"/>
    <w:lvl w:ilvl="0">
      <w:lvlJc w:val="left"/>
      <w:lvlText w:val="(%1)"/>
      <w:numFmt w:val="lowerLetter"/>
      <w:start w:val="1"/>
    </w:lvl>
  </w:abstractNum>
  <w:abstractNum w:abstractNumId="17">
    <w:nsid w:val="15B5AF5C"/>
    <w:multiLevelType w:val="hybridMultilevel"/>
    <w:lvl w:ilvl="0">
      <w:lvlJc w:val="left"/>
      <w:lvlText w:val="(%1)"/>
      <w:numFmt w:val="lowerLetter"/>
      <w:start w:val="1"/>
    </w:lvl>
  </w:abstractNum>
  <w:abstractNum w:abstractNumId="18">
    <w:nsid w:val="741226BB"/>
    <w:multiLevelType w:val="hybridMultilevel"/>
    <w:lvl w:ilvl="0">
      <w:lvlJc w:val="left"/>
      <w:lvlText w:val="(%1)"/>
      <w:numFmt w:val="lowerLetter"/>
      <w:start w:val="1"/>
    </w:lvl>
  </w:abstractNum>
  <w:abstractNum w:abstractNumId="19">
    <w:nsid w:val="D34B6A8"/>
    <w:multiLevelType w:val="hybridMultilevel"/>
    <w:lvl w:ilvl="0">
      <w:lvlJc w:val="left"/>
      <w:lvlText w:val="(%1)"/>
      <w:numFmt w:val="lowerLetter"/>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1)"/>
      <w:numFmt w:val="lowerRoman"/>
      <w:start w:val="7"/>
    </w:lvl>
  </w:abstractNum>
  <w:abstractNum w:abstractNumId="23">
    <w:nsid w:val="7E0C57B1"/>
    <w:multiLevelType w:val="hybridMultilevel"/>
    <w:lvl w:ilvl="0">
      <w:lvlJc w:val="left"/>
      <w:lvlText w:val="(%1)"/>
      <w:numFmt w:val="lowerRoman"/>
      <w:start w:val="2"/>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1)"/>
      <w:numFmt w:val="lowerRoman"/>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1)"/>
      <w:numFmt w:val="lowerLetter"/>
      <w:start w:val="1"/>
    </w:lvl>
  </w:abstractNum>
  <w:abstractNum w:abstractNumId="38">
    <w:nsid w:val="5F5E7FD0"/>
    <w:multiLevelType w:val="hybridMultilevel"/>
    <w:lvl w:ilvl="0">
      <w:lvlJc w:val="left"/>
      <w:lvlText w:val="%1."/>
      <w:numFmt w:val="decimal"/>
      <w:start w:val="1"/>
    </w:lvl>
  </w:abstractNum>
  <w:abstractNum w:abstractNumId="39">
    <w:nsid w:val="98A3148"/>
    <w:multiLevelType w:val="hybridMultilevel"/>
    <w:lvl w:ilvl="0">
      <w:lvlJc w:val="left"/>
      <w:lvlText w:val="%1."/>
      <w:numFmt w:val="decimal"/>
      <w:start w:val="2"/>
    </w:lvl>
  </w:abstractNum>
  <w:abstractNum w:abstractNumId="40">
    <w:nsid w:val="799D0247"/>
    <w:multiLevelType w:val="hybridMultilevel"/>
    <w:lvl w:ilvl="0">
      <w:lvlJc w:val="left"/>
      <w:lvlText w:val="%1."/>
      <w:numFmt w:val="decimal"/>
      <w:start w:val="3"/>
    </w:lvl>
  </w:abstractNum>
  <w:abstractNum w:abstractNumId="41">
    <w:nsid w:val="6B94764"/>
    <w:multiLevelType w:val="hybridMultilevel"/>
    <w:lvl w:ilvl="0">
      <w:lvlJc w:val="left"/>
      <w:lvlText w:val="(%1)"/>
      <w:numFmt w:val="lowerRoman"/>
      <w:start w:val="3"/>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lvl w:ilvl="1">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1)"/>
      <w:numFmt w:val="lowerRoman"/>
      <w:start w:val="4"/>
    </w:lvl>
  </w:abstractNum>
  <w:abstractNum w:abstractNumId="46">
    <w:nsid w:val="5DC79EA8"/>
    <w:multiLevelType w:val="hybridMultilevel"/>
    <w:lvl w:ilvl="0">
      <w:lvlJc w:val="left"/>
      <w:lvlText w:val="(%1)"/>
      <w:numFmt w:val="lowerRoman"/>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1."/>
      <w:numFmt w:val="decimal"/>
      <w:start w:val="4"/>
    </w:lvl>
  </w:abstractNum>
  <w:abstractNum w:abstractNumId="49">
    <w:nsid w:val="51D9C564"/>
    <w:multiLevelType w:val="hybridMultilevel"/>
    <w:lvl w:ilvl="0">
      <w:lvlJc w:val="left"/>
      <w:lvlText w:val="(%1)"/>
      <w:numFmt w:val="lowerRoman"/>
      <w:start w:val="1"/>
    </w:lvl>
  </w:abstractNum>
  <w:abstractNum w:abstractNumId="50">
    <w:nsid w:val="613EFDC5"/>
    <w:multiLevelType w:val="hybridMultilevel"/>
    <w:lvl w:ilvl="0">
      <w:lvlJc w:val="left"/>
      <w:lvlText w:val="%1."/>
      <w:numFmt w:val="decimal"/>
      <w:start w:val="6"/>
    </w:lvl>
  </w:abstractNum>
  <w:abstractNum w:abstractNumId="51">
    <w:nsid w:val="BF72B14"/>
    <w:multiLevelType w:val="hybridMultilevel"/>
    <w:lvl w:ilvl="0">
      <w:lvlJc w:val="left"/>
      <w:lvlText w:val="(%1)"/>
      <w:numFmt w:val="lowerLetter"/>
      <w:start w:val="1"/>
    </w:lvl>
  </w:abstractNum>
  <w:abstractNum w:abstractNumId="52">
    <w:nsid w:val="11447B73"/>
    <w:multiLevelType w:val="hybridMultilevel"/>
    <w:lvl w:ilvl="0">
      <w:lvlJc w:val="left"/>
      <w:lvlText w:val="(%1)"/>
      <w:numFmt w:val="lowerLetter"/>
      <w:start w:val="1"/>
    </w:lvl>
  </w:abstractNum>
  <w:abstractNum w:abstractNumId="53">
    <w:nsid w:val="42963E5A"/>
    <w:multiLevelType w:val="hybridMultilevel"/>
    <w:lvl w:ilvl="0">
      <w:lvlJc w:val="left"/>
      <w:lvlText w:val="(%1)"/>
      <w:numFmt w:val="lowerLetter"/>
      <w:start w:val="1"/>
    </w:lvl>
  </w:abstractNum>
  <w:abstractNum w:abstractNumId="54">
    <w:nsid w:val="A0382C5"/>
    <w:multiLevelType w:val="hybridMultilevel"/>
    <w:lvl w:ilvl="0">
      <w:lvlJc w:val="left"/>
      <w:lvlText w:val="%1."/>
      <w:numFmt w:val="decimal"/>
      <w:start w:val="9"/>
    </w:lvl>
  </w:abstractNum>
  <w:abstractNum w:abstractNumId="55">
    <w:nsid w:val="8F2B15E"/>
    <w:multiLevelType w:val="hybridMultilevel"/>
    <w:lvl w:ilvl="0">
      <w:lvlJc w:val="left"/>
      <w:lvlText w:val="%1."/>
      <w:numFmt w:val="decimal"/>
      <w:start w:val="10"/>
    </w:lvl>
  </w:abstractNum>
  <w:abstractNum w:abstractNumId="56">
    <w:nsid w:val="1A32234B"/>
    <w:multiLevelType w:val="hybridMultilevel"/>
    <w:lvl w:ilvl="0">
      <w:lvlJc w:val="left"/>
      <w:lvlText w:val="(%1)"/>
      <w:numFmt w:val="lowerLetter"/>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1."/>
      <w:numFmt w:val="decimal"/>
      <w:start w:val="11"/>
    </w:lvl>
  </w:abstractNum>
  <w:abstractNum w:abstractNumId="62">
    <w:nsid w:val="14330624"/>
    <w:multiLevelType w:val="hybridMultilevel"/>
    <w:lvl w:ilvl="0">
      <w:lvlJc w:val="left"/>
      <w:lvlText w:val="%1."/>
      <w:numFmt w:val="decimal"/>
      <w:start w:val="14"/>
    </w:lvl>
  </w:abstractNum>
  <w:abstractNum w:abstractNumId="63">
    <w:nsid w:val="7FFFCA11"/>
    <w:multiLevelType w:val="hybridMultilevel"/>
    <w:lvl w:ilvl="0">
      <w:lvlJc w:val="left"/>
      <w:lvlText w:val="(%1)"/>
      <w:numFmt w:val="lowerLetter"/>
      <w:start w:val="1"/>
    </w:lvl>
  </w:abstractNum>
  <w:abstractNum w:abstractNumId="64">
    <w:nsid w:val="1A27709E"/>
    <w:multiLevelType w:val="hybridMultilevel"/>
    <w:lvl w:ilvl="0">
      <w:lvlJc w:val="left"/>
      <w:lvlText w:val="%1."/>
      <w:numFmt w:val="decimal"/>
      <w:start w:val="15"/>
    </w:lvl>
  </w:abstractNum>
  <w:abstractNum w:abstractNumId="65">
    <w:nsid w:val="71EA1109"/>
    <w:multiLevelType w:val="hybridMultilevel"/>
    <w:lvl w:ilvl="0">
      <w:lvlJc w:val="left"/>
      <w:lvlText w:val="(%1)"/>
      <w:numFmt w:val="lowerLetter"/>
      <w:start w:val="1"/>
    </w:lvl>
  </w:abstractNum>
  <w:abstractNum w:abstractNumId="66">
    <w:nsid w:val="100F59DC"/>
    <w:multiLevelType w:val="hybridMultilevel"/>
    <w:lvl w:ilvl="0">
      <w:lvlJc w:val="left"/>
      <w:lvlText w:val="(%1)"/>
      <w:numFmt w:val="lowerLetter"/>
      <w:start w:val="1"/>
    </w:lvl>
  </w:abstractNum>
  <w:abstractNum w:abstractNumId="67">
    <w:nsid w:val="7FB7E0AA"/>
    <w:multiLevelType w:val="hybridMultilevel"/>
    <w:lvl w:ilvl="0">
      <w:lvlJc w:val="left"/>
      <w:lvlText w:val="(%1)"/>
      <w:numFmt w:val="lowerLetter"/>
      <w:start w:val="1"/>
    </w:lvl>
  </w:abstractNum>
  <w:abstractNum w:abstractNumId="68">
    <w:nsid w:val="6EB5BD4"/>
    <w:multiLevelType w:val="hybridMultilevel"/>
    <w:lvl w:ilvl="0">
      <w:lvlJc w:val="left"/>
      <w:lvlText w:val="%1."/>
      <w:numFmt w:val="decimal"/>
      <w:start w:val="16"/>
    </w:lvl>
  </w:abstractNum>
  <w:abstractNum w:abstractNumId="69">
    <w:nsid w:val="6F6DD9AC"/>
    <w:multiLevelType w:val="hybridMultilevel"/>
    <w:lvl w:ilvl="0">
      <w:lvlJc w:val="left"/>
      <w:lvlText w:val="%1."/>
      <w:numFmt w:val="decimal"/>
      <w:start w:val="17"/>
    </w:lvl>
  </w:abstractNum>
  <w:abstractNum w:abstractNumId="70">
    <w:nsid w:val="94211F2"/>
    <w:multiLevelType w:val="hybridMultilevel"/>
    <w:lvl w:ilvl="0">
      <w:lvlJc w:val="left"/>
      <w:lvlText w:val="%1."/>
      <w:numFmt w:val="decimal"/>
      <w:start w:val="18"/>
    </w:lvl>
  </w:abstractNum>
  <w:abstractNum w:abstractNumId="71">
    <w:nsid w:val="885E1B"/>
    <w:multiLevelType w:val="hybridMultilevel"/>
    <w:lvl w:ilvl="0">
      <w:lvlJc w:val="left"/>
      <w:lvlText w:val="%1."/>
      <w:numFmt w:val="decimal"/>
      <w:start w:val="19"/>
    </w:lvl>
  </w:abstractNum>
  <w:abstractNum w:abstractNumId="72">
    <w:nsid w:val="76272110"/>
    <w:multiLevelType w:val="hybridMultilevel"/>
    <w:lvl w:ilvl="0">
      <w:lvlJc w:val="left"/>
      <w:lvlText w:val="%1."/>
      <w:numFmt w:val="decimal"/>
      <w:start w:val="20"/>
    </w:lvl>
  </w:abstractNum>
  <w:abstractNum w:abstractNumId="73">
    <w:nsid w:val="4C04A8AF"/>
    <w:multiLevelType w:val="hybridMultilevel"/>
    <w:lvl w:ilvl="0">
      <w:lvlJc w:val="left"/>
      <w:lvlText w:val="(%1)"/>
      <w:numFmt w:val="lowerLetter"/>
      <w:start w:val="1"/>
    </w:lvl>
  </w:abstractNum>
  <w:abstractNum w:abstractNumId="74">
    <w:nsid w:val="1716703B"/>
    <w:multiLevelType w:val="hybridMultilevel"/>
    <w:lvl w:ilvl="0">
      <w:lvlJc w:val="left"/>
      <w:lvlText w:val="(%1)"/>
      <w:numFmt w:val="lowerRoman"/>
      <w:start w:val="1"/>
    </w:lvl>
  </w:abstractNum>
  <w:abstractNum w:abstractNumId="75">
    <w:nsid w:val="14E17E33"/>
    <w:multiLevelType w:val="hybridMultilevel"/>
    <w:lvl w:ilvl="0">
      <w:lvlJc w:val="left"/>
      <w:lvlText w:val="(%1)"/>
      <w:numFmt w:val="lowerLetter"/>
      <w:start w:val="10"/>
    </w:lvl>
  </w:abstractNum>
  <w:abstractNum w:abstractNumId="76">
    <w:nsid w:val="3222E7CD"/>
    <w:multiLevelType w:val="hybridMultilevel"/>
    <w:lvl w:ilvl="0">
      <w:lvlJc w:val="left"/>
      <w:lvlText w:val="(%1)"/>
      <w:numFmt w:val="lowerLetter"/>
      <w:start w:val="1"/>
    </w:lvl>
  </w:abstractNum>
  <w:abstractNum w:abstractNumId="77">
    <w:nsid w:val="74DE0EE3"/>
    <w:multiLevelType w:val="hybridMultilevel"/>
    <w:lvl w:ilvl="0">
      <w:lvlJc w:val="left"/>
      <w:lvlText w:val="%1."/>
      <w:numFmt w:val="decimal"/>
      <w:start w:val="21"/>
    </w:lvl>
  </w:abstractNum>
  <w:abstractNum w:abstractNumId="78">
    <w:nsid w:val="68EBC550"/>
    <w:multiLevelType w:val="hybridMultilevel"/>
    <w:lvl w:ilvl="0">
      <w:lvlJc w:val="left"/>
      <w:lvlText w:val="(%1)"/>
      <w:numFmt w:val="lowerLetter"/>
      <w:start w:val="1"/>
    </w:lvl>
  </w:abstractNum>
  <w:abstractNum w:abstractNumId="79">
    <w:nsid w:val="2DF6D648"/>
    <w:multiLevelType w:val="hybridMultilevel"/>
    <w:lvl w:ilvl="0">
      <w:lvlJc w:val="left"/>
      <w:lvlText w:val="(%1)"/>
      <w:numFmt w:val="lowerLetter"/>
      <w:start w:val="7"/>
    </w:lvl>
  </w:abstractNum>
  <w:abstractNum w:abstractNumId="80">
    <w:nsid w:val="46B7D447"/>
    <w:multiLevelType w:val="hybridMultilevel"/>
    <w:lvl w:ilvl="0">
      <w:lvlJc w:val="left"/>
      <w:lvlText w:val="%1."/>
      <w:numFmt w:val="decimal"/>
      <w:start w:val="22"/>
    </w:lvl>
  </w:abstractNum>
  <w:abstractNum w:abstractNumId="81">
    <w:nsid w:val="4A2AC315"/>
    <w:multiLevelType w:val="hybridMultilevel"/>
    <w:lvl w:ilvl="0">
      <w:lvlJc w:val="left"/>
      <w:lvlText w:val="%1."/>
      <w:numFmt w:val="decimal"/>
      <w:start w:val="23"/>
    </w:lvl>
  </w:abstractNum>
  <w:abstractNum w:abstractNumId="82">
    <w:nsid w:val="39EE015C"/>
    <w:multiLevelType w:val="hybridMultilevel"/>
    <w:lvl w:ilvl="0">
      <w:lvlJc w:val="left"/>
      <w:lvlText w:val="(%1)"/>
      <w:numFmt w:val="lowerLetter"/>
      <w:start w:val="1"/>
    </w:lvl>
  </w:abstractNum>
  <w:abstractNum w:abstractNumId="83">
    <w:nsid w:val="57FC4FBB"/>
    <w:multiLevelType w:val="hybridMultilevel"/>
    <w:lvl w:ilvl="0">
      <w:lvlJc w:val="left"/>
      <w:lvlText w:val="(%1)"/>
      <w:numFmt w:val="lowerLetter"/>
      <w:start w:val="7"/>
    </w:lvl>
  </w:abstractNum>
  <w:abstractNum w:abstractNumId="84">
    <w:nsid w:val="CC1016F"/>
    <w:multiLevelType w:val="hybridMultilevel"/>
    <w:lvl w:ilvl="0">
      <w:lvlJc w:val="left"/>
      <w:lvlText w:val="(%1)"/>
      <w:numFmt w:val="lowerLetter"/>
      <w:start w:val="2"/>
    </w:lvl>
  </w:abstractNum>
  <w:abstractNum w:abstractNumId="85">
    <w:nsid w:val="43F18422"/>
    <w:multiLevelType w:val="hybridMultilevel"/>
    <w:lvl w:ilvl="0">
      <w:lvlJc w:val="left"/>
      <w:lvlText w:val="(%1)"/>
      <w:numFmt w:val="lowerLetter"/>
      <w:start w:val="1"/>
    </w:lvl>
  </w:abstractNum>
  <w:abstractNum w:abstractNumId="86">
    <w:nsid w:val="60EF0119"/>
    <w:multiLevelType w:val="hybridMultilevel"/>
    <w:lvl w:ilvl="0">
      <w:lvlJc w:val="left"/>
      <w:lvlText w:val="%1."/>
      <w:numFmt w:val="upperLetter"/>
      <w:start w:val="1"/>
    </w:lvl>
  </w:abstractNum>
  <w:abstractNum w:abstractNumId="87">
    <w:nsid w:val="26F324BA"/>
    <w:multiLevelType w:val="hybridMultilevel"/>
    <w:lvl w:ilvl="0">
      <w:lvlJc w:val="left"/>
      <w:lvlText w:val="(%1)"/>
      <w:numFmt w:val="lowerLetter"/>
      <w:start w:val="2"/>
    </w:lvl>
  </w:abstractNum>
  <w:abstractNum w:abstractNumId="88">
    <w:nsid w:val="7F01579B"/>
    <w:multiLevelType w:val="hybridMultilevel"/>
    <w:lvl w:ilvl="0">
      <w:lvlJc w:val="left"/>
      <w:lvlText w:val="(%1)"/>
      <w:numFmt w:val="lowerLetter"/>
      <w:start w:val="1"/>
    </w:lvl>
    <w:lvl w:ilvl="1">
      <w:lvlJc w:val="left"/>
      <w:lvlText w:val="(%2)"/>
      <w:numFmt w:val="decimal"/>
      <w:start w:val="1"/>
    </w:lvl>
  </w:abstractNum>
  <w:abstractNum w:abstractNumId="89">
    <w:nsid w:val="49DA307D"/>
    <w:multiLevelType w:val="hybridMultilevel"/>
    <w:lvl w:ilvl="0">
      <w:lvlJc w:val="left"/>
      <w:lvlText w:val="(%1)"/>
      <w:numFmt w:val="decimal"/>
      <w:start w:val="1"/>
    </w:lvl>
  </w:abstractNum>
  <w:abstractNum w:abstractNumId="90">
    <w:nsid w:val="7055A5F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1">
    <w:nsid w:val="5FB837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92">
    <w:nsid w:val="50801EE1"/>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93">
    <w:nsid w:val="488AC1A"/>
    <w:multiLevelType w:val="hybridMultilevel"/>
    <w:lvl w:ilvl="0">
      <w:lvlJc w:val="left"/>
      <w:lvlText w:val="(%1)"/>
      <w:numFmt w:val="lowerLetter"/>
      <w:start w:val="1"/>
    </w:lvl>
  </w:abstractNum>
  <w:abstractNum w:abstractNumId="94">
    <w:nsid w:val="5FB8011C"/>
    <w:multiLevelType w:val="hybridMultilevel"/>
    <w:lvl w:ilvl="0">
      <w:lvlJc w:val="left"/>
      <w:lvlText w:val="%1."/>
      <w:numFmt w:val="upperLetter"/>
      <w:start w:val="10"/>
    </w:lvl>
  </w:abstractNum>
  <w:abstractNum w:abstractNumId="95">
    <w:nsid w:val="6AA78F7F"/>
    <w:multiLevelType w:val="hybridMultilevel"/>
    <w:lvl w:ilvl="0">
      <w:lvlJc w:val="left"/>
      <w:lvlText w:val="(%1)"/>
      <w:numFmt w:val="lowerLetter"/>
      <w:start w:val="1"/>
    </w:lvl>
  </w:abstractNum>
  <w:abstractNum w:abstractNumId="96">
    <w:nsid w:val="7672BD23"/>
    <w:multiLevelType w:val="hybridMultilevel"/>
    <w:lvl w:ilvl="0">
      <w:lvlJc w:val="left"/>
      <w:lvlText w:val="(%1)"/>
      <w:numFmt w:val="decimal"/>
      <w:start w:val="1"/>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2019-12-20T04:43:59Z</dcterms:created>
  <dcterms:modified xsi:type="dcterms:W3CDTF">2019-12-20T04:43:59Z</dcterms:modified>
</cp:coreProperties>
</file>