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19,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Charter)</w:t>
      </w:r>
    </w:p>
    <w:p>
      <w:pPr>
        <w:sectPr>
          <w:pgSz w:w="11900" w:h="16860" w:orient="portrait"/>
          <w:cols w:equalWidth="0" w:num="1">
            <w:col w:w="11380"/>
          </w:cols>
          <w:pgMar w:left="240" w:top="544" w:right="27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60" w:orient="portrait"/>
          <w:cols w:equalWidth="0" w:num="3">
            <w:col w:w="4020" w:space="720"/>
            <w:col w:w="2900" w:space="720"/>
            <w:col w:w="3020"/>
          </w:cols>
          <w:pgMar w:left="240" w:top="544" w:right="279" w:bottom="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60" w:orient="portrait"/>
          <w:cols w:equalWidth="0" w:num="1">
            <w:col w:w="11380"/>
          </w:cols>
          <w:pgMar w:left="240" w:top="544" w:right="279" w:bottom="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60" w:orient="portrait"/>
          <w:cols w:equalWidth="0" w:num="2">
            <w:col w:w="7500" w:space="720"/>
            <w:col w:w="3160"/>
          </w:cols>
          <w:pgMar w:left="240" w:top="544" w:right="27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0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right="1100" w:firstLine="648"/>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right="440" w:firstLine="648"/>
        <w:spacing w:after="0" w:line="286" w:lineRule="auto"/>
        <w:rPr>
          <w:sz w:val="20"/>
          <w:szCs w:val="20"/>
          <w:color w:val="auto"/>
        </w:rPr>
      </w:pPr>
      <w:r>
        <w:rPr>
          <w:rFonts w:ascii="Arial" w:cs="Arial" w:eastAsia="Arial" w:hAnsi="Arial"/>
          <w:sz w:val="17"/>
          <w:szCs w:val="17"/>
          <w:color w:val="auto"/>
        </w:rPr>
        <w:t>On February 20, 2018, the Management Development and Compensation Committee (the “Committee”) of the Board of Directors of Waste Management, Inc. (the “Company”) granted equity awards under the Company’s 2014 Stock Incentive Plan to each of the Company’s currently-serving named executive officers and the Company’s principal financial officer elected in 2017 (collectively, the “Executives”).</w:t>
      </w:r>
    </w:p>
    <w:p>
      <w:pPr>
        <w:spacing w:after="0" w:line="166" w:lineRule="exact"/>
        <w:rPr>
          <w:sz w:val="24"/>
          <w:szCs w:val="24"/>
          <w:color w:val="auto"/>
        </w:rPr>
      </w:pPr>
    </w:p>
    <w:p>
      <w:pPr>
        <w:ind w:firstLine="648"/>
        <w:spacing w:after="0" w:line="257" w:lineRule="auto"/>
        <w:rPr>
          <w:sz w:val="20"/>
          <w:szCs w:val="20"/>
          <w:color w:val="auto"/>
        </w:rPr>
      </w:pPr>
      <w:r>
        <w:rPr>
          <w:rFonts w:ascii="Arial" w:cs="Arial" w:eastAsia="Arial" w:hAnsi="Arial"/>
          <w:sz w:val="18"/>
          <w:szCs w:val="18"/>
          <w:color w:val="auto"/>
        </w:rPr>
        <w:t>Each of the Executives, which includes James C. Fish, Jr., President and Chief Executive Officer; Devina A. Rankin, Senior Vice President and Chief Financial Officer; James E. Trevathan, Jr., Executive Vice President and Chief Operating Officer; Jeff M. Harris, Senior Vice President — Operations and John J. Morris, Jr., Senior Vice President — Operations, received performance share units and stock options. The number of performance share units granted to each of the Executives is as follows: Mr. Fish — 55,172; Ms. Rankin — 15,632; Mr. Trevathan — 20,414; Mr. Harris — 22,298 and Mr. Morris — 16,552. The material terms of the performance share units are described below.</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Performance Share Units</w:t>
      </w:r>
    </w:p>
    <w:p>
      <w:pPr>
        <w:spacing w:after="0" w:line="229" w:lineRule="exact"/>
        <w:rPr>
          <w:sz w:val="24"/>
          <w:szCs w:val="24"/>
          <w:color w:val="auto"/>
        </w:rPr>
      </w:pPr>
    </w:p>
    <w:p>
      <w:pPr>
        <w:spacing w:after="0"/>
        <w:tabs>
          <w:tab w:leader="none" w:pos="4540" w:val="left"/>
        </w:tabs>
        <w:rPr>
          <w:sz w:val="20"/>
          <w:szCs w:val="20"/>
          <w:color w:val="auto"/>
        </w:rPr>
      </w:pPr>
      <w:r>
        <w:rPr>
          <w:rFonts w:ascii="Arial" w:cs="Arial" w:eastAsia="Arial" w:hAnsi="Arial"/>
          <w:sz w:val="18"/>
          <w:szCs w:val="18"/>
          <w:color w:val="auto"/>
        </w:rPr>
        <w:t>Performance Calculation Date (“PCD”)</w:t>
      </w:r>
      <w:r>
        <w:rPr>
          <w:sz w:val="20"/>
          <w:szCs w:val="20"/>
          <w:color w:val="auto"/>
        </w:rPr>
        <w:tab/>
      </w:r>
      <w:r>
        <w:rPr>
          <w:rFonts w:ascii="Arial" w:cs="Arial" w:eastAsia="Arial" w:hAnsi="Arial"/>
          <w:sz w:val="16"/>
          <w:szCs w:val="16"/>
          <w:color w:val="auto"/>
        </w:rPr>
        <w:t>As of December 31, 2020; award (if any) paid out after completion of the audit of the</w:t>
      </w:r>
    </w:p>
    <w:p>
      <w:pPr>
        <w:sectPr>
          <w:pgSz w:w="11900" w:h="16860" w:orient="portrait"/>
          <w:cols w:equalWidth="0" w:num="1">
            <w:col w:w="11380"/>
          </w:cols>
          <w:pgMar w:left="240" w:top="544" w:right="279" w:bottom="0" w:gutter="0" w:footer="0" w:header="0"/>
          <w:type w:val="continuous"/>
        </w:sectPr>
      </w:pPr>
    </w:p>
    <w:bookmarkStart w:id="1" w:name="page2"/>
    <w:bookmarkEnd w:id="1"/>
    <w:p>
      <w:pPr>
        <w:ind w:left="4560" w:right="300"/>
        <w:spacing w:after="0" w:line="277" w:lineRule="auto"/>
        <w:rPr>
          <w:sz w:val="20"/>
          <w:szCs w:val="20"/>
          <w:color w:val="auto"/>
        </w:rPr>
      </w:pPr>
      <w:r>
        <w:rPr>
          <w:rFonts w:ascii="Arial" w:cs="Arial" w:eastAsia="Arial" w:hAnsi="Arial"/>
          <w:sz w:val="18"/>
          <w:szCs w:val="18"/>
          <w:color w:val="auto"/>
        </w:rPr>
        <w:t>Company’s 2020 year-end financial statements and certification by the Committee of actual level of achievement (“payment date”).</w:t>
      </w:r>
    </w:p>
    <w:p>
      <w:pPr>
        <w:spacing w:after="0" w:line="170"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Performance Measure</w:t>
      </w:r>
      <w:r>
        <w:rPr>
          <w:sz w:val="20"/>
          <w:szCs w:val="20"/>
          <w:color w:val="auto"/>
        </w:rPr>
        <w:tab/>
      </w:r>
      <w:r>
        <w:rPr>
          <w:rFonts w:ascii="Arial" w:cs="Arial" w:eastAsia="Arial" w:hAnsi="Arial"/>
          <w:sz w:val="16"/>
          <w:szCs w:val="16"/>
          <w:color w:val="auto"/>
        </w:rPr>
        <w:t>50% of the PSUs will have an adjusted free cash flow performance measure, and 50% of the</w:t>
      </w:r>
    </w:p>
    <w:p>
      <w:pPr>
        <w:spacing w:after="0" w:line="23" w:lineRule="exact"/>
        <w:rPr>
          <w:sz w:val="20"/>
          <w:szCs w:val="20"/>
          <w:color w:val="auto"/>
        </w:rPr>
      </w:pPr>
    </w:p>
    <w:p>
      <w:pPr>
        <w:ind w:left="4560" w:right="380"/>
        <w:spacing w:after="0" w:line="290" w:lineRule="auto"/>
        <w:rPr>
          <w:sz w:val="20"/>
          <w:szCs w:val="20"/>
          <w:color w:val="auto"/>
        </w:rPr>
      </w:pPr>
      <w:r>
        <w:rPr>
          <w:rFonts w:ascii="Arial" w:cs="Arial" w:eastAsia="Arial" w:hAnsi="Arial"/>
          <w:sz w:val="17"/>
          <w:szCs w:val="17"/>
          <w:color w:val="auto"/>
        </w:rPr>
        <w:t>PSUs will have a total shareholder return relative to the S&amp;P 500 performance measure, in each case as set forth in the award agreement filed as an exhibit hereto.</w:t>
      </w:r>
    </w:p>
    <w:p>
      <w:pPr>
        <w:spacing w:after="0" w:line="162"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Range of Possible Awards</w:t>
      </w:r>
      <w:r>
        <w:rPr>
          <w:sz w:val="20"/>
          <w:szCs w:val="20"/>
          <w:color w:val="auto"/>
        </w:rPr>
        <w:tab/>
      </w:r>
      <w:r>
        <w:rPr>
          <w:rFonts w:ascii="Arial" w:cs="Arial" w:eastAsia="Arial" w:hAnsi="Arial"/>
          <w:sz w:val="16"/>
          <w:szCs w:val="16"/>
          <w:color w:val="auto"/>
        </w:rPr>
        <w:t>0 — 200% of targeted amount, plus accrued dividend equivalents, based on actual results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achieved.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Employment</w:t>
      </w:r>
    </w:p>
    <w:p>
      <w:pPr>
        <w:spacing w:after="0" w:line="225" w:lineRule="exact"/>
        <w:rPr>
          <w:sz w:val="20"/>
          <w:szCs w:val="20"/>
          <w:color w:val="auto"/>
        </w:rPr>
      </w:pPr>
    </w:p>
    <w:p>
      <w:pPr>
        <w:ind w:left="180"/>
        <w:spacing w:after="0"/>
        <w:tabs>
          <w:tab w:leader="none" w:pos="4540" w:val="left"/>
        </w:tabs>
        <w:rPr>
          <w:sz w:val="20"/>
          <w:szCs w:val="20"/>
          <w:color w:val="auto"/>
        </w:rPr>
      </w:pPr>
      <w:r>
        <w:rPr>
          <w:rFonts w:ascii="Arial" w:cs="Arial" w:eastAsia="Arial" w:hAnsi="Arial"/>
          <w:sz w:val="18"/>
          <w:szCs w:val="18"/>
          <w:color w:val="auto"/>
        </w:rPr>
        <w:t>Death or Disability before PCD</w:t>
      </w:r>
      <w:r>
        <w:rPr>
          <w:sz w:val="20"/>
          <w:szCs w:val="20"/>
          <w:color w:val="auto"/>
        </w:rPr>
        <w:tab/>
      </w:r>
      <w:r>
        <w:rPr>
          <w:rFonts w:ascii="Arial" w:cs="Arial" w:eastAsia="Arial" w:hAnsi="Arial"/>
          <w:sz w:val="16"/>
          <w:szCs w:val="16"/>
          <w:color w:val="auto"/>
        </w:rPr>
        <w:t>Payable in full on payment date based on actual results as if participant had remained an active</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employee through PCD.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Involuntary Termination for Cause or Voluntary ResignationImmediate forfeiture.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before PCD</w:t>
      </w:r>
    </w:p>
    <w:p>
      <w:pPr>
        <w:spacing w:after="0" w:line="211" w:lineRule="exact"/>
        <w:rPr>
          <w:sz w:val="20"/>
          <w:szCs w:val="20"/>
          <w:color w:val="auto"/>
        </w:rPr>
      </w:pPr>
    </w:p>
    <w:p>
      <w:pPr>
        <w:ind w:left="180"/>
        <w:spacing w:after="0"/>
        <w:tabs>
          <w:tab w:leader="none" w:pos="4540" w:val="left"/>
        </w:tabs>
        <w:rPr>
          <w:sz w:val="20"/>
          <w:szCs w:val="20"/>
          <w:color w:val="auto"/>
        </w:rPr>
      </w:pPr>
      <w:r>
        <w:rPr>
          <w:rFonts w:ascii="Arial" w:cs="Arial" w:eastAsia="Arial" w:hAnsi="Arial"/>
          <w:sz w:val="18"/>
          <w:szCs w:val="18"/>
          <w:color w:val="auto"/>
        </w:rPr>
        <w:t>Involuntary Termination other than for Cause before PCD</w:t>
      </w:r>
      <w:r>
        <w:rPr>
          <w:sz w:val="20"/>
          <w:szCs w:val="20"/>
          <w:color w:val="auto"/>
        </w:rPr>
        <w:tab/>
      </w:r>
      <w:r>
        <w:rPr>
          <w:rFonts w:ascii="Arial" w:cs="Arial" w:eastAsia="Arial" w:hAnsi="Arial"/>
          <w:sz w:val="16"/>
          <w:szCs w:val="16"/>
          <w:color w:val="auto"/>
        </w:rPr>
        <w:t>Payable on payment date based on actual results, prorated based on portion of performance</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period completed prior to termination of employment.</w:t>
      </w:r>
    </w:p>
    <w:p>
      <w:pPr>
        <w:spacing w:after="0" w:line="211" w:lineRule="exact"/>
        <w:rPr>
          <w:sz w:val="20"/>
          <w:szCs w:val="20"/>
          <w:color w:val="auto"/>
        </w:rPr>
      </w:pPr>
    </w:p>
    <w:p>
      <w:pPr>
        <w:ind w:left="4560" w:right="120" w:hanging="4369"/>
        <w:spacing w:after="0" w:line="257" w:lineRule="auto"/>
        <w:rPr>
          <w:sz w:val="20"/>
          <w:szCs w:val="20"/>
          <w:color w:val="auto"/>
        </w:rPr>
      </w:pPr>
      <w:r>
        <w:rPr>
          <w:rFonts w:ascii="Arial" w:cs="Arial" w:eastAsia="Arial" w:hAnsi="Arial"/>
          <w:sz w:val="18"/>
          <w:szCs w:val="18"/>
          <w:color w:val="auto"/>
        </w:rPr>
        <w:t>Retirement (as defined in the award agreement) before PCD If Retirement occurs on or after December 31, 2018, payable in full on payment date based on actual results as if participant had remained an active employee through PCD. If Retirement occurs before December 31, 2018, payable on payment date based on actual results, prorated based on the number of days worked during 2018 (the first year of the performance period) divided by 365.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980" w:type="dxa"/>
            <w:vAlign w:val="bottom"/>
          </w:tcPr>
          <w:p>
            <w:pPr>
              <w:ind w:left="2180"/>
              <w:spacing w:after="0"/>
              <w:rPr>
                <w:sz w:val="20"/>
                <w:szCs w:val="20"/>
                <w:color w:val="auto"/>
              </w:rPr>
            </w:pPr>
            <w:r>
              <w:rPr>
                <w:rFonts w:ascii="Arial" w:cs="Arial" w:eastAsia="Arial" w:hAnsi="Arial"/>
                <w:sz w:val="18"/>
                <w:szCs w:val="18"/>
                <w:color w:val="auto"/>
              </w:rPr>
              <w:t>2</w:t>
            </w:r>
          </w:p>
        </w:tc>
      </w:tr>
      <w:tr>
        <w:trPr>
          <w:trHeight w:val="132"/>
        </w:trPr>
        <w:tc>
          <w:tcPr>
            <w:tcW w:w="3480" w:type="dxa"/>
            <w:vAlign w:val="bottom"/>
            <w:tcBorders>
              <w:bottom w:val="single" w:sz="8" w:color="808080"/>
            </w:tcBorders>
          </w:tcPr>
          <w:p>
            <w:pPr>
              <w:spacing w:after="0"/>
              <w:rPr>
                <w:sz w:val="11"/>
                <w:szCs w:val="11"/>
                <w:color w:val="auto"/>
              </w:rPr>
            </w:pPr>
          </w:p>
        </w:tc>
        <w:tc>
          <w:tcPr>
            <w:tcW w:w="7980" w:type="dxa"/>
            <w:vAlign w:val="bottom"/>
            <w:tcBorders>
              <w:bottom w:val="single" w:sz="8" w:color="808080"/>
            </w:tcBorders>
          </w:tcPr>
          <w:p>
            <w:pPr>
              <w:spacing w:after="0"/>
              <w:rPr>
                <w:sz w:val="11"/>
                <w:szCs w:val="11"/>
                <w:color w:val="auto"/>
              </w:rPr>
            </w:pPr>
          </w:p>
        </w:tc>
      </w:tr>
      <w:tr>
        <w:trPr>
          <w:trHeight w:val="766"/>
        </w:trPr>
        <w:tc>
          <w:tcPr>
            <w:tcW w:w="3480" w:type="dxa"/>
            <w:vAlign w:val="bottom"/>
          </w:tcPr>
          <w:p>
            <w:pPr>
              <w:ind w:left="180"/>
              <w:spacing w:after="0"/>
              <w:rPr>
                <w:sz w:val="20"/>
                <w:szCs w:val="20"/>
                <w:color w:val="auto"/>
              </w:rPr>
            </w:pPr>
            <w:r>
              <w:rPr>
                <w:rFonts w:ascii="Arial" w:cs="Arial" w:eastAsia="Arial" w:hAnsi="Arial"/>
                <w:sz w:val="18"/>
                <w:szCs w:val="18"/>
                <w:color w:val="auto"/>
              </w:rPr>
              <w:t>Change in Control before PCD</w:t>
            </w:r>
          </w:p>
        </w:tc>
        <w:tc>
          <w:tcPr>
            <w:tcW w:w="7980" w:type="dxa"/>
            <w:vAlign w:val="bottom"/>
          </w:tcPr>
          <w:p>
            <w:pPr>
              <w:ind w:left="1080"/>
              <w:spacing w:after="0"/>
              <w:rPr>
                <w:sz w:val="20"/>
                <w:szCs w:val="20"/>
                <w:color w:val="auto"/>
              </w:rPr>
            </w:pPr>
            <w:r>
              <w:rPr>
                <w:rFonts w:ascii="Arial" w:cs="Arial" w:eastAsia="Arial" w:hAnsi="Arial"/>
                <w:sz w:val="18"/>
                <w:szCs w:val="18"/>
                <w:color w:val="auto"/>
                <w:w w:val="95"/>
              </w:rPr>
              <w:t>Performance measured prior to the change in control and paid on prorated basis on actual</w:t>
            </w:r>
          </w:p>
        </w:tc>
      </w:tr>
      <w:tr>
        <w:trPr>
          <w:trHeight w:val="216"/>
        </w:trPr>
        <w:tc>
          <w:tcPr>
            <w:tcW w:w="3480" w:type="dxa"/>
            <w:vAlign w:val="bottom"/>
          </w:tcPr>
          <w:p>
            <w:pPr>
              <w:spacing w:after="0"/>
              <w:rPr>
                <w:sz w:val="18"/>
                <w:szCs w:val="18"/>
                <w:color w:val="auto"/>
              </w:rPr>
            </w:pPr>
          </w:p>
        </w:tc>
        <w:tc>
          <w:tcPr>
            <w:tcW w:w="7980" w:type="dxa"/>
            <w:vAlign w:val="bottom"/>
          </w:tcPr>
          <w:p>
            <w:pPr>
              <w:ind w:left="1080"/>
              <w:spacing w:after="0"/>
              <w:rPr>
                <w:sz w:val="20"/>
                <w:szCs w:val="20"/>
                <w:color w:val="auto"/>
              </w:rPr>
            </w:pPr>
            <w:r>
              <w:rPr>
                <w:rFonts w:ascii="Arial" w:cs="Arial" w:eastAsia="Arial" w:hAnsi="Arial"/>
                <w:sz w:val="18"/>
                <w:szCs w:val="18"/>
                <w:color w:val="auto"/>
                <w:w w:val="91"/>
              </w:rPr>
              <w:t>results achieved up to such date. Thereafter, participant also generally receives a replacement</w:t>
            </w:r>
          </w:p>
        </w:tc>
      </w:tr>
      <w:tr>
        <w:trPr>
          <w:trHeight w:val="216"/>
        </w:trPr>
        <w:tc>
          <w:tcPr>
            <w:tcW w:w="3480" w:type="dxa"/>
            <w:vAlign w:val="bottom"/>
          </w:tcPr>
          <w:p>
            <w:pPr>
              <w:spacing w:after="0"/>
              <w:rPr>
                <w:sz w:val="18"/>
                <w:szCs w:val="18"/>
                <w:color w:val="auto"/>
              </w:rPr>
            </w:pPr>
          </w:p>
        </w:tc>
        <w:tc>
          <w:tcPr>
            <w:tcW w:w="7980" w:type="dxa"/>
            <w:vAlign w:val="bottom"/>
          </w:tcPr>
          <w:p>
            <w:pPr>
              <w:ind w:left="1080"/>
              <w:spacing w:after="0"/>
              <w:rPr>
                <w:sz w:val="20"/>
                <w:szCs w:val="20"/>
                <w:color w:val="auto"/>
              </w:rPr>
            </w:pPr>
            <w:r>
              <w:rPr>
                <w:rFonts w:ascii="Arial" w:cs="Arial" w:eastAsia="Arial" w:hAnsi="Arial"/>
                <w:sz w:val="18"/>
                <w:szCs w:val="18"/>
                <w:color w:val="auto"/>
                <w:w w:val="93"/>
              </w:rPr>
              <w:t>award of restricted stock units in the successor entity generally equal to the number of PSUs</w:t>
            </w:r>
          </w:p>
        </w:tc>
      </w:tr>
      <w:tr>
        <w:trPr>
          <w:trHeight w:val="216"/>
        </w:trPr>
        <w:tc>
          <w:tcPr>
            <w:tcW w:w="3480" w:type="dxa"/>
            <w:vAlign w:val="bottom"/>
          </w:tcPr>
          <w:p>
            <w:pPr>
              <w:spacing w:after="0"/>
              <w:rPr>
                <w:sz w:val="18"/>
                <w:szCs w:val="18"/>
                <w:color w:val="auto"/>
              </w:rPr>
            </w:pPr>
          </w:p>
        </w:tc>
        <w:tc>
          <w:tcPr>
            <w:tcW w:w="7980" w:type="dxa"/>
            <w:vAlign w:val="bottom"/>
          </w:tcPr>
          <w:p>
            <w:pPr>
              <w:ind w:left="1080"/>
              <w:spacing w:after="0"/>
              <w:rPr>
                <w:sz w:val="20"/>
                <w:szCs w:val="20"/>
                <w:color w:val="auto"/>
              </w:rPr>
            </w:pPr>
            <w:r>
              <w:rPr>
                <w:rFonts w:ascii="Arial" w:cs="Arial" w:eastAsia="Arial" w:hAnsi="Arial"/>
                <w:sz w:val="18"/>
                <w:szCs w:val="18"/>
                <w:color w:val="auto"/>
                <w:w w:val="91"/>
              </w:rPr>
              <w:t>that would have been earned had no change in control occurred and target performance levels</w:t>
            </w:r>
          </w:p>
        </w:tc>
      </w:tr>
      <w:tr>
        <w:trPr>
          <w:trHeight w:val="216"/>
        </w:trPr>
        <w:tc>
          <w:tcPr>
            <w:tcW w:w="3480" w:type="dxa"/>
            <w:vAlign w:val="bottom"/>
          </w:tcPr>
          <w:p>
            <w:pPr>
              <w:spacing w:after="0"/>
              <w:rPr>
                <w:sz w:val="18"/>
                <w:szCs w:val="18"/>
                <w:color w:val="auto"/>
              </w:rPr>
            </w:pPr>
          </w:p>
        </w:tc>
        <w:tc>
          <w:tcPr>
            <w:tcW w:w="7980" w:type="dxa"/>
            <w:vAlign w:val="bottom"/>
          </w:tcPr>
          <w:p>
            <w:pPr>
              <w:ind w:left="1080"/>
              <w:spacing w:after="0"/>
              <w:rPr>
                <w:sz w:val="20"/>
                <w:szCs w:val="20"/>
                <w:color w:val="auto"/>
              </w:rPr>
            </w:pPr>
            <w:r>
              <w:rPr>
                <w:rFonts w:ascii="Arial" w:cs="Arial" w:eastAsia="Arial" w:hAnsi="Arial"/>
                <w:sz w:val="18"/>
                <w:szCs w:val="18"/>
                <w:color w:val="auto"/>
                <w:w w:val="92"/>
              </w:rPr>
              <w:t>had been met from the time of the change of control through December 31, 2020, adjusted for</w:t>
            </w:r>
          </w:p>
        </w:tc>
      </w:tr>
      <w:tr>
        <w:trPr>
          <w:trHeight w:val="216"/>
        </w:trPr>
        <w:tc>
          <w:tcPr>
            <w:tcW w:w="3480" w:type="dxa"/>
            <w:vAlign w:val="bottom"/>
          </w:tcPr>
          <w:p>
            <w:pPr>
              <w:spacing w:after="0"/>
              <w:rPr>
                <w:sz w:val="18"/>
                <w:szCs w:val="18"/>
                <w:color w:val="auto"/>
              </w:rPr>
            </w:pPr>
          </w:p>
        </w:tc>
        <w:tc>
          <w:tcPr>
            <w:tcW w:w="7980" w:type="dxa"/>
            <w:vAlign w:val="bottom"/>
          </w:tcPr>
          <w:p>
            <w:pPr>
              <w:ind w:left="1080"/>
              <w:spacing w:after="0"/>
              <w:rPr>
                <w:sz w:val="20"/>
                <w:szCs w:val="20"/>
                <w:color w:val="auto"/>
              </w:rPr>
            </w:pPr>
            <w:r>
              <w:rPr>
                <w:rFonts w:ascii="Arial" w:cs="Arial" w:eastAsia="Arial" w:hAnsi="Arial"/>
                <w:sz w:val="18"/>
                <w:szCs w:val="18"/>
                <w:color w:val="auto"/>
                <w:w w:val="94"/>
              </w:rPr>
              <w:t>any conversion factors in the change in control transaction. The new restricted stock units in</w:t>
            </w:r>
          </w:p>
        </w:tc>
      </w:tr>
      <w:tr>
        <w:trPr>
          <w:trHeight w:val="230"/>
        </w:trPr>
        <w:tc>
          <w:tcPr>
            <w:tcW w:w="3480" w:type="dxa"/>
            <w:vAlign w:val="bottom"/>
          </w:tcPr>
          <w:p>
            <w:pPr>
              <w:spacing w:after="0"/>
              <w:rPr>
                <w:sz w:val="20"/>
                <w:szCs w:val="20"/>
                <w:color w:val="auto"/>
              </w:rPr>
            </w:pPr>
          </w:p>
        </w:tc>
        <w:tc>
          <w:tcPr>
            <w:tcW w:w="7980" w:type="dxa"/>
            <w:vAlign w:val="bottom"/>
          </w:tcPr>
          <w:p>
            <w:pPr>
              <w:ind w:left="1080"/>
              <w:spacing w:after="0"/>
              <w:rPr>
                <w:sz w:val="20"/>
                <w:szCs w:val="20"/>
                <w:color w:val="auto"/>
              </w:rPr>
            </w:pPr>
            <w:r>
              <w:rPr>
                <w:rFonts w:ascii="Arial" w:cs="Arial" w:eastAsia="Arial" w:hAnsi="Arial"/>
                <w:sz w:val="18"/>
                <w:szCs w:val="18"/>
                <w:color w:val="auto"/>
              </w:rPr>
              <w:t>the successor entity would vest on December 31,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-1348105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-1348105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Committee also granted stock options to the Executives to purchase the following number of shares of the Company’s common stock: Mr. Fish</w:t>
      </w:r>
    </w:p>
    <w:p>
      <w:pPr>
        <w:spacing w:after="0" w:line="4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 98,684; Ms. Rankin — 27,961; Mr. Trevathan — 36,513; Mr. Harris — 29,605 and Mr. Morris — 29,605. The material terms of the stock options are described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Stock Options</w:t>
            </w:r>
          </w:p>
        </w:tc>
        <w:tc>
          <w:tcPr>
            <w:tcW w:w="3620" w:type="dxa"/>
            <w:vAlign w:val="bottom"/>
          </w:tcPr>
          <w:p>
            <w:pPr>
              <w:spacing w:after="0"/>
              <w:rPr>
                <w:sz w:val="18"/>
                <w:szCs w:val="18"/>
                <w:color w:val="auto"/>
              </w:rPr>
            </w:pPr>
          </w:p>
        </w:tc>
        <w:tc>
          <w:tcPr>
            <w:tcW w:w="6640" w:type="dxa"/>
            <w:vAlign w:val="bottom"/>
          </w:tcPr>
          <w:p>
            <w:pPr>
              <w:spacing w:after="0"/>
              <w:rPr>
                <w:sz w:val="18"/>
                <w:szCs w:val="18"/>
                <w:color w:val="auto"/>
              </w:rPr>
            </w:pPr>
          </w:p>
        </w:tc>
      </w:tr>
      <w:tr>
        <w:trPr>
          <w:trHeight w:val="438"/>
        </w:trPr>
        <w:tc>
          <w:tcPr>
            <w:tcW w:w="4720" w:type="dxa"/>
            <w:vAlign w:val="bottom"/>
            <w:gridSpan w:val="2"/>
          </w:tcPr>
          <w:p>
            <w:pPr>
              <w:spacing w:after="0"/>
              <w:rPr>
                <w:sz w:val="20"/>
                <w:szCs w:val="20"/>
                <w:color w:val="auto"/>
              </w:rPr>
            </w:pPr>
            <w:r>
              <w:rPr>
                <w:rFonts w:ascii="Arial" w:cs="Arial" w:eastAsia="Arial" w:hAnsi="Arial"/>
                <w:sz w:val="18"/>
                <w:szCs w:val="18"/>
                <w:color w:val="auto"/>
              </w:rPr>
              <w:t>Vesting Schedule</w:t>
            </w:r>
          </w:p>
        </w:tc>
        <w:tc>
          <w:tcPr>
            <w:tcW w:w="6640" w:type="dxa"/>
            <w:vAlign w:val="bottom"/>
          </w:tcPr>
          <w:p>
            <w:pPr>
              <w:ind w:left="320"/>
              <w:spacing w:after="0"/>
              <w:rPr>
                <w:sz w:val="20"/>
                <w:szCs w:val="20"/>
                <w:color w:val="auto"/>
              </w:rPr>
            </w:pPr>
            <w:r>
              <w:rPr>
                <w:rFonts w:ascii="Arial" w:cs="Arial" w:eastAsia="Arial" w:hAnsi="Arial"/>
                <w:sz w:val="18"/>
                <w:szCs w:val="18"/>
                <w:color w:val="auto"/>
              </w:rPr>
              <w:t>25% on first anniversary;</w:t>
            </w:r>
          </w:p>
        </w:tc>
      </w:tr>
      <w:tr>
        <w:trPr>
          <w:trHeight w:val="216"/>
        </w:trPr>
        <w:tc>
          <w:tcPr>
            <w:tcW w:w="1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25% on second anniversary; and</w:t>
            </w:r>
          </w:p>
        </w:tc>
      </w:tr>
      <w:tr>
        <w:trPr>
          <w:trHeight w:val="230"/>
        </w:trPr>
        <w:tc>
          <w:tcPr>
            <w:tcW w:w="11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50% on third anniversary.</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Term</w:t>
            </w:r>
          </w:p>
        </w:tc>
        <w:tc>
          <w:tcPr>
            <w:tcW w:w="6640" w:type="dxa"/>
            <w:vAlign w:val="bottom"/>
          </w:tcPr>
          <w:p>
            <w:pPr>
              <w:ind w:left="320"/>
              <w:spacing w:after="0"/>
              <w:rPr>
                <w:sz w:val="20"/>
                <w:szCs w:val="20"/>
                <w:color w:val="auto"/>
              </w:rPr>
            </w:pPr>
            <w:r>
              <w:rPr>
                <w:rFonts w:ascii="Arial" w:cs="Arial" w:eastAsia="Arial" w:hAnsi="Arial"/>
                <w:sz w:val="18"/>
                <w:szCs w:val="18"/>
                <w:color w:val="auto"/>
              </w:rPr>
              <w:t>10 years from date of grant.</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6640" w:type="dxa"/>
            <w:vAlign w:val="bottom"/>
          </w:tcPr>
          <w:p>
            <w:pPr>
              <w:ind w:left="320"/>
              <w:spacing w:after="0"/>
              <w:rPr>
                <w:sz w:val="20"/>
                <w:szCs w:val="20"/>
                <w:color w:val="auto"/>
              </w:rPr>
            </w:pPr>
            <w:r>
              <w:rPr>
                <w:rFonts w:ascii="Arial" w:cs="Arial" w:eastAsia="Arial" w:hAnsi="Arial"/>
                <w:sz w:val="18"/>
                <w:szCs w:val="18"/>
                <w:color w:val="auto"/>
              </w:rPr>
              <w:t>Fair Market Value on date of grant - $85.34.</w:t>
            </w: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color w:val="auto"/>
              </w:rPr>
              <w:t>Termination of Employment</w:t>
            </w:r>
          </w:p>
        </w:tc>
        <w:tc>
          <w:tcPr>
            <w:tcW w:w="6640" w:type="dxa"/>
            <w:vAlign w:val="bottom"/>
          </w:tcPr>
          <w:p>
            <w:pPr>
              <w:spacing w:after="0"/>
              <w:rPr>
                <w:sz w:val="24"/>
                <w:szCs w:val="24"/>
                <w:color w:val="auto"/>
              </w:rPr>
            </w:pPr>
          </w:p>
        </w:tc>
      </w:tr>
      <w:tr>
        <w:trPr>
          <w:trHeight w:val="418"/>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Death or Disability</w:t>
            </w:r>
          </w:p>
        </w:tc>
        <w:tc>
          <w:tcPr>
            <w:tcW w:w="6640" w:type="dxa"/>
            <w:vAlign w:val="bottom"/>
          </w:tcPr>
          <w:p>
            <w:pPr>
              <w:ind w:left="320"/>
              <w:spacing w:after="0"/>
              <w:rPr>
                <w:sz w:val="20"/>
                <w:szCs w:val="20"/>
                <w:color w:val="auto"/>
              </w:rPr>
            </w:pPr>
            <w:r>
              <w:rPr>
                <w:rFonts w:ascii="Arial" w:cs="Arial" w:eastAsia="Arial" w:hAnsi="Arial"/>
                <w:sz w:val="18"/>
                <w:szCs w:val="18"/>
                <w:color w:val="auto"/>
                <w:w w:val="92"/>
              </w:rPr>
              <w:t>All options immediately vest and remain exercisable for one year, but in no event later</w:t>
            </w:r>
          </w:p>
        </w:tc>
      </w:tr>
      <w:tr>
        <w:trPr>
          <w:trHeight w:val="230"/>
        </w:trPr>
        <w:tc>
          <w:tcPr>
            <w:tcW w:w="11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than the original term.</w:t>
            </w:r>
          </w:p>
        </w:tc>
      </w:tr>
      <w:tr>
        <w:trPr>
          <w:trHeight w:val="418"/>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Qualifying Retirement</w:t>
            </w:r>
          </w:p>
        </w:tc>
        <w:tc>
          <w:tcPr>
            <w:tcW w:w="6640" w:type="dxa"/>
            <w:vAlign w:val="bottom"/>
          </w:tcPr>
          <w:p>
            <w:pPr>
              <w:ind w:left="320"/>
              <w:spacing w:after="0"/>
              <w:rPr>
                <w:sz w:val="20"/>
                <w:szCs w:val="20"/>
                <w:color w:val="auto"/>
              </w:rPr>
            </w:pPr>
            <w:r>
              <w:rPr>
                <w:rFonts w:ascii="Arial" w:cs="Arial" w:eastAsia="Arial" w:hAnsi="Arial"/>
                <w:sz w:val="18"/>
                <w:szCs w:val="18"/>
                <w:color w:val="auto"/>
                <w:w w:val="97"/>
              </w:rPr>
              <w:t>Continued vesting and exercisability for three years, but in no event later than the</w:t>
            </w:r>
          </w:p>
        </w:tc>
      </w:tr>
      <w:tr>
        <w:trPr>
          <w:trHeight w:val="230"/>
        </w:trPr>
        <w:tc>
          <w:tcPr>
            <w:tcW w:w="11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original term.</w:t>
            </w:r>
          </w:p>
        </w:tc>
      </w:tr>
      <w:tr>
        <w:trPr>
          <w:trHeight w:val="418"/>
        </w:trPr>
        <w:tc>
          <w:tcPr>
            <w:tcW w:w="4720" w:type="dxa"/>
            <w:vAlign w:val="bottom"/>
            <w:gridSpan w:val="2"/>
          </w:tcPr>
          <w:p>
            <w:pPr>
              <w:ind w:left="180"/>
              <w:spacing w:after="0"/>
              <w:rPr>
                <w:sz w:val="20"/>
                <w:szCs w:val="20"/>
                <w:color w:val="auto"/>
              </w:rPr>
            </w:pPr>
            <w:r>
              <w:rPr>
                <w:rFonts w:ascii="Arial" w:cs="Arial" w:eastAsia="Arial" w:hAnsi="Arial"/>
                <w:sz w:val="18"/>
                <w:szCs w:val="18"/>
                <w:color w:val="auto"/>
                <w:w w:val="98"/>
              </w:rPr>
              <w:t>Involuntary Termination other than for Cause or Voluntary</w:t>
            </w:r>
          </w:p>
        </w:tc>
        <w:tc>
          <w:tcPr>
            <w:tcW w:w="6640" w:type="dxa"/>
            <w:vAlign w:val="bottom"/>
          </w:tcPr>
          <w:p>
            <w:pPr>
              <w:ind w:left="320"/>
              <w:spacing w:after="0"/>
              <w:rPr>
                <w:sz w:val="20"/>
                <w:szCs w:val="20"/>
                <w:color w:val="auto"/>
              </w:rPr>
            </w:pPr>
            <w:r>
              <w:rPr>
                <w:rFonts w:ascii="Arial" w:cs="Arial" w:eastAsia="Arial" w:hAnsi="Arial"/>
                <w:sz w:val="18"/>
                <w:szCs w:val="18"/>
                <w:color w:val="auto"/>
                <w:w w:val="90"/>
              </w:rPr>
              <w:t>All vested options remain exercisable for 90 days, but in no event later than the original</w:t>
            </w:r>
          </w:p>
        </w:tc>
      </w:tr>
      <w:tr>
        <w:trPr>
          <w:trHeight w:val="230"/>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Resignation</w:t>
            </w:r>
          </w:p>
        </w:tc>
        <w:tc>
          <w:tcPr>
            <w:tcW w:w="6640" w:type="dxa"/>
            <w:vAlign w:val="bottom"/>
          </w:tcPr>
          <w:p>
            <w:pPr>
              <w:ind w:left="320"/>
              <w:spacing w:after="0"/>
              <w:rPr>
                <w:sz w:val="20"/>
                <w:szCs w:val="20"/>
                <w:color w:val="auto"/>
              </w:rPr>
            </w:pPr>
            <w:r>
              <w:rPr>
                <w:rFonts w:ascii="Arial" w:cs="Arial" w:eastAsia="Arial" w:hAnsi="Arial"/>
                <w:sz w:val="18"/>
                <w:szCs w:val="18"/>
                <w:color w:val="auto"/>
              </w:rPr>
              <w:t>term.</w:t>
            </w:r>
          </w:p>
        </w:tc>
      </w:tr>
      <w:tr>
        <w:trPr>
          <w:trHeight w:val="432"/>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Involuntary Termination for Cause</w:t>
            </w:r>
          </w:p>
        </w:tc>
        <w:tc>
          <w:tcPr>
            <w:tcW w:w="6640" w:type="dxa"/>
            <w:vAlign w:val="bottom"/>
          </w:tcPr>
          <w:p>
            <w:pPr>
              <w:ind w:left="320"/>
              <w:spacing w:after="0"/>
              <w:rPr>
                <w:sz w:val="20"/>
                <w:szCs w:val="20"/>
                <w:color w:val="auto"/>
              </w:rPr>
            </w:pPr>
            <w:r>
              <w:rPr>
                <w:rFonts w:ascii="Arial" w:cs="Arial" w:eastAsia="Arial" w:hAnsi="Arial"/>
                <w:sz w:val="18"/>
                <w:szCs w:val="18"/>
                <w:color w:val="auto"/>
              </w:rPr>
              <w:t>All options are forfeited, whether or not exercisable.</w:t>
            </w:r>
          </w:p>
        </w:tc>
      </w:tr>
      <w:tr>
        <w:trPr>
          <w:trHeight w:val="418"/>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Involuntary Termination or Resignation for Good Reason</w:t>
            </w:r>
          </w:p>
        </w:tc>
        <w:tc>
          <w:tcPr>
            <w:tcW w:w="6640" w:type="dxa"/>
            <w:vAlign w:val="bottom"/>
          </w:tcPr>
          <w:p>
            <w:pPr>
              <w:ind w:left="320"/>
              <w:spacing w:after="0"/>
              <w:rPr>
                <w:sz w:val="20"/>
                <w:szCs w:val="20"/>
                <w:color w:val="auto"/>
              </w:rPr>
            </w:pPr>
            <w:r>
              <w:rPr>
                <w:rFonts w:ascii="Arial" w:cs="Arial" w:eastAsia="Arial" w:hAnsi="Arial"/>
                <w:sz w:val="18"/>
                <w:szCs w:val="18"/>
                <w:color w:val="auto"/>
                <w:w w:val="95"/>
              </w:rPr>
              <w:t>All options immediately vest and remain exercisable for three years, but in no event</w:t>
            </w:r>
          </w:p>
        </w:tc>
      </w:tr>
      <w:tr>
        <w:trPr>
          <w:trHeight w:val="230"/>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following a Change in Control</w:t>
            </w:r>
          </w:p>
        </w:tc>
        <w:tc>
          <w:tcPr>
            <w:tcW w:w="6640" w:type="dxa"/>
            <w:vAlign w:val="bottom"/>
          </w:tcPr>
          <w:p>
            <w:pPr>
              <w:ind w:left="320"/>
              <w:spacing w:after="0"/>
              <w:rPr>
                <w:sz w:val="20"/>
                <w:szCs w:val="20"/>
                <w:color w:val="auto"/>
              </w:rPr>
            </w:pPr>
            <w:r>
              <w:rPr>
                <w:rFonts w:ascii="Arial" w:cs="Arial" w:eastAsia="Arial" w:hAnsi="Arial"/>
                <w:sz w:val="18"/>
                <w:szCs w:val="18"/>
                <w:color w:val="auto"/>
              </w:rPr>
              <w:t>later than the original term.</w:t>
            </w: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form of award agreement for the equity awards granted to Messrs. Fish, Trevathan, Harris and Morris and Ms. Rankin is filed as Exhibit 10.1 to this report. The descriptions of the material terms of the awards are qualified in their entirety by reference to the award agreement, incorporated herein by reference.</w:t>
      </w:r>
    </w:p>
    <w:p>
      <w:pPr>
        <w:sectPr>
          <w:pgSz w:w="11900" w:h="16838" w:orient="portrait"/>
          <w:cols w:equalWidth="0" w:num="1">
            <w:col w:w="11460"/>
          </w:cols>
          <w:pgMar w:left="240" w:top="125" w:right="199" w:bottom="111" w:gutter="0" w:footer="0" w:header="0"/>
        </w:sectPr>
      </w:pP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11" w:gutter="0" w:footer="0" w:header="0"/>
          <w:type w:val="continuous"/>
        </w:sectPr>
      </w:pPr>
    </w:p>
    <w:bookmarkStart w:id="2" w:name="page3"/>
    <w:bookmarkEnd w:id="2"/>
    <w:p>
      <w:pPr>
        <w:ind w:left="660"/>
        <w:spacing w:after="0"/>
        <w:tabs>
          <w:tab w:leader="none" w:pos="19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On February 19, 2018, the Board of Directors amended and restated the Company’s by-laws (the “Amended and Restated By-laws”) to include a new Section 11.7, which provides that, unless the Company consents to the selection of an alternative forum in writing, Delaware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or the Company’s certificate of incorporation or by-laws or as to which the DGCL confers jurisdiction upon the Court of Chancery of the State of Delaware; or (iv) any action asserting a claim governed by the internal affairs doctrine. The Amended and Restated By-laws provide that any person or entity purchasing, otherwise acquiring or retaining any interest in shares of capital stock of the Company are deemed to have notice of and to have consented to Section 11.7.</w:t>
      </w:r>
    </w:p>
    <w:p>
      <w:pPr>
        <w:spacing w:after="0" w:line="17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above description is qualified in its entirety by reference to the Amended and Restated By-Laws, a copy of which is filed as Exhibit 3.2 to this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6240" w:type="dxa"/>
            <w:vAlign w:val="bottom"/>
            <w:gridSpan w:val="4"/>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78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61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Amended and Restated By-Laws of Waste Management, Inc. as of February 19, 2018</w:t>
              </w:r>
            </w:hyperlink>
          </w:p>
        </w:tc>
        <w:tc>
          <w:tcPr>
            <w:tcW w:w="3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20" w:type="dxa"/>
            <w:vAlign w:val="bottom"/>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Form of 2018 Senior Leadership Team Award Agreement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4120" w:type="dxa"/>
            <w:vAlign w:val="bottom"/>
            <w:tcBorders>
              <w:top w:val="single" w:sz="8" w:color="0000EE"/>
            </w:tcBorders>
            <w:gridSpan w:val="2"/>
          </w:tcPr>
          <w:p>
            <w:pPr>
              <w:spacing w:after="0"/>
              <w:rPr>
                <w:sz w:val="24"/>
                <w:szCs w:val="24"/>
                <w:color w:val="auto"/>
              </w:rPr>
            </w:pPr>
          </w:p>
        </w:tc>
        <w:tc>
          <w:tcPr>
            <w:tcW w:w="600" w:type="dxa"/>
            <w:vAlign w:val="bottom"/>
          </w:tcPr>
          <w:p>
            <w:pPr>
              <w:jc w:val="right"/>
              <w:ind w:right="399"/>
              <w:spacing w:after="0"/>
              <w:rPr>
                <w:sz w:val="20"/>
                <w:szCs w:val="20"/>
                <w:color w:val="auto"/>
              </w:rPr>
            </w:pPr>
            <w:r>
              <w:rPr>
                <w:rFonts w:ascii="Arial" w:cs="Arial" w:eastAsia="Arial" w:hAnsi="Arial"/>
                <w:sz w:val="18"/>
                <w:szCs w:val="18"/>
                <w:color w:val="auto"/>
                <w:w w:val="99"/>
              </w:rPr>
              <w:t>4</w:t>
            </w:r>
          </w:p>
        </w:tc>
        <w:tc>
          <w:tcPr>
            <w:tcW w:w="14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3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 February 23, 2018</w:t>
            </w:r>
          </w:p>
        </w:tc>
        <w:tc>
          <w:tcPr>
            <w:tcW w:w="7700" w:type="dxa"/>
            <w:vAlign w:val="bottom"/>
            <w:gridSpan w:val="2"/>
          </w:tcPr>
          <w:p>
            <w:pPr>
              <w:ind w:left="2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Senior Vice President and Chief Legal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48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FEBRUARY 19, 2018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8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25"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181"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Corporation shall prepare, at least 10 days before every meeting of stockholders (provided, however, if the record date for determining the stockholders entitled to vote is less than 10 days before the date of the meeting, the list shall reflect the stockholders entitled to vote as of the tenth day before the meeting),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 purpose germane to the meeting, at least 10 days prior to the meeting (i) on a reasonably accessible electronic network, provided that the information required to gain access to such list is provided with the notice of meeting or (ii) during ordinary business hours at the principal place of business of the Corporation. If the meeting is to be held at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158" w:lineRule="exact"/>
        <w:rPr>
          <w:sz w:val="20"/>
          <w:szCs w:val="20"/>
          <w:color w:val="auto"/>
        </w:rPr>
      </w:pPr>
    </w:p>
    <w:p>
      <w:pPr>
        <w:ind w:right="400" w:firstLine="1297"/>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 The Board of Directors may postpone, reschedule or cancel any annual meeting of stockholders previously scheduled by the Board of Directors.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67" w:lineRule="auto"/>
        <w:tabs>
          <w:tab w:leader="none" w:pos="1942"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Special meetings of the stockholders, for any purpose or purposes, unless otherwise prescribed by the General Corporation Law of the State of Delaware, shall be called by the Secretary at the written request of the Chairman of the Board (if any) or the Chief Executive Officer, or may be called by written order of a majority of the Board of Directors (each, a “Special Meeting Request”). A special meeting of stockholders shall be called by the Secretary upon the written request of the record holders having an aggregate “net long position” of at least twenty-five percent (25%) of the outstanding common stock of the Corporation, and having held such “net long position” continuously for at least one year, as of the date of such request (the “Requisite Percent”), subject to Subsection (b) of this Section 2.4 (a “Stockholder Requested Special Meeting”). “Net long position” shall be determined with respect to each requesting holder in accordance with the definition thereof set forth in Rule 14e-4 under the Securities Exchange Act of 1934, as amended (the “Exchange Act”), provided that (x) for purposes of such definition, in determining such holder’s “short position,” the reference in such Rule to “the date the tender offer is first publicly announced or otherwise made known by the bidder to the holders of the security to be acquired” shall be the date of the relevant Special Meeting Request and all dates in the one year period prior thereto, and the reference to the “highest tender offer price or stated amount of the consideration offered for the subject security” shall refer to the closing sales price of the Corporation’s common stock on the New York Stock Exchange on such corresponding date (or, if such date is not a trading day, the next succeeding trading day) and (y) the net long position of such holder shall be reduced by the number of shares as to which such holder does not, or will not, have the right to vote or direct the vote at the Special Meeting or as to which such holder has entered into any derivative or other agreement, arrangement or understanding that hedges or transfers, in whole or in part, directly or indirectly, any of the economic consequences of ownership of such shares. Whether the requesting holders have complied with the requirements of this Article and related provisions of the By-laws shall be determined in good faith by the Board, which determination shall be conclusive and binding on the Corporation and the stockholders.</w:t>
      </w:r>
    </w:p>
    <w:p>
      <w:pPr>
        <w:sectPr>
          <w:pgSz w:w="11900" w:h="16838" w:orient="portrait"/>
          <w:cols w:equalWidth="0" w:num="1">
            <w:col w:w="11420"/>
          </w:cols>
          <w:pgMar w:left="240" w:top="121" w:right="239" w:bottom="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4" w:name="page5"/>
    <w:bookmarkEnd w:id="4"/>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firstLine="1305"/>
        <w:spacing w:after="0" w:line="285" w:lineRule="auto"/>
        <w:tabs>
          <w:tab w:leader="none" w:pos="1952" w:val="left"/>
        </w:tabs>
        <w:numPr>
          <w:ilvl w:val="1"/>
          <w:numId w:val="4"/>
        </w:numPr>
        <w:rPr>
          <w:rFonts w:ascii="Arial" w:cs="Arial" w:eastAsia="Arial" w:hAnsi="Arial"/>
          <w:sz w:val="16"/>
          <w:szCs w:val="16"/>
          <w:color w:val="auto"/>
        </w:rPr>
      </w:pPr>
      <w:r>
        <w:rPr>
          <w:rFonts w:ascii="Arial" w:cs="Arial" w:eastAsia="Arial" w:hAnsi="Arial"/>
          <w:sz w:val="16"/>
          <w:szCs w:val="16"/>
          <w:color w:val="auto"/>
        </w:rPr>
        <w:t>Stockholder Requested Special Meetings. In order for a Stockholder Requested Special Meeting to be called, one or more requests for a special meeting (each, a “Stockholder Special Meeting Request,” and collectively, the “Stockholder Special Meeting Requests”) must be signed by the Requisite Percent of record holders (or their duly authorized agents) and must be delivered to the Secretary. The Stockholder Special Meeting Request(s) shall be delivered to the Secretary at the principal executive offices of the Corporation by registered mail, return receipt requested. Each Stockholder Special Meeting Request shall (i) set forth a statement of the specific purpose(s) of the meeting and the matters proposed to be acted on at it, (ii) bear the date of signature of each such stockholder (or duly authorized agent) signing the Stockholder Special Meeting Request, (iii) set forth (A) the name and address, as they appear in the Corporation’s stock ledger, of each stockholder signing such request (or on whose behalf the Stockholder Special Meeting Request is signed), (B) the class or series, if applicable, and the number of shares of common stock of the Corporation that are owned of record and beneficially by each such stockholder as to which such stockholder has a “net long position” and (C) include documentary evidence of the fact and duration of such stockholder’s record and beneficial ownership of such stock, (iv) set forth all information relating to each such stockholder that must be disclosed in solicitations of proxies for election of directors in an election contest (even if an election contest is not involved), or is otherwise required, in each case, pursuant to Regulation 14A under the Exchange Act (v) contain the information required by Section 2.13 of these by-laws and (vi) an acknowledgment by each stockholder (and any duly authorized agent) that any disposition of shares of common stock of the Corporation as to which such stockholder has a net long position as of the date of delivery of the Stockholder Special Meeting Request and prior to the record date for the proposed meeting requested by such stockholder shall constitute a revocation of such request with respect to such shares. In addition, the stockholder (and any duly authorized agent) shall promptly provide any other information reasonably requested by the Corporation to allow it to satisfy its obligations under applicable law. Any requesting stockholder may revoke his, her or its request for a special meeting at any time by written revocation delivered to the Secretary at the principal executive offices of the Corporation, and if, following such revocation, there are un-revoked requests from stockholders holding in the aggregate less than the Requisite Percent, the Board of Directors, in its discretion, may cancel the special meeting.</w:t>
      </w:r>
    </w:p>
    <w:p>
      <w:pPr>
        <w:spacing w:after="0" w:line="388" w:lineRule="exact"/>
        <w:rPr>
          <w:rFonts w:ascii="Arial" w:cs="Arial" w:eastAsia="Arial" w:hAnsi="Arial"/>
          <w:sz w:val="16"/>
          <w:szCs w:val="16"/>
          <w:color w:val="auto"/>
        </w:rPr>
      </w:pPr>
    </w:p>
    <w:p>
      <w:pPr>
        <w:ind w:firstLine="1305"/>
        <w:spacing w:after="0" w:line="283" w:lineRule="auto"/>
        <w:tabs>
          <w:tab w:leader="none" w:pos="1955" w:val="left"/>
        </w:tabs>
        <w:numPr>
          <w:ilvl w:val="1"/>
          <w:numId w:val="4"/>
        </w:numPr>
        <w:rPr>
          <w:rFonts w:ascii="Arial" w:cs="Arial" w:eastAsia="Arial" w:hAnsi="Arial"/>
          <w:sz w:val="16"/>
          <w:szCs w:val="16"/>
          <w:color w:val="auto"/>
        </w:rPr>
      </w:pPr>
      <w:r>
        <w:rPr>
          <w:rFonts w:ascii="Arial" w:cs="Arial" w:eastAsia="Arial" w:hAnsi="Arial"/>
          <w:sz w:val="16"/>
          <w:szCs w:val="16"/>
          <w:color w:val="auto"/>
        </w:rPr>
        <w:t>Calling of a Special Meeting. Notwithstanding the foregoing, the Secretary shall not be required to call a special meeting of stockholders if (i) the Board of Directors has called or calls an annual or special meeting of stockholders to be held not later than sixty (60) days after the date on which a valid Special Meeting Request or Stockholder Special Meeting Request(s) have been delivered to the Secretary (the “Delivery Date”); or (ii) the Special Meeting Request or the Stockholder Special Meeting Request(s) (A) is received by the Secretary during the period commencing ninety (90) days prior to the first anniversary of the date of the immediately preceding annual meeting and ending on the date of the next annual meeting; (B) contains an identical or substantially similar item (a “Similar Item”) to an item that was presented at any meeting of stockholders held within one hundred and twenty (120) days prior to the Delivery Date (and, for purposes of this clause (B) the election of directors shall be deemed a “Similar Item” with respect to all items of business involving the election or removal of directors); (C) relates to an item of business that is not a proper subject for action by the party requesting the special meeting under applicable law; (D) was made in a manner that involved a violation of Regulation 14A under the Exchange Act or other applicable law; or</w:t>
      </w:r>
    </w:p>
    <w:p>
      <w:pPr>
        <w:spacing w:after="0" w:line="6" w:lineRule="exact"/>
        <w:rPr>
          <w:rFonts w:ascii="Arial" w:cs="Arial" w:eastAsia="Arial" w:hAnsi="Arial"/>
          <w:sz w:val="16"/>
          <w:szCs w:val="16"/>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does not comply with the provisions of this Section 2.4.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85" w:lineRule="auto"/>
        <w:tabs>
          <w:tab w:leader="none" w:pos="1952" w:val="left"/>
        </w:tabs>
        <w:numPr>
          <w:ilvl w:val="1"/>
          <w:numId w:val="6"/>
        </w:numPr>
        <w:rPr>
          <w:rFonts w:ascii="Arial" w:cs="Arial" w:eastAsia="Arial" w:hAnsi="Arial"/>
          <w:sz w:val="16"/>
          <w:szCs w:val="16"/>
          <w:color w:val="auto"/>
        </w:rPr>
      </w:pPr>
      <w:r>
        <w:rPr>
          <w:rFonts w:ascii="Arial" w:cs="Arial" w:eastAsia="Arial" w:hAnsi="Arial"/>
          <w:sz w:val="16"/>
          <w:szCs w:val="16"/>
          <w:color w:val="auto"/>
        </w:rPr>
        <w:t>Holding a Special Meeting. Except as provided in the next sentence, any special meeting shall be held at such date and time as may be fixed by the Board of Directors in accordance with these by-laws and the General Corporation Law of the State of Delaware. In the case of a Stockholder Requested Special Meeting, such meeting shall be held at such date and time as may be fixed by the Board of Directors; provided, however, that the date of any Stockholder Requested Special Meeting shall be not more than sixty (60) days after the record date for such meeting (the “Meeting Record Date”), which shall be fixed in accordance with Section 2.12 of these by-laws; provided further that, if the Board of Directors fails to designate, within ten</w:t>
      </w:r>
    </w:p>
    <w:p>
      <w:pPr>
        <w:spacing w:after="0" w:line="2" w:lineRule="exact"/>
        <w:rPr>
          <w:rFonts w:ascii="Arial" w:cs="Arial" w:eastAsia="Arial" w:hAnsi="Arial"/>
          <w:sz w:val="16"/>
          <w:szCs w:val="16"/>
          <w:color w:val="auto"/>
        </w:rPr>
      </w:pPr>
    </w:p>
    <w:p>
      <w:pPr>
        <w:ind w:right="40" w:firstLine="8"/>
        <w:spacing w:after="0" w:line="252" w:lineRule="auto"/>
        <w:tabs>
          <w:tab w:leader="none" w:pos="345" w:val="left"/>
        </w:tabs>
        <w:numPr>
          <w:ilvl w:val="0"/>
          <w:numId w:val="7"/>
        </w:numPr>
        <w:rPr>
          <w:rFonts w:ascii="Arial" w:cs="Arial" w:eastAsia="Arial" w:hAnsi="Arial"/>
          <w:sz w:val="18"/>
          <w:szCs w:val="18"/>
          <w:color w:val="auto"/>
        </w:rPr>
      </w:pPr>
      <w:r>
        <w:rPr>
          <w:rFonts w:ascii="Arial" w:cs="Arial" w:eastAsia="Arial" w:hAnsi="Arial"/>
          <w:sz w:val="18"/>
          <w:szCs w:val="18"/>
          <w:color w:val="auto"/>
        </w:rPr>
        <w:t>days after the Delivery Date, a date and time for a Stockholder Requested Special Meeting, then such meeting shall be held at 9:00 a.m. local time on the 60th day after the Meeting Record Date (or, if that day shall not be a business day, then on the next preceding business day); and provided further that in the event that the Board of Directors fails to designate a place for a Stockholder Requested Special Meeting within ten (10) days after the Delivery Date, then such meeting shall be held at the Corporation’s principal executive offices.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w:t>
      </w:r>
    </w:p>
    <w:p>
      <w:pPr>
        <w:spacing w:after="0" w:line="193" w:lineRule="exact"/>
        <w:rPr>
          <w:rFonts w:ascii="Arial" w:cs="Arial" w:eastAsia="Arial" w:hAnsi="Arial"/>
          <w:sz w:val="18"/>
          <w:szCs w:val="18"/>
          <w:color w:val="auto"/>
        </w:rPr>
      </w:pPr>
    </w:p>
    <w:p>
      <w:pPr>
        <w:ind w:firstLine="1305"/>
        <w:spacing w:after="0" w:line="302" w:lineRule="auto"/>
        <w:tabs>
          <w:tab w:leader="none" w:pos="1955" w:val="left"/>
        </w:tabs>
        <w:numPr>
          <w:ilvl w:val="1"/>
          <w:numId w:val="7"/>
        </w:numPr>
        <w:rPr>
          <w:rFonts w:ascii="Arial" w:cs="Arial" w:eastAsia="Arial" w:hAnsi="Arial"/>
          <w:sz w:val="16"/>
          <w:szCs w:val="16"/>
          <w:color w:val="auto"/>
        </w:rPr>
      </w:pPr>
      <w:r>
        <w:rPr>
          <w:rFonts w:ascii="Arial" w:cs="Arial" w:eastAsia="Arial" w:hAnsi="Arial"/>
          <w:sz w:val="16"/>
          <w:szCs w:val="16"/>
          <w:color w:val="auto"/>
        </w:rPr>
        <w:t>Business Transacted at a Special Meeting. Business to be transacted at a special meeting may only be brought before the meeting pursuant to the Corporation’s notice of meeting. Business transacted at any Stockholder Requested Special Meeting shall be limited to the purpose(s) stated in the Stockholder Special Meeting Request(s); provided, however, that nothing herein shall prohibit the Board of Directors from submitting matters to the stockholders at any Stockholder Requested Special Meeting. The Board of Directors may postpone, reschedule or cancel any special meeting of stockholders.</w:t>
      </w:r>
    </w:p>
    <w:p>
      <w:pPr>
        <w:spacing w:after="0" w:line="154" w:lineRule="exact"/>
        <w:rPr>
          <w:rFonts w:ascii="Arial" w:cs="Arial" w:eastAsia="Arial" w:hAnsi="Arial"/>
          <w:sz w:val="16"/>
          <w:szCs w:val="16"/>
          <w:color w:val="auto"/>
        </w:rPr>
      </w:pPr>
    </w:p>
    <w:p>
      <w:pPr>
        <w:ind w:right="40" w:firstLine="1305"/>
        <w:spacing w:after="0" w:line="288" w:lineRule="auto"/>
        <w:tabs>
          <w:tab w:leader="none" w:pos="1949" w:val="left"/>
        </w:tabs>
        <w:numPr>
          <w:ilvl w:val="1"/>
          <w:numId w:val="7"/>
        </w:numPr>
        <w:rPr>
          <w:rFonts w:ascii="Arial" w:cs="Arial" w:eastAsia="Arial" w:hAnsi="Arial"/>
          <w:sz w:val="16"/>
          <w:szCs w:val="16"/>
          <w:color w:val="auto"/>
        </w:rPr>
      </w:pPr>
      <w:r>
        <w:rPr>
          <w:rFonts w:ascii="Arial" w:cs="Arial" w:eastAsia="Arial" w:hAnsi="Arial"/>
          <w:sz w:val="16"/>
          <w:szCs w:val="16"/>
          <w:color w:val="auto"/>
        </w:rPr>
        <w:t>In determining whether a special meeting of stockholders has been requested by the record holders of shares with net long position of at least the same amount of securities owned by such record holders for at least one year as of the date of such request and representing the Requisite Percent as of the date of such written request to the Secretary, multiple special meeting requests delivered to the Secretary will be considered together only if</w:t>
      </w:r>
    </w:p>
    <w:p>
      <w:pPr>
        <w:jc w:val="both"/>
        <w:ind w:right="120"/>
        <w:spacing w:after="0" w:line="255" w:lineRule="auto"/>
        <w:rPr>
          <w:rFonts w:ascii="Arial" w:cs="Arial" w:eastAsia="Arial" w:hAnsi="Arial"/>
          <w:sz w:val="16"/>
          <w:szCs w:val="16"/>
          <w:color w:val="auto"/>
        </w:rPr>
      </w:pPr>
      <w:r>
        <w:rPr>
          <w:rFonts w:ascii="Arial" w:cs="Arial" w:eastAsia="Arial" w:hAnsi="Arial"/>
          <w:sz w:val="18"/>
          <w:szCs w:val="18"/>
          <w:color w:val="auto"/>
        </w:rPr>
        <w:t>(i) each request identifies substantially the same purpose or purposes of the proposed special meeting and substantially the same matter proposed to be acted on at the proposed special meeting, and (ii) such request(s) have been dated and delivered to the Secretary within sixty (60) days of the earliest dated Special Meeting Request.</w:t>
      </w:r>
    </w:p>
    <w:p>
      <w:pPr>
        <w:spacing w:after="0" w:line="190"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Notice of Meeting</w:t>
      </w:r>
      <w:r>
        <w:rPr>
          <w:rFonts w:ascii="Arial" w:cs="Arial" w:eastAsia="Arial" w:hAnsi="Arial"/>
          <w:sz w:val="17"/>
          <w:szCs w:val="17"/>
          <w:color w:val="auto"/>
        </w:rPr>
        <w:t>. Whenever stockholders are required or permitted to take any action at a meeting, notice of the meeting stating the place, if any, date and time of the meeting, the means of remote communication, if any, the record date for determining the stockholders entitled to vote at the meeting (if such date is different from the record date for determining the stockholders entitled to notice of the meeting) and, in the case of a special 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at the meeting as of the record date for determining the stockholders entitled to notice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meeting. Such notice may be delivered either personally or by mail. If mailed, notice is given when deposited in the United States mail, postage prepaid, directed to the stockholder at his address as it appears on the records of the Corporation. Without limiting the foregoing, any notice to stockholders given by</w:t>
      </w:r>
    </w:p>
    <w:p>
      <w:pPr>
        <w:sectPr>
          <w:pgSz w:w="11900" w:h="16935" w:orient="portrait"/>
          <w:cols w:equalWidth="0" w:num="1">
            <w:col w:w="11420"/>
          </w:cols>
          <w:pgMar w:left="240" w:top="733" w:right="239" w:bottom="0" w:gutter="0" w:footer="0" w:header="0"/>
        </w:sectPr>
      </w:pPr>
    </w:p>
    <w:bookmarkStart w:id="5" w:name="page6"/>
    <w:bookmarkEnd w:id="5"/>
    <w:p>
      <w:pPr>
        <w:spacing w:after="0" w:line="1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Corporation pursuant to this Section 2.5 shall be effective if given by a form of electronic transmission consented to by the stockholder to whom the notice is given. Any such consent shall be revocable by the stockholder by written notice to the Corporation and shall also be deemed revoked if (1) the Corporation is unable to deliver by electronic transmission two consecutive notices given by the Corporation in accordance with such consent and (2) such inability becomes known to the Secretary or Assistant Secretary of the Corporation, the transfer agent or other person responsible for the giving of notice; provided, however, the inadvertent failure to treat such inability as a revocation shall not invalidate any meeting or other action. Notice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w:t>
      </w:r>
    </w:p>
    <w:p>
      <w:pPr>
        <w:spacing w:after="0" w:line="173"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188"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Quorum; Adjournment</w:t>
      </w:r>
      <w:r>
        <w:rPr>
          <w:rFonts w:ascii="Arial" w:cs="Arial" w:eastAsia="Arial" w:hAnsi="Arial"/>
          <w:sz w:val="17"/>
          <w:szCs w:val="17"/>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171"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Notwithstanding the other provisions of the Certificate of Incorporation or these by-laws, the chairman of the meeting or the holders of a majority in voting power of the shares of the stock issued and outstanding and entitled to vote, present in person or represented by proxy, although not constituting a quorum, shall have power to adjourn, postpone, or recess the meeting from time to time, without notice other than announcement at the meeting of the time and place of the adjourned, postponed, or recessed meeting. At such adjourned meeting at which a quorum shall be present or represented any business may be transacted which might have been transacted at the meeting as originally notified. If the adjournment is for more than 30 days, a notice of the adjourned meeting shall be given to each stockholder of record entitled to vote at the meeting. If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87"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Voting</w:t>
      </w:r>
      <w:r>
        <w:rPr>
          <w:rFonts w:ascii="Arial" w:cs="Arial" w:eastAsia="Arial" w:hAnsi="Arial"/>
          <w:sz w:val="17"/>
          <w:szCs w:val="17"/>
          <w:color w:val="auto"/>
        </w:rPr>
        <w:t>. When a quorum is present at any meeting of the stockholders, the vote of the holders of a majority of the stock having voting power, present in person or represented by proxy, and entitled to vote thereon shall decide any question brought before such meeting, unless the question is one upon which, by express provision of the statutes, of the rules and regulations of any stock exchange applicable to the Corporation, of any regulation applicable to the Corporation or its securities, of the Certificate of Incorporation, or of these by-laws, a different vote is required, in which case such express provision shall govern and control the decision of such question. Where a separate vote by class is required and when a quorum is present, the affirmative vote of the majority of shares of such class present in person or represented by proxy at the meeting shall be the act of such class. Except as otherwise provided by or pursuant to the provisions of the Certificate of Incorporation, each stockholder having the right to vote at a meeting of stockholders or to express consent or dissent to a corporate action in writing without a meeting shall be entitled to vote in person, or may authorize another person to act for such stockholder by proxy, bearing a date not more than three years prior to voting, unless such proxy provides for a longer period, and filed with the Secretary of the Corporation, or such other officer as the Board of Directors may from time to time determine by resolution, before, or at the time of, the meeting. A stockholder may revoke a proxy that is not irrevocable by attending the meeting and voting in person or by delivering to the Secretary of the Corporation a revocation of the proxy or a new proxy bearing a later date.</w:t>
      </w:r>
    </w:p>
    <w:p>
      <w:pPr>
        <w:spacing w:after="0" w:line="18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with respect to the portion of shares for which he was appointed to act as proxy.</w:t>
      </w:r>
    </w:p>
    <w:p>
      <w:pPr>
        <w:spacing w:after="0" w:line="193"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Voting of Stock of Certain Holders; Elections; Inspectors</w:t>
      </w:r>
      <w:r>
        <w:rPr>
          <w:rFonts w:ascii="Arial" w:cs="Arial" w:eastAsia="Arial" w:hAnsi="Arial"/>
          <w:sz w:val="17"/>
          <w:szCs w:val="17"/>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181"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w:t>
      </w:r>
    </w:p>
    <w:p>
      <w:pPr>
        <w:sectPr>
          <w:pgSz w:w="11900" w:h="16975" w:orient="portrait"/>
          <w:cols w:equalWidth="0" w:num="1">
            <w:col w:w="11400"/>
          </w:cols>
          <w:pgMar w:left="240" w:top="125" w:right="259" w:bottom="0" w:gutter="0" w:footer="0" w:header="0"/>
        </w:sectPr>
      </w:pPr>
    </w:p>
    <w:bookmarkStart w:id="6" w:name="page7"/>
    <w:bookmarkEnd w:id="6"/>
    <w:p>
      <w:pPr>
        <w:ind w:right="660"/>
        <w:spacing w:after="0" w:line="308" w:lineRule="auto"/>
        <w:rPr>
          <w:sz w:val="20"/>
          <w:szCs w:val="20"/>
          <w:color w:val="auto"/>
        </w:rPr>
      </w:pPr>
      <w:r>
        <w:rPr>
          <w:rFonts w:ascii="Arial" w:cs="Arial" w:eastAsia="Arial" w:hAnsi="Arial"/>
          <w:sz w:val="17"/>
          <w:szCs w:val="17"/>
          <w:color w:val="auto"/>
        </w:rPr>
        <w:t>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147" w:lineRule="exact"/>
        <w:rPr>
          <w:sz w:val="20"/>
          <w:szCs w:val="20"/>
          <w:color w:val="auto"/>
        </w:rPr>
      </w:pPr>
    </w:p>
    <w:p>
      <w:pPr>
        <w:ind w:left="2600" w:hanging="647"/>
        <w:spacing w:after="0"/>
        <w:tabs>
          <w:tab w:leader="none" w:pos="2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only one votes, his act binds all;</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more than one vote, the act of the majority so voting binds all; or</w:t>
      </w:r>
    </w:p>
    <w:p>
      <w:pPr>
        <w:spacing w:after="0" w:line="225" w:lineRule="exact"/>
        <w:rPr>
          <w:rFonts w:ascii="Arial" w:cs="Arial" w:eastAsia="Arial" w:hAnsi="Arial"/>
          <w:sz w:val="18"/>
          <w:szCs w:val="18"/>
          <w:color w:val="auto"/>
        </w:rPr>
      </w:pPr>
    </w:p>
    <w:p>
      <w:pPr>
        <w:ind w:left="1300" w:firstLine="653"/>
        <w:spacing w:after="0" w:line="297" w:lineRule="auto"/>
        <w:tabs>
          <w:tab w:leader="none" w:pos="2607"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 unequal interests, a majority or even-split for the purpose of this subsection shall be a majority or even-split in interest.</w:t>
      </w:r>
    </w:p>
    <w:p>
      <w:pPr>
        <w:spacing w:after="0" w:line="158"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All voting of stockholders shall be conducted as may be required under any procedures established for the meeting. All proxies submitted to the Corporation may be voted by a master ballot.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otherwise provided in the Certificate of Incorporation, cumulative voting for the election of directors shall be prohibited.</w:t>
      </w:r>
    </w:p>
    <w:p>
      <w:pPr>
        <w:spacing w:after="0" w:line="225" w:lineRule="exact"/>
        <w:rPr>
          <w:sz w:val="20"/>
          <w:szCs w:val="20"/>
          <w:color w:val="auto"/>
        </w:rPr>
      </w:pPr>
    </w:p>
    <w:p>
      <w:pPr>
        <w:ind w:right="40" w:firstLine="1297"/>
        <w:spacing w:after="0" w:line="289"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Inspector of Elections</w:t>
      </w:r>
      <w:r>
        <w:rPr>
          <w:rFonts w:ascii="Arial" w:cs="Arial" w:eastAsia="Arial" w:hAnsi="Arial"/>
          <w:sz w:val="16"/>
          <w:szCs w:val="16"/>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duties, shall take and sign an oath to execute faithfully the duties of inspector with strict impartiality and according to the best of his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87"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Conduct of Meeting</w:t>
      </w:r>
      <w:r>
        <w:rPr>
          <w:rFonts w:ascii="Arial" w:cs="Arial" w:eastAsia="Arial" w:hAnsi="Arial"/>
          <w:sz w:val="17"/>
          <w:szCs w:val="17"/>
          <w:color w:val="auto"/>
        </w:rPr>
        <w:t>. The meetings of the stockholders shall be presided over by the Chairman of the Board (if any), or if he is not present, by the Chairman of the Nominating and Governance Committee of the Board, or if neither the Chairman of the Board (if any) nor the Chairman of the Nominating and Governance Committee is present, by the Chief Executive Officer, or if neither the Chairman of the Board (if any), the Chairman of the Nominating and Governance Committee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date and time of the opening and the closing of the polls for each matter upon which the stockholders will vote at the meeting and, unless otherwise determined by the Board of Directors, the order of business and the procedure at the meeting, including such regulation of the manner of voting and the conduct of discussion as seem to him in order. Unless the Board of Directors or the chairman of the meeting of stockholders shall otherwise determine, the order of business shall be as follows:</w:t>
      </w:r>
    </w:p>
    <w:p>
      <w:pPr>
        <w:spacing w:after="0" w:line="178" w:lineRule="exact"/>
        <w:rPr>
          <w:sz w:val="20"/>
          <w:szCs w:val="20"/>
          <w:color w:val="auto"/>
        </w:rPr>
      </w:pPr>
    </w:p>
    <w:p>
      <w:pPr>
        <w:ind w:left="2600" w:hanging="647"/>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Calling of meeting to order.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Appointment of a secretary if necessary.</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Presentation of proof of the due calling of the meeting.</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Presentation and examination of proxies and determination of a quorum.</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Reading and settlement of the minutes of the previous meeting.</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of officers and committees.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election of directors if an annual meeting, or a meeting called for that purpose.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business.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225"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Without limiting the foregoing, except to the extent inconsistent with any rules and regulations as adopted by the Board of Directors, the chairman of the meeting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w:t>
      </w:r>
    </w:p>
    <w:p>
      <w:pPr>
        <w:sectPr>
          <w:pgSz w:w="11900" w:h="16838" w:orient="portrait"/>
          <w:cols w:equalWidth="0" w:num="1">
            <w:col w:w="11420"/>
          </w:cols>
          <w:pgMar w:left="240" w:top="125" w:right="239"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0" w:gutter="0" w:footer="0" w:header="0"/>
          <w:type w:val="continuous"/>
        </w:sectPr>
      </w:pPr>
    </w:p>
    <w:bookmarkStart w:id="7" w:name="page8"/>
    <w:bookmarkEnd w:id="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entitled to vote at the meeting,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87"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Treasury Stock</w:t>
      </w:r>
      <w:r>
        <w:rPr>
          <w:rFonts w:ascii="Arial" w:cs="Arial" w:eastAsia="Arial" w:hAnsi="Arial"/>
          <w:sz w:val="18"/>
          <w:szCs w:val="18"/>
          <w:color w:val="auto"/>
        </w:rPr>
        <w:t>.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Fixing Record Date; Action by Written Consent</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86" w:lineRule="auto"/>
        <w:tabs>
          <w:tab w:leader="none" w:pos="15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 adopted by the Board of Directors, and which record date: (1) in the case of determination of stockholders entitled to notice of any meeting of stockholders or adjournment thereof, shall, unless otherwise required by law, not be more than 60 nor less than 10 days before the date of such meeting; and (2) in the case of any other action (other than action by consent in writing without a meeting), shall not be more than 60 days prior to such other action. If the Board of Directors so fixes a date for determining stockholders entitled to notice of the meeting, such date shall also be the record date for determining the stockholders entitled to vote at such meeting unless the Board of Directors determines, at the time it fixes such record date for determining stockholders entitled to notice of the meeting, that a later date on or before the date of the meeting shall be the date for determining stockholders entitled to vote at the meeting.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(other than action by consent in writing without a meeting) shall be at the close of business on the day on which the Board of Directors adopts the resolution relating thereto.</w:t>
      </w:r>
    </w:p>
    <w:p>
      <w:pPr>
        <w:spacing w:after="0" w:line="171" w:lineRule="exact"/>
        <w:rPr>
          <w:rFonts w:ascii="Arial" w:cs="Arial" w:eastAsia="Arial" w:hAnsi="Arial"/>
          <w:sz w:val="16"/>
          <w:szCs w:val="16"/>
          <w:color w:val="auto"/>
        </w:rPr>
      </w:pPr>
    </w:p>
    <w:p>
      <w:pPr>
        <w:ind w:right="180" w:firstLine="1305"/>
        <w:spacing w:after="0" w:line="257" w:lineRule="auto"/>
        <w:tabs>
          <w:tab w:leader="none" w:pos="15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written consent shall, by written notice to the Secretary, request that the Board of Directors fix a record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date. The Board of Directors shall promptly, but in all events within 10 days after the date on which such written notice is received, adopt a resolution fixing the record date (unless a record date has previously been fixed by the Board of Directors pursuant to the first sentence of this Section 2.12(b)).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Delaware, its principal place of business, or to any officer or agent of the Corporation having custody of the book in which proceedings of meetings of stockholders are recorded.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in writing without a meeting if prior action by the Board of Directors is required by applicable law shall be at the close of business on the date on which the Board of Directors adopts the resolution taking such prior action.</w:t>
      </w:r>
    </w:p>
    <w:p>
      <w:pPr>
        <w:spacing w:after="0" w:line="169" w:lineRule="exact"/>
        <w:rPr>
          <w:sz w:val="20"/>
          <w:szCs w:val="20"/>
          <w:color w:val="auto"/>
        </w:rPr>
      </w:pPr>
    </w:p>
    <w:p>
      <w:pPr>
        <w:ind w:right="60" w:firstLine="1305"/>
        <w:spacing w:after="0" w:line="270" w:lineRule="auto"/>
        <w:tabs>
          <w:tab w:leader="none" w:pos="1541"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event of the delivery, in the manner provided by this Section 2.12 and applicable law, to the Corporation of written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77" w:lineRule="exact"/>
        <w:rPr>
          <w:rFonts w:ascii="Arial" w:cs="Arial" w:eastAsia="Arial" w:hAnsi="Arial"/>
          <w:sz w:val="17"/>
          <w:szCs w:val="17"/>
          <w:color w:val="auto"/>
        </w:rPr>
      </w:pPr>
    </w:p>
    <w:p>
      <w:pPr>
        <w:ind w:right="140" w:firstLine="1305"/>
        <w:spacing w:after="0" w:line="286" w:lineRule="auto"/>
        <w:tabs>
          <w:tab w:leader="none" w:pos="1551"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written consent shall be effective to take the corporate action referred to therein unless a valid written consent or valid written consents signed by a sufficient number of stockholders to take such action are delivered to the Corporation in the manner prescribed in this Section 2.12 and applicable law, and not revoked, within 60 days of the first date on which a written consent is so delivered to the Corporation.</w:t>
      </w:r>
    </w:p>
    <w:p>
      <w:pPr>
        <w:spacing w:after="0" w:line="166"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Stockholder Proposals</w:t>
      </w:r>
      <w:r>
        <w:rPr>
          <w:rFonts w:ascii="Arial" w:cs="Arial" w:eastAsia="Arial" w:hAnsi="Arial"/>
          <w:sz w:val="17"/>
          <w:szCs w:val="17"/>
          <w:color w:val="auto"/>
        </w:rPr>
        <w:t>. At an annual meeting of the stockholders, only such business (other than nominations of persons for election to the Board of Directors) shall be conducted as shall have been properly brought before the meeting. To be properly brought before an annual meeting, business (other than nominations of persons for election to the Board of Directors) must be (a) specified in the notice of meeting (or any supplement thereto) given by or at the direction of the Chairman of the Board, the Chief Executive Officer, or the Board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733" w:right="259" w:bottom="572" w:gutter="0" w:footer="0" w:header="0"/>
        </w:sectPr>
      </w:pPr>
    </w:p>
    <w:bookmarkStart w:id="8" w:name="page9"/>
    <w:bookmarkEnd w:id="8"/>
    <w:p>
      <w:pPr>
        <w:ind w:right="200"/>
        <w:spacing w:after="0" w:line="297" w:lineRule="auto"/>
        <w:rPr>
          <w:sz w:val="20"/>
          <w:szCs w:val="20"/>
          <w:color w:val="auto"/>
        </w:rPr>
      </w:pPr>
      <w:r>
        <w:rPr>
          <w:rFonts w:ascii="Arial" w:cs="Arial" w:eastAsia="Arial" w:hAnsi="Arial"/>
          <w:sz w:val="16"/>
          <w:szCs w:val="16"/>
          <w:color w:val="auto"/>
        </w:rPr>
        <w:t>Directors or any committee thereof, (b) otherwise properly brought before the meeting by or at the direction of the Chairman of the Board, the Chief Executive Officer, or the Board of Directors or any committee thereof, or (c) otherwise properly brought before the meeting by a stockholder of the Corporation of record at the time the notice provided for in this Section 2.13 is delivered to the Secretary of the Corporation, who is entitled to vote at the meeting and who otherwise complies with the notice procedures set forth in this Section 2.13. For any proposed business to be properly brought before an annual meeting of stockholders pursuant to clause (c) above of this paragraph, the proposed business must constitute a proper matter for stockholder action.</w:t>
      </w:r>
    </w:p>
    <w:p>
      <w:pPr>
        <w:spacing w:after="0" w:line="158"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No proposal (other than nominations of persons for election to the Board of Directors) by a stockholder shall be presented at an annual meeting of stockholders unless such stockholder shall provide the Board of Directors or the Secretary of the Corporation with timely written notice of his, her or its intention to present a proposal for action at the forthcoming meeting of stockholders, which notice shall include as to the stockholder giving the notice and the beneficial owner, if any, on whose behalf the proposal is made (a) the name and address of such stockholder as they appear on the Corporation’s books, and of such beneficial owner, (b) the class or series and number of voting securities of the Corporation which are owned beneficially and of record by such stockholder and such beneficial owner, (c) a description of any agreement, arrangement or understanding with respect to the proposal between or among such stockholder and/or such beneficial owner, any of their respective affiliates or associates, and any others acting in concert with any of the foregoing, (d)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(e) a brief description of the business desired to be brought before the meeting, the text of the proposal to be presented at the meeting (including the text of any resolutions proposed for consideration and in the event that such business includes a proposal to amend these by-laws, the language of the proposed amendment), (f) a statement in support of the proposal, (g) any material interest of the stockholder or the beneficial owner, if any, in such proposal, (h) a representation that the stockholder is a holder of record of stock of the Corporation entitled to vote at such meeting and intends to appear in person or by proxy at the meeting to propose such business, (i) a representation whether the stockholder or the beneficial owner intends or is part of a group which intends (1) to deliver a proxy statement and/or form of proxy to holders of at least the percentage of the Corporation’s outstanding capital stock required to approve or adopt the proposal and/or</w:t>
      </w:r>
    </w:p>
    <w:p>
      <w:pPr>
        <w:spacing w:after="0" w:line="13" w:lineRule="exact"/>
        <w:rPr>
          <w:sz w:val="20"/>
          <w:szCs w:val="20"/>
          <w:color w:val="auto"/>
        </w:rPr>
      </w:pPr>
    </w:p>
    <w:p>
      <w:pPr>
        <w:ind w:right="120" w:firstLine="8"/>
        <w:spacing w:after="0" w:line="252"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otherwise solicit proxies from stockholders in support of such proposal, and (j) any other information relating to such stockholder and beneficial owner required to be disclosed in a proxy statement or other filings required to be made in connection with solicitations of proxies for the proposal pursuant to and in accordance with Section 14(a) of the Exchange Act and the rules and regulations promulgated thereunder. To be timely, a stockholder’s notice (other than for the nominations of persons for election to the Board of Directors)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the event that the date of the annual meeting is more than 30 days before or more than 70 days after such anniversary date, notice by the stockholder must be so delivered not earlier than the close of business on the 120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such annual meeting or not later than the close of business on the later of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such annual meeting or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For purposes of these by-laws,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The foregoing notice requirements of this Section 2.13 shall be deemed satisfied by a stockholder with respect to business (other than nominations of persons for election to the Board of Directors) if the stockholder has notified the Corporation of his, her or its intention to present a proposal at an annual or special meeting in compliance with applicable rules and regulations promulgated under the Exchange Act and such stockholder’s proposal has been included in a proxy statement that has been prepared by the Corporation to solicit proxies for such annual or special meeting.</w:t>
      </w:r>
    </w:p>
    <w:p>
      <w:pPr>
        <w:spacing w:after="0" w:line="17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This provision shall not prevent the presentation at a meeting of stockholders of reports of officers, directors, and committees; but in connection with such reports, no new business shall be acted upon at such meeting unless properly brought before the meeting in accordance with this Section 2.13 with respect to annual meetings or Section 2.4 of these by-laws with respect to special meetings. Notwithstanding anything in these by-laws to the contrary, no business (other than nominations of persons for election to the Board of Directors) shall be conducted at any annual meeting of stockholders except in accordance with the procedures set forth in this Section 2.13 and no nominations shall be considered at an annual or special meeting of stockholders except in accordance with Section 2.14 below. The chairman of the meeting shall, if the facts warrant, determine and declare to the meeting that business was not properly brought before the meeting and in accordance with the provisions of this Section 2.13 (including whether the stockholder or beneficial owner, if any, on whose behalf the proposal is made solicited (or is part of a group which solicited) or did not so solicit, as the case may be, proxies in support of such stockholder’s proposal in compliance with such stockholder’s representation as required by clause (i) of this Section 2.13) and if any proposed business was not proposed in compliance with this Section 2.13, to declare that such proposed business shall not be transacted, and if he should so determine, he shall so declare to the meeting and any such business not properly brought before the meeting shall not be transacted. Notwithstanding the foregoing provisions of this Section 2.13, unless otherwise required by law, if the stockholder (or a qualified representative of the stockholder) does not appear at the annual meeting of stockholders of the Corporation to present the proposed business, such proposed business shall not be transacted, notwithstanding that proxies in respect of such vote may have been received by the Corporation. For purposes of this Section 2.13,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Notwithstanding any other provision of these by-laws, the Corporation shall be under no obligation to include any stockholder proposal in its proxy statement materials or otherwise present any such proposal to stockholders at a meeting of stockholders if the Board of Directors reasonably believes the proponents thereof have not complied with Sections 13 and 14 of the Exchange Act and the rules and regulations promulgated thereunder, and the Corporation shall not be required to include in its proxy statement material to stockholders any stockholder proposal not required to be included in its proxy material to stockholders in accordance with the Exchange Act and the rules and regulations promulgated thereunder.</w:t>
      </w:r>
    </w:p>
    <w:p>
      <w:pPr>
        <w:sectPr>
          <w:pgSz w:w="11900" w:h="16838" w:orient="portrait"/>
          <w:cols w:equalWidth="0" w:num="1">
            <w:col w:w="11420"/>
          </w:cols>
          <w:pgMar w:left="240" w:top="125" w:right="239" w:bottom="0" w:gutter="0" w:footer="0" w:header="0"/>
        </w:sectPr>
      </w:pPr>
    </w:p>
    <w:bookmarkStart w:id="9" w:name="page10"/>
    <w:bookmarkEnd w:id="9"/>
    <w:p>
      <w:pPr>
        <w:spacing w:after="0" w:line="9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Notwithstanding the foregoing provisions of this Section 2.13, a stockholder shall also comply with all applicable requirements of the Exchange Act and the rules and regulations promulgated thereunder with respect to the matters set forth in this Section 2.13; provided however, that any references in these by-laws to the Exchange Act or the rules and regulations promulgated thereunder are not intended to and shall not limit any requirements applicable to proposals as to any other business to be considered pursuant to this Section 2.13, and compliance with this Section 2.13 shall be the exclusive means for a stockholder to submit other business (other than matters brought properly under and in compliance with Rule 14a-8 of the Exchange Act, as may be amended from time to time) at an annual meeting of stockholders. Nothing in this Section 2.13 shall be deemed to affect any rights of stockholders to request inclusion of proposals in the Corporation’s proxy statement pursuant to applicable rules and regulations promulgated under the Exchange Act. Only such business shall be conducted at a special meeting of stockholders as shall have been brought before the meeting pursuant to the Corporation’s notice of meeting in accordance with Section 2.4 of these by-laws.</w:t>
      </w:r>
    </w:p>
    <w:p>
      <w:pPr>
        <w:spacing w:after="0" w:line="18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Nomination of Directors</w:t>
      </w:r>
      <w:r>
        <w:rPr>
          <w:rFonts w:ascii="Arial" w:cs="Arial" w:eastAsia="Arial" w:hAnsi="Arial"/>
          <w:sz w:val="17"/>
          <w:szCs w:val="17"/>
          <w:color w:val="auto"/>
        </w:rPr>
        <w:t>. Only persons who are nominated in accordance with the procedures of this Section 2.14 shall be eligible for election as directors. Subject to the rights of holders of any class or series of stock having a preference over the common stock as to dividends or upon liquidation, nominations for the election of directors may be made (a) pursuant to the Corporation’s notice of meeting (or any supplement thereto), (b) by or at the direction of the Board of Directors or any committee thereof, or (c) by any stockholder of the Corporation who was a stockholder of record of the Corporation at the time notice provided for in this Section 2.14 is delivered to the Secretary of the Corporation, who is entitled to vote in the election of directors and who complies with the notice procedures set forth in this Section 2.14. Such stockholder may nominate one or more persons for election as a director at an annual or special meeting of stockholders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182" w:lineRule="exact"/>
        <w:rPr>
          <w:sz w:val="20"/>
          <w:szCs w:val="20"/>
          <w:color w:val="auto"/>
        </w:rPr>
      </w:pPr>
    </w:p>
    <w:p>
      <w:pPr>
        <w:ind w:right="240" w:firstLine="648"/>
        <w:spacing w:after="0" w:line="290" w:lineRule="auto"/>
        <w:rPr>
          <w:sz w:val="20"/>
          <w:szCs w:val="20"/>
          <w:color w:val="auto"/>
        </w:rPr>
      </w:pPr>
      <w:r>
        <w:rPr>
          <w:rFonts w:ascii="Arial" w:cs="Arial" w:eastAsia="Arial" w:hAnsi="Arial"/>
          <w:sz w:val="16"/>
          <w:szCs w:val="16"/>
          <w:color w:val="auto"/>
        </w:rPr>
        <w:t>To be timely, a stockholder’s notice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such annual meeting or not later than the close of business on the later of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such annual meeting or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day on which public announcement of the date of</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Exchange Act and the rules and regulations promulgated thereunder, and (ii) such person’s written consent to being named in the Corporation’s proxy statement as a nominee and to serving as a director if elected; and (b) as to the stockholder giving the notice and the beneficial owner, if any, on whose behalf the nomination is made (i) the name and address of such stockholder, as they appear on the Corporation’s books, and of such beneficial owner, (ii) the class or series and number of voting securities of the Corporation which are owned beneficially and of record by such stockholder and such beneficial owner, (iii) a description of any agreement, arrangement or understanding with respect to the proposal between or among such stockholder and/or such beneficial owner, any of their respective affiliates or associates, and any others acting in concert with any of the foregoing, including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(v) a representation that the stockholder is a holder of record of stock of the Corporation entitled to vote at such meeting and intends to appear in person or by proxy at the meeting to propose such nomination, (vi) a representation whether the stockholder or the beneficial owner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 and (vii) any other information relating to such stockholder and beneficial owner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 With respect to each person whom the stockholder proposes to nominate for election to the Board of Directors, a stockholder’s notice must, in addition to the matters set forth above, also include the completed and signed questionnaire, representations and agreements required by Section 2.15 of these by-laws. The Corporation may also require any proposed nominee to furnish such other information as it may reasonably require to determine the eligibility of such proposed nominee to serve as a director of the Corporation. Notwithstanding anything in the first sentence of this paragraph to the contrary, in the event that the number of directors to be elected to the Board of Directors at the annual meeting is increased effective after the time period for which nominations would otherwise be due under this Section 2.14 and there is no public announcement by the Corporation naming the nominees for the additional directorships at least one hundred (100) days prior to the first anniversary of the preceding year’s annual meeting, a stockholder’s notice required by this Section 2.14 shall also be considered timely, but only with respect to nominees for the additional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directorships, if it shall be delivered to the Secretary of the Corporation at the principal executive offices of the Corporation not later than the close of business on the tenth (10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day on which such public announcement is first made by the Corporation.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pursuant to the Corporation’s notice of meeting (1) by or at the direction of the Board of Directors or any committee thereof or the stockholders pursuant to Section 2.4 hereof or (2) provided that the Board of Directors or the stockholders pursuant to Section 2.4 hereof has determined that directors shall be elected at such meeting, by any stockholder of the Corporation who is a stockholder of record at the time the notice provided for in this Section 2.14 is delivered to the Secretary of the Corporation, who is entitled to vote at the meeting and upon such election and who complies with the notice procedures set forth in this Section 2.14. The proposal by stockholders of other business to be conducted at a special meeting of the stockholders may be made only in accordance with Section 2.4 hereof. In the event the Corporation calls a special meeting of stockholders for the purpose of electing one or more directors to the Board of</w:t>
      </w:r>
    </w:p>
    <w:p>
      <w:pPr>
        <w:sectPr>
          <w:pgSz w:w="11900" w:h="16932" w:orient="portrait"/>
          <w:cols w:equalWidth="0" w:num="1">
            <w:col w:w="11400"/>
          </w:cols>
          <w:pgMar w:left="240" w:top="125" w:right="259" w:bottom="0" w:gutter="0" w:footer="0" w:header="0"/>
        </w:sectPr>
      </w:pPr>
    </w:p>
    <w:bookmarkStart w:id="10" w:name="page11"/>
    <w:bookmarkEnd w:id="10"/>
    <w:p>
      <w:pPr>
        <w:spacing w:after="0" w:line="11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Directors, any such stockholder entitled to vote in such election of directors may nominate a person or persons (as the case may be) for election to such position(s) as specified in the Corporation’s notice of meeting, if the stockholder’s notice required by this Section 2.14 (including, but not limited to, the completed and signed questionnaire, representations and agreements required by Section 2.15 of these by-laws) shall be delivered to the Secretary at the principal executive offices of the Corporation not earlier than the close of business on the one hundred fiftieth (150</w:t>
      </w:r>
      <w:r>
        <w:rPr>
          <w:rFonts w:ascii="Arial" w:cs="Arial" w:eastAsia="Arial" w:hAnsi="Arial"/>
          <w:sz w:val="23"/>
          <w:szCs w:val="23"/>
          <w:color w:val="auto"/>
          <w:vertAlign w:val="superscript"/>
        </w:rPr>
        <w:t>th</w:t>
      </w:r>
      <w:r>
        <w:rPr>
          <w:rFonts w:ascii="Arial" w:cs="Arial" w:eastAsia="Arial" w:hAnsi="Arial"/>
          <w:sz w:val="18"/>
          <w:szCs w:val="18"/>
          <w:color w:val="auto"/>
        </w:rPr>
        <w:t>) day prior to such special meeting and not later than the close of business on the later of the one hundred twentieth (120</w:t>
      </w:r>
      <w:r>
        <w:rPr>
          <w:rFonts w:ascii="Arial" w:cs="Arial" w:eastAsia="Arial" w:hAnsi="Arial"/>
          <w:sz w:val="23"/>
          <w:szCs w:val="23"/>
          <w:color w:val="auto"/>
          <w:vertAlign w:val="superscript"/>
        </w:rPr>
        <w:t>th</w:t>
      </w:r>
      <w:r>
        <w:rPr>
          <w:rFonts w:ascii="Arial" w:cs="Arial" w:eastAsia="Arial" w:hAnsi="Arial"/>
          <w:sz w:val="18"/>
          <w:szCs w:val="18"/>
          <w:color w:val="auto"/>
        </w:rPr>
        <w:t>) day prior to such special meeting, or the tenth (10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day on which public announcement is first made of the date of the special meeting at which directors are to be elected. In no event shall the public announcement of an adjournment or postponement of a special meeting commence a new time period (or extend any time period) for the giving of a stockholder’s notice as described above.</w:t>
      </w:r>
    </w:p>
    <w:p>
      <w:pPr>
        <w:spacing w:after="0" w:line="20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Only such persons who are nominated in accordance with the procedures set forth in this Section 2.14 shall be eligible to be elected at an annual or special meeting of stockholders of the Corporation to serve as directors.</w:t>
      </w:r>
    </w:p>
    <w:p>
      <w:pPr>
        <w:spacing w:after="0" w:line="170"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Except as otherwise provided by law, the chairman of the meeting shall have the power and duty (a) to determine whether a nomination brought before the meeting was made in accordance with the procedures set forth in this Section 2.14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(b)(vi) of this Section 2.14) and (b) if any proposed nomination was not made in compliance with this Section 2.14, to declare that such nomination shall be disregarded. Notwithstanding the foregoing provisions of this Section 2.14,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this Section 2.14,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Notwithstanding the foregoing provisions of this Section 2.14, a stockholder shall also comply with all applicable requirements of the Exchange Act and the rules and regulations promulgated thereunder with respect to the matters set forth in this Section 2.14; provided however, that any references in these by-laws to the Exchange Act or the rules and regulations promulgated thereunder are not intended to and shall not limit any requirements applicable to nominations pursuant to this Section 2.14, and compliance with this Section 2.14 shall be the exclusive means for a stockholder to make nominations. Nothing in this Section 2.14 shall be deemed to affect any rights of the holders of any series of Preferred Stock to elect directors pursuant to any applicable provision of the Certificate of Incorporation.</w:t>
      </w:r>
    </w:p>
    <w:p>
      <w:pPr>
        <w:spacing w:after="0" w:line="19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u w:val="single" w:color="auto"/>
          <w:color w:val="auto"/>
        </w:rPr>
        <w:t>Submission of Questionnaire, Representations and Agreements</w:t>
      </w:r>
      <w:r>
        <w:rPr>
          <w:rFonts w:ascii="Arial" w:cs="Arial" w:eastAsia="Arial" w:hAnsi="Arial"/>
          <w:sz w:val="17"/>
          <w:szCs w:val="17"/>
          <w:color w:val="auto"/>
        </w:rPr>
        <w:t>. To be eligible to be a nominee for election or reelection as a director of the Corporation, a person must deliver (with respect to any person nominated by a stockholder in accordance with clause (c) of the first paragraph of Section 2.14 or the third paragraph of Section 2.14, in accordance with the time periods prescribed for delivery of notice under Section 2.14) to the Secretary at the principal executive offices of the Corporation a written questionnaire with respect to the background, and qualification and potential conflicts of interest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(2)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(C)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which may exercise all such powers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the Corporation and do all such lawful acts and thing as are not by law or by the Certificate of Incorporation or by these by-laws directed or required to be exercised or done by the stockholders.</w:t>
      </w:r>
    </w:p>
    <w:p>
      <w:pPr>
        <w:spacing w:after="0" w:line="170"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the State of Delaware or stockholders of the Corporation.</w:t>
      </w:r>
    </w:p>
    <w:p>
      <w:pPr>
        <w:spacing w:after="0" w:line="165"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Each director, other than those who may be elected by the holders of any class or series of Preferred Stock, voting separately by class or series, shall be elected by the vote of the majority of the votes cast with respect to the director’s election at any meeting for the election of directors at which a quorum is present, provided that if the number of nominees exceeds the number of directors to be elected as of the tenth day preceding the date that the</w:t>
      </w:r>
    </w:p>
    <w:p>
      <w:pPr>
        <w:sectPr>
          <w:pgSz w:w="11900" w:h="16952" w:orient="portrait"/>
          <w:cols w:equalWidth="0" w:num="1">
            <w:col w:w="11400"/>
          </w:cols>
          <w:pgMar w:left="240" w:top="125" w:right="259" w:bottom="0" w:gutter="0" w:footer="0" w:header="0"/>
        </w:sectPr>
      </w:pPr>
    </w:p>
    <w:bookmarkStart w:id="11" w:name="page12"/>
    <w:bookmarkEnd w:id="11"/>
    <w:p>
      <w:pPr>
        <w:spacing w:after="0" w:line="13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Corporation first mails it notice of meeting to the stockholders of the Corporation,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an incumbent director fails to receive a majority of the votes cast in an election where the number of nominees does not exceed the number of directors to be elected as of the tenth day preceding the date that the Corporation first mails its notice of meeting to the stockholders of the Corporation, such director shall tender his or her resignation to the Board contingent on acceptance of such resignation by the Board. The Nominating and Governance Committee will make a recommendation to the Board on whether to accept or reject the resignation, or whether other action should be taken. The Board will act on the resignation, taking into account the Committee’s recommendation, and publicly disclose its decision and the rationale behind it within 90 days from the date of the certification of the election results. The director who tenders his or her resignation will not participate in the Committee’s recommendation or the Board’s decision with respect to such resignation.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173"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Vacancies, Additional Directors and Removal From Office</w:t>
      </w:r>
      <w:r>
        <w:rPr>
          <w:rFonts w:ascii="Arial" w:cs="Arial" w:eastAsia="Arial" w:hAnsi="Arial"/>
          <w:sz w:val="18"/>
          <w:szCs w:val="18"/>
          <w:color w:val="auto"/>
        </w:rPr>
        <w:t>.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a majority of the outstanding shares of capital stock of the Corporation then entitled to vote generally in the election of directors, voting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together as a single class, but only if notice of such proposal was contained in the notice of such meeting.</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 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193"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Regular Meeting</w:t>
      </w:r>
      <w:r>
        <w:rPr>
          <w:rFonts w:ascii="Arial" w:cs="Arial" w:eastAsia="Arial" w:hAnsi="Arial"/>
          <w:sz w:val="17"/>
          <w:szCs w:val="17"/>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166"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Special Meeting</w:t>
      </w:r>
      <w:r>
        <w:rPr>
          <w:rFonts w:ascii="Arial" w:cs="Arial" w:eastAsia="Arial" w:hAnsi="Arial"/>
          <w:sz w:val="18"/>
          <w:szCs w:val="18"/>
          <w:color w:val="auto"/>
        </w:rPr>
        <w:t>. A special meeting of the Board of Directors may be called by the Chairman of the Board (if any) or by the Chief Executive Officer and shall be called by the Secretary on the written request of a majority of the directors. The Chairman or Chief Executive Officer so calling, or the directors so requesting, any such meeting shall fix the time and place, either within or without the State of Delaware, of holding such meeting.</w:t>
      </w:r>
    </w:p>
    <w:p>
      <w:pPr>
        <w:spacing w:after="0" w:line="187" w:lineRule="exact"/>
        <w:rPr>
          <w:sz w:val="20"/>
          <w:szCs w:val="20"/>
          <w:color w:val="auto"/>
        </w:rPr>
      </w:pPr>
    </w:p>
    <w:p>
      <w:pPr>
        <w:ind w:right="140" w:firstLine="1297"/>
        <w:spacing w:after="0" w:line="273"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Notice of Special Meeting</w:t>
      </w:r>
      <w:r>
        <w:rPr>
          <w:rFonts w:ascii="Arial" w:cs="Arial" w:eastAsia="Arial" w:hAnsi="Arial"/>
          <w:sz w:val="17"/>
          <w:szCs w:val="17"/>
          <w:color w:val="auto"/>
        </w:rPr>
        <w:t>. Notice of special meetings of the Board of Directors shall be given to each director at least 24 hours prior to the time of such meeting by mail, personal delivery, facsimile, telephone or other means of electronic transmission. Any director may waive notice of any meeting, whether before or after the time specified therein. The attendance of a director at any meeting shall constitute a waiver of notice of such meeting, except where a director attends a meeting for the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178"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Place of Meetings; Order of Business</w:t>
      </w:r>
      <w:r>
        <w:rPr>
          <w:rFonts w:ascii="Arial" w:cs="Arial" w:eastAsia="Arial" w:hAnsi="Arial"/>
          <w:sz w:val="18"/>
          <w:szCs w:val="18"/>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the Chairman of the Nominating and Governance Committee will preside at all meetings of the Board of Directors. If both the Chairman of the Board and the Chairman of the Nominating and Governance Committee are absent or unable to act as chairman, a chairman shall be elected from the directors present. The Secretary of the Corporation shall act as secretary of all meetings of the directors; but in the absence of the Secretary, the chairman of the meeting may appoint any person to act as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secretary of the meeting. At all meetings of the Board of Directors business shall be transacted in such order as shall from time to time be determined by the chairman of the meeting.</w:t>
      </w:r>
    </w:p>
    <w:p>
      <w:pPr>
        <w:spacing w:after="0" w:line="170"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Quorum and Participation; Telephonic Meeting</w:t>
      </w:r>
      <w:r>
        <w:rPr>
          <w:rFonts w:ascii="Arial" w:cs="Arial" w:eastAsia="Arial" w:hAnsi="Arial"/>
          <w:sz w:val="17"/>
          <w:szCs w:val="17"/>
          <w:color w:val="auto"/>
        </w:rPr>
        <w:t>. A majority of the whole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73"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Members of the Board of Directors, or any committee designated by the Board of Directors, may participate in a meeting of the Board of Directors or such committee, as the case may be, by means of conference telephone or other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at the beginning of the meeting, to the transaction of any business on the ground that the meeting is not lawfully called or convened.</w:t>
      </w:r>
    </w:p>
    <w:p>
      <w:pPr>
        <w:spacing w:after="0" w:line="188"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Presumption of Assent</w:t>
      </w:r>
      <w:r>
        <w:rPr>
          <w:rFonts w:ascii="Arial" w:cs="Arial" w:eastAsia="Arial" w:hAnsi="Arial"/>
          <w:sz w:val="16"/>
          <w:szCs w:val="16"/>
          <w:color w:val="auto"/>
        </w:rPr>
        <w:t>. A director who is present at a meeting of the Board of Directors at which action on any corporate matter is taken shall be presumed to have assented to the action unless (i) he objects at the beginning of the meeting to the transaction of any business on the</w:t>
      </w:r>
    </w:p>
    <w:p>
      <w:pPr>
        <w:sectPr>
          <w:pgSz w:w="11900" w:h="16975" w:orient="portrait"/>
          <w:cols w:equalWidth="0" w:num="1">
            <w:col w:w="11400"/>
          </w:cols>
          <w:pgMar w:left="240" w:top="125" w:right="259" w:bottom="0" w:gutter="0" w:footer="0" w:header="0"/>
        </w:sectPr>
      </w:pPr>
    </w:p>
    <w:bookmarkStart w:id="12" w:name="page13"/>
    <w:bookmarkEnd w:id="12"/>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ground that the meeting is not lawfully called or convened, (ii) his dissent shall be entered in the minutes of the meeting or (iii) he shall file his written dissent to such action with the person acting as secretary of the meeting before the adjournment thereof. Such right to dissent shall not apply to a director who voted in favor of such action.</w:t>
      </w:r>
    </w:p>
    <w:p>
      <w:pPr>
        <w:spacing w:after="0" w:line="18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Action By Unanimous Consent of Directors</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and such written consent or electronic transmission is filed with the minutes of proceedings of the Board or committee. Such consent shall have the same force and effect as a unanimous vote at a meeting, and may be stated as such in any document or instrument filed with the Secretary of State of the State of Delaware.</w:t>
      </w:r>
    </w:p>
    <w:p>
      <w:pPr>
        <w:spacing w:after="0" w:line="193"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8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Approval, Adoption or Ratification of Acts or Agreements by Stockholders</w:t>
      </w:r>
      <w:r>
        <w:rPr>
          <w:rFonts w:ascii="Arial" w:cs="Arial" w:eastAsia="Arial" w:hAnsi="Arial"/>
          <w:sz w:val="18"/>
          <w:szCs w:val="18"/>
          <w:color w:val="auto"/>
        </w:rPr>
        <w:t>. The Board of Directors in its discretion may submit any act or agreement for approval, adoption or ratification at any annual meeting of the stockholders, or at any special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meeting of the stockholders called for the purpose of considering any such act or agreement, and any act or agreement that, to the fullest extent permitted by law, shall be approved, adopted or ratified by the vote of the stockholders holding a majority in voting power of the issued and outstanding shares of stock of the Corporation entitled to vote and present in person or by proxy at such meeting (provided that a quorum is present), shall, to the fullest extent permitted by law, be as valid and as binding upon the 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written consent of stockholders holding a majority of the issued and outstanding shares of capital stock of the Corporation entitled to vote and such consent shall, to the fullest extent permitted by law, be as valid and as binding upon the Corporation and upon all the stockholders as if it had been approved or ratified by every stockholder of the Corporation.</w:t>
      </w:r>
    </w:p>
    <w:p>
      <w:pPr>
        <w:spacing w:after="0" w:line="166"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 OF DIRECTORS</w:t>
      </w:r>
    </w:p>
    <w:p>
      <w:pPr>
        <w:spacing w:after="0" w:line="225" w:lineRule="exact"/>
        <w:rPr>
          <w:sz w:val="20"/>
          <w:szCs w:val="20"/>
          <w:color w:val="auto"/>
        </w:rPr>
      </w:pPr>
    </w:p>
    <w:p>
      <w:pPr>
        <w:ind w:right="40" w:firstLine="1297"/>
        <w:spacing w:after="0" w:line="26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Designation, Powers and Name</w:t>
      </w:r>
      <w:r>
        <w:rPr>
          <w:rFonts w:ascii="Arial" w:cs="Arial" w:eastAsia="Arial" w:hAnsi="Arial"/>
          <w:sz w:val="17"/>
          <w:szCs w:val="17"/>
          <w:color w:val="auto"/>
        </w:rPr>
        <w:t>. The Corporation elects to be governed by Section 141(c)(2) of the General Corporation Law of the State of Delaware. The Board of Directors shall designate a Nominating and Governance Committee, a Management Development and Compensation Committee, and an Audit Committee and may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 the Charter for such committee adopted by the Board of Directors, or by a resolution adopted by the Board of Directors.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Procedure; Meetings; Quorum</w:t>
      </w:r>
      <w:r>
        <w:rPr>
          <w:rFonts w:ascii="Arial" w:cs="Arial" w:eastAsia="Arial" w:hAnsi="Arial"/>
          <w:sz w:val="18"/>
          <w:szCs w:val="18"/>
          <w:color w:val="auto"/>
        </w:rPr>
        <w:t>. Any committee designated pursuant to Section 4.1 shall keep regular minutes of its proceedings and report the same to the Board of Directors when requested, shall fix its own rules or procedures to the extent not otherwise set forth in the Charter for such committee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at a meeting where a quorum is present, the affirmative vote of a majority of the members present shall be necessary for the adoption by it of any resolution.</w:t>
      </w:r>
    </w:p>
    <w:p>
      <w:pPr>
        <w:spacing w:after="0" w:line="189"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Compensation</w:t>
      </w:r>
      <w:r>
        <w:rPr>
          <w:rFonts w:ascii="Arial" w:cs="Arial" w:eastAsia="Arial" w:hAnsi="Arial"/>
          <w:sz w:val="16"/>
          <w:szCs w:val="16"/>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WAIVER OF NOTICE</w:t>
      </w:r>
    </w:p>
    <w:p>
      <w:pPr>
        <w:spacing w:after="0" w:line="225"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Methods of Giving Notice</w:t>
      </w:r>
      <w:r>
        <w:rPr>
          <w:rFonts w:ascii="Arial" w:cs="Arial" w:eastAsia="Arial" w:hAnsi="Arial"/>
          <w:sz w:val="16"/>
          <w:szCs w:val="16"/>
          <w:color w:val="auto"/>
        </w:rPr>
        <w:t>. Except as otherwise provided herein or permitted by applicable law, whenever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electronic or facsimile transmission. If mailed, notice to a director, member of a committee or stockholder shall be deemed to be given when deposited in the</w:t>
      </w:r>
    </w:p>
    <w:p>
      <w:pPr>
        <w:sectPr>
          <w:pgSz w:w="11900" w:h="16945" w:orient="portrait"/>
          <w:cols w:equalWidth="0" w:num="1">
            <w:col w:w="11400"/>
          </w:cols>
          <w:pgMar w:left="240" w:top="125" w:right="259" w:bottom="0" w:gutter="0" w:footer="0" w:header="0"/>
        </w:sectPr>
      </w:pPr>
    </w:p>
    <w:bookmarkStart w:id="13" w:name="page14"/>
    <w:bookmarkEnd w:id="13"/>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United States mail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In the case of notice given by electronic or facsimile transmission, such notice shall be deemed to have been given on the date such transmission is sent or as otherwise determined in accordance with applicable law.</w:t>
      </w:r>
    </w:p>
    <w:p>
      <w:pPr>
        <w:spacing w:after="0" w:line="187" w:lineRule="exact"/>
        <w:rPr>
          <w:sz w:val="20"/>
          <w:szCs w:val="20"/>
          <w:color w:val="auto"/>
        </w:rPr>
      </w:pPr>
    </w:p>
    <w:p>
      <w:pPr>
        <w:ind w:right="40" w:firstLine="1297"/>
        <w:spacing w:after="0" w:line="293"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Waiver</w:t>
      </w:r>
      <w:r>
        <w:rPr>
          <w:rFonts w:ascii="Arial" w:cs="Arial" w:eastAsia="Arial" w:hAnsi="Arial"/>
          <w:sz w:val="16"/>
          <w:szCs w:val="16"/>
          <w:color w:val="auto"/>
        </w:rPr>
        <w:t>. Whenever any notice is required to be given under the Certificate of Incorporation, these by-laws or applicable law, a waiver thereof in writing or by electronic transmission, given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 unless so required by the Certificate of Incorporation or these by-laws.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right="60" w:firstLine="1297"/>
        <w:spacing w:after="0" w:line="26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Officers</w:t>
      </w:r>
      <w:r>
        <w:rPr>
          <w:rFonts w:ascii="Arial" w:cs="Arial" w:eastAsia="Arial" w:hAnsi="Arial"/>
          <w:sz w:val="17"/>
          <w:szCs w:val="17"/>
          <w:color w:val="auto"/>
        </w:rPr>
        <w:t>.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 Chief Legal Officer, a Secretary, a Treasurer, a Chief Accounting Officer, and such other officers as the Board of Directors may elect or appoint. The Board of Directors may appoint such other officers and agents, including Assistant Vice Presidents, Assistant Secretaries, Assistant Treasurers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18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until his successor shall have been chosen and shall have qualified or until his death or the effective date of his resignation or removal.</w:t>
      </w:r>
    </w:p>
    <w:p>
      <w:pPr>
        <w:spacing w:after="0" w:line="170"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Removal and Resignation</w:t>
      </w:r>
      <w:r>
        <w:rPr>
          <w:rFonts w:ascii="Arial" w:cs="Arial" w:eastAsia="Arial" w:hAnsi="Arial"/>
          <w:sz w:val="16"/>
          <w:szCs w:val="16"/>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but such resignation shall be without prejudice to the contractual rights, if any, of the person so removed. Any such resignation shall take effect at the date of the receipt of such notice or at any later time specified therein, and unless otherwise specified therein, the acceptance of such resignation shall not be necessary to make it effective.</w:t>
      </w:r>
    </w:p>
    <w:p>
      <w:pPr>
        <w:spacing w:after="0" w:line="165"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Vacancies</w:t>
      </w:r>
      <w:r>
        <w:rPr>
          <w:rFonts w:ascii="Arial" w:cs="Arial" w:eastAsia="Arial" w:hAnsi="Arial"/>
          <w:sz w:val="17"/>
          <w:szCs w:val="17"/>
          <w:color w:val="auto"/>
        </w:rPr>
        <w:t>. If the Chief Executive Officer, President, General Counsel / Chief Legal Officer, Chief Financial Officer, Chief Accounting Officer or the most senior representative of Internal Audit shall die, resign, or otherwise be removed from such officer position, such vacancy may be filled solely by the Board of Directors. Any vacancy occurring with respect to any other officer due to death, resignation, removal or otherwise, may be filled by the Board of Directors or by the Chief Executive Officer or the President in accordance with these by-laws.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Compensation</w:t>
      </w:r>
      <w:r>
        <w:rPr>
          <w:rFonts w:ascii="Arial" w:cs="Arial" w:eastAsia="Arial" w:hAnsi="Arial"/>
          <w:sz w:val="17"/>
          <w:szCs w:val="17"/>
          <w:color w:val="auto"/>
        </w:rPr>
        <w:t>. The compensation of the Corporation’s executive officers (as determined in accordance with the Securities Exchange Act of 1934, as amended), and any other group of officers elected or appointed by the Board of Directors and set forth in the charter of the Management Development and Compensation Committee, shall be fixed by the Management Development and Compensation Committee of the Board of Directors or pursuant to its direction; no officer shall be prevented from receiving such compensation by reason of his also being a director. Actions relating to the compensation of the Chief Executive Officer will be promptly reported to the Board of Directors.</w:t>
      </w:r>
    </w:p>
    <w:p>
      <w:pPr>
        <w:spacing w:after="0" w:line="173"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any,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193"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Substitute for Chairman of the Board</w:t>
      </w:r>
      <w:r>
        <w:rPr>
          <w:rFonts w:ascii="Arial" w:cs="Arial" w:eastAsia="Arial" w:hAnsi="Arial"/>
          <w:sz w:val="18"/>
          <w:szCs w:val="18"/>
          <w:color w:val="auto"/>
        </w:rPr>
        <w:t>. In the absence of the Chairman of the Board, or in the event of his inability or refusal to act, the Chairman of the Nominating and Governance Committee will preside and shall perform the duties and exercise the powers of the Chairman of the Board, and when acting shall have all the powers of and be subject to all the restriction upon the Chairman of the Board. If both the Chairman of the Board and the Chairman of the Nominating and Governance Committee are absent or unable to act as chairman, a chairman shall be elected from the directors present.</w:t>
      </w:r>
    </w:p>
    <w:p>
      <w:pPr>
        <w:spacing w:after="0" w:line="188"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w:t>
      </w:r>
    </w:p>
    <w:p>
      <w:pPr>
        <w:sectPr>
          <w:pgSz w:w="11900" w:h="16941" w:orient="portrait"/>
          <w:cols w:equalWidth="0" w:num="1">
            <w:col w:w="11420"/>
          </w:cols>
          <w:pgMar w:left="240" w:top="125" w:right="239" w:bottom="0" w:gutter="0" w:footer="0" w:header="0"/>
        </w:sectPr>
      </w:pPr>
    </w:p>
    <w:bookmarkStart w:id="14" w:name="page15"/>
    <w:bookmarkEnd w:id="14"/>
    <w:p>
      <w:pPr>
        <w:ind w:right="80"/>
        <w:spacing w:after="0" w:line="255" w:lineRule="auto"/>
        <w:rPr>
          <w:sz w:val="20"/>
          <w:szCs w:val="20"/>
          <w:color w:val="auto"/>
        </w:rPr>
      </w:pPr>
      <w:r>
        <w:rPr>
          <w:rFonts w:ascii="Arial" w:cs="Arial" w:eastAsia="Arial" w:hAnsi="Arial"/>
          <w:sz w:val="18"/>
          <w:szCs w:val="18"/>
          <w:color w:val="auto"/>
        </w:rPr>
        <w:t>obligations. In the absence of the Chairman of the Board and the Chairman of the Nominating and Governance Committee of the Board, the Chief Executive Officer shall preside at all meetings of the stockholders. He may also preside at any such meeting attended by the Chairman of the Board if he is so designated by the Chairman. Subject to any contractual limitations contained in any employment agreement or other applicable contract, he shall have the power to appoint and remove subordinate officers, agents, and employees; provided, however, that he shall not have the power to remove or to fill a vacancy in the office of the President, General Counsel / Chief Legal Officer, Chief Financial Officer, Chief Accounting Officer or the most senior representative of Internal Audit without the approval of the Board of Directors.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firstLine="1297"/>
        <w:spacing w:after="0" w:line="312" w:lineRule="auto"/>
        <w:rPr>
          <w:sz w:val="20"/>
          <w:szCs w:val="20"/>
          <w:color w:val="auto"/>
        </w:rPr>
      </w:pPr>
      <w:r>
        <w:rPr>
          <w:rFonts w:ascii="Arial" w:cs="Arial" w:eastAsia="Arial" w:hAnsi="Arial"/>
          <w:sz w:val="16"/>
          <w:szCs w:val="16"/>
          <w:color w:val="auto"/>
        </w:rPr>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Board of Directors or the Executive Committee (if any) from time to time.</w:t>
      </w:r>
    </w:p>
    <w:p>
      <w:pPr>
        <w:spacing w:after="0" w:line="147"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President</w:t>
      </w:r>
      <w:r>
        <w:rPr>
          <w:rFonts w:ascii="Arial" w:cs="Arial" w:eastAsia="Arial" w:hAnsi="Arial"/>
          <w:sz w:val="16"/>
          <w:szCs w:val="16"/>
          <w:color w:val="auto"/>
        </w:rPr>
        <w:t>. The Board of Directors may appoint a President who shall serve subject to the control of the Chief Executive Officer and the Board of Directors. In the absence of the Chief Executive Officer, or in the event of his inability or refusal to act, the President shall perform the duties and exercise the powers of the Chief Executive Officer. 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or to fill a vacancy in the office of the General Counsel / Chief Legal Officer, Chief Financial Officer, Chief Accounting Officer or the most senior representative of Internal Audit without the approval of the Board of Directors. Unless the Board of Directors otherwise determines, the President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may vote, or give a proxy to any other officer of the Corporation to vote, all shares of stock or securities of any other corporation or other entity standing in the name of the Corporation and shall exercise any and all rights and powers which this Corporation may possess by reason of its ownership of securities in such other corporation or entity;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169"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189" w:lineRule="exact"/>
        <w:rPr>
          <w:sz w:val="20"/>
          <w:szCs w:val="20"/>
          <w:color w:val="auto"/>
        </w:rPr>
      </w:pPr>
    </w:p>
    <w:p>
      <w:pPr>
        <w:ind w:right="20" w:firstLine="1297"/>
        <w:spacing w:after="0" w:line="308"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Vice Presidents</w:t>
      </w:r>
      <w:r>
        <w:rPr>
          <w:rFonts w:ascii="Arial" w:cs="Arial" w:eastAsia="Arial" w:hAnsi="Arial"/>
          <w:sz w:val="17"/>
          <w:szCs w:val="17"/>
          <w:color w:val="auto"/>
        </w:rPr>
        <w:t>. The Board of Directors may appoint such Vice Presidents, including Executive or Senior Vice Presidents, as it may determine to be in the best interests of the Corporation. Any Vice President may sign certificates representing shares of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Corporation. Each Vice President shall perform all duties incident to the office of Vice President and shall have such powers and perform such other duties, as from time to time may be assigned to him by these by-laws or by the Chief Executive Officer, the President, the Chief Operating Officer, the Board of Directors, or the Executive Committee (if any).</w:t>
      </w:r>
    </w:p>
    <w:p>
      <w:pPr>
        <w:spacing w:after="0" w:line="181"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The Board of Directors may also designate the President or any Vice President as Chief Operating Officer of the Corporation. The Chief Operating Officer, subject to the control of the Chief Executive Officer, the President, and the Board of Directors, shall in general manage, supervise and control the properties, business and day-to-day affairs of the Corporation with all such powers as may be reasonably incident to such responsibilities and shall have such other powers and perform such other duties as may be prescribed by these by-laws, or by the Chief Executive Officer, the President, the Board of Directors, or the Executive Committee (if any) from time to time. Unless the Board of Directors otherwise determines, the Chief Operating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Chief Operating Officer shall keep the Board of Directors, the Executive Committee (if any), the President, and the Chief Executive Officer fully informed and shall consult them concerning the business of the Corporation. He may vote, or give a proxy to any other officer of the Corporation to vote, all shares of stock or securities of any other corporation or other entity standing in the name of the Corporation and shall exercise any and all rights and powers which this Corporation may possess by reason of its ownership of securities in such other corporation or entity; provided that the Board of Directors may from time to time, by resolution, confer like powers upon any other person or persons.</w:t>
      </w:r>
    </w:p>
    <w:p>
      <w:pPr>
        <w:spacing w:after="0" w:line="169" w:lineRule="exact"/>
        <w:rPr>
          <w:sz w:val="20"/>
          <w:szCs w:val="20"/>
          <w:color w:val="auto"/>
        </w:rPr>
      </w:pPr>
    </w:p>
    <w:p>
      <w:pPr>
        <w:ind w:right="200" w:firstLine="1297"/>
        <w:spacing w:after="0" w:line="302"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General Counsel / Chief Legal Officer</w:t>
      </w:r>
      <w:r>
        <w:rPr>
          <w:rFonts w:ascii="Arial" w:cs="Arial" w:eastAsia="Arial" w:hAnsi="Arial"/>
          <w:sz w:val="16"/>
          <w:szCs w:val="16"/>
          <w:color w:val="auto"/>
        </w:rPr>
        <w:t>. The General Counsel, who may also, or in the alternative, have the title Chief Legal Officer, shall be the chief legal advisor of the Corporation and shall have responsibility for the management of the legal affairs and litigation of the Corporation; and, in general, he shall perform the duties incident to the office of general counsel or chief legal officer of a corporation and such other duties as may be assigned to him by these by-laws or by the Chief Executive Officer, the President, the Board of Directors, or the Executive Committee (if any).</w:t>
      </w:r>
    </w:p>
    <w:p>
      <w:pPr>
        <w:spacing w:after="0" w:line="154" w:lineRule="exact"/>
        <w:rPr>
          <w:sz w:val="20"/>
          <w:szCs w:val="20"/>
          <w:color w:val="auto"/>
        </w:rPr>
      </w:pPr>
    </w:p>
    <w:p>
      <w:pPr>
        <w:ind w:right="100" w:firstLine="1297"/>
        <w:spacing w:after="0" w:line="291"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if required by law, see that the seal of the Corporation or a facsimile thereof is affixed to all certificates representing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have authority to sign certificates representing shares of the Corporation, the issue of which shall have been authorized by resolution of the Board of Directors; (f) have general charge of the stock transfer books</w:t>
      </w:r>
    </w:p>
    <w:p>
      <w:pPr>
        <w:sectPr>
          <w:pgSz w:w="11900" w:h="16838" w:orient="portrait"/>
          <w:cols w:equalWidth="0" w:num="1">
            <w:col w:w="11420"/>
          </w:cols>
          <w:pgMar w:left="240" w:top="125" w:right="239" w:bottom="0" w:gutter="0" w:footer="0" w:header="0"/>
        </w:sectPr>
      </w:pPr>
    </w:p>
    <w:bookmarkStart w:id="15" w:name="page16"/>
    <w:bookmarkEnd w:id="15"/>
    <w:p>
      <w:pPr>
        <w:ind w:right="280"/>
        <w:spacing w:after="0" w:line="277" w:lineRule="auto"/>
        <w:rPr>
          <w:sz w:val="20"/>
          <w:szCs w:val="20"/>
          <w:color w:val="auto"/>
        </w:rPr>
      </w:pPr>
      <w:r>
        <w:rPr>
          <w:rFonts w:ascii="Arial" w:cs="Arial" w:eastAsia="Arial" w:hAnsi="Arial"/>
          <w:sz w:val="18"/>
          <w:szCs w:val="18"/>
          <w:color w:val="auto"/>
        </w:rPr>
        <w:t>of the Corporation; and (g) in general, shall have such other powers and shall perform all duties normally incident to the office of Secretary, and shall have such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powers and perform such other duties, as from time to time may be assigned to him by these by-laws, the Chief Executive Officer, the President, the Board of Directors, or the Executive Committee (if any).</w:t>
      </w:r>
    </w:p>
    <w:p>
      <w:pPr>
        <w:spacing w:after="0" w:line="170"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u w:val="single" w:color="auto"/>
          <w:color w:val="auto"/>
        </w:rPr>
        <w:t>Chief Accounting Officer</w:t>
      </w:r>
      <w:r>
        <w:rPr>
          <w:rFonts w:ascii="Arial" w:cs="Arial" w:eastAsia="Arial" w:hAnsi="Arial"/>
          <w:sz w:val="17"/>
          <w:szCs w:val="17"/>
          <w:color w:val="auto"/>
        </w:rPr>
        <w:t>. The Chief Accounting Officer shall be the principal accounting officer of the Corporation and may also be the controller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178" w:lineRule="exact"/>
        <w:rPr>
          <w:sz w:val="20"/>
          <w:szCs w:val="20"/>
          <w:color w:val="auto"/>
        </w:rPr>
      </w:pPr>
    </w:p>
    <w:p>
      <w:pPr>
        <w:ind w:right="100" w:firstLine="1297"/>
        <w:spacing w:after="0" w:line="272" w:lineRule="auto"/>
        <w:rPr>
          <w:sz w:val="20"/>
          <w:szCs w:val="20"/>
          <w:color w:val="auto"/>
        </w:rPr>
      </w:pPr>
      <w:r>
        <w:rPr>
          <w:rFonts w:ascii="Arial" w:cs="Arial" w:eastAsia="Arial" w:hAnsi="Arial"/>
          <w:sz w:val="17"/>
          <w:szCs w:val="17"/>
          <w:color w:val="auto"/>
        </w:rPr>
        <w:t xml:space="preserve">SECTION 6.15.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 assigned to him directly or indirectly by the Board of Directors, the Chief Executive Officer, the President, or the Chief Financial Officer, or as may be provided by law.</w:t>
      </w:r>
    </w:p>
    <w:p>
      <w:pPr>
        <w:spacing w:after="0" w:line="178" w:lineRule="exact"/>
        <w:rPr>
          <w:sz w:val="20"/>
          <w:szCs w:val="20"/>
          <w:color w:val="auto"/>
        </w:rPr>
      </w:pPr>
    </w:p>
    <w:p>
      <w:pPr>
        <w:ind w:right="80" w:firstLine="1297"/>
        <w:spacing w:after="0" w:line="290" w:lineRule="auto"/>
        <w:rPr>
          <w:sz w:val="20"/>
          <w:szCs w:val="20"/>
          <w:color w:val="auto"/>
        </w:rPr>
      </w:pPr>
      <w:r>
        <w:rPr>
          <w:rFonts w:ascii="Arial" w:cs="Arial" w:eastAsia="Arial" w:hAnsi="Arial"/>
          <w:sz w:val="16"/>
          <w:szCs w:val="16"/>
          <w:color w:val="auto"/>
        </w:rPr>
        <w:t xml:space="preserve">SECTION 6.16. </w:t>
      </w:r>
      <w:r>
        <w:rPr>
          <w:rFonts w:ascii="Arial" w:cs="Arial" w:eastAsia="Arial" w:hAnsi="Arial"/>
          <w:sz w:val="16"/>
          <w:szCs w:val="16"/>
          <w:u w:val="single" w:color="auto"/>
          <w:color w:val="auto"/>
        </w:rPr>
        <w:t>Assistant Secretary, Assistant Treasurer or Assistant Controller</w:t>
      </w:r>
      <w:r>
        <w:rPr>
          <w:rFonts w:ascii="Arial" w:cs="Arial" w:eastAsia="Arial" w:hAnsi="Arial"/>
          <w:sz w:val="16"/>
          <w:szCs w:val="16"/>
          <w:color w:val="auto"/>
        </w:rPr>
        <w:t>. The Assistant Secretaries, Assistant Treasurers and Assistant Controllers shall, in general, perform such duties and have such powers as shall be assigned to them by the Secretary, the Treasurer or the Chief Accounting Officer, respectively, or by the Chief Executive Officer, the President, the Board of Directors or the Executive Committee (if any). The Assistant Secretaries, Assistant Treasurers and Assistant Controllers shall, in the absence or inability or refusal to act of the Secretary, Treasurer or Controller, respectively, perform all functions and duties which such absent officers may delegate, but such delegation shall not relieve the absent officer from the responsibilities and liabilities of his office. The Assistant Secretaries and Assistant Treasurers may sign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CONTRACTS, CHECKS AND DEPOSITS</w:t>
      </w:r>
    </w:p>
    <w:p>
      <w:pPr>
        <w:spacing w:after="0" w:line="225" w:lineRule="exact"/>
        <w:rPr>
          <w:sz w:val="20"/>
          <w:szCs w:val="20"/>
          <w:color w:val="auto"/>
        </w:rPr>
      </w:pPr>
    </w:p>
    <w:p>
      <w:pPr>
        <w:ind w:right="80" w:firstLine="1297"/>
        <w:spacing w:after="0" w:line="269"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Contracts</w:t>
      </w:r>
      <w:r>
        <w:rPr>
          <w:rFonts w:ascii="Arial" w:cs="Arial" w:eastAsia="Arial" w:hAnsi="Arial"/>
          <w:sz w:val="17"/>
          <w:szCs w:val="17"/>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the Chief Operating Officer, or the President or, if designated by the Board of Directors, the Chief Executive Officer, the Chief Operating Officer, or the President, then any Vice President or the Secretary, may authorize any other officer, employee, or agent to execute and deliver, in the name and on behalf of the Corporation, agreements, bonds, contracts, deeds, loans,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83" w:lineRule="exact"/>
        <w:rPr>
          <w:sz w:val="20"/>
          <w:szCs w:val="20"/>
          <w:color w:val="auto"/>
        </w:rPr>
      </w:pPr>
    </w:p>
    <w:p>
      <w:pPr>
        <w:ind w:right="320" w:firstLine="1297"/>
        <w:spacing w:after="0" w:line="286"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Checks, Etc.</w:t>
      </w:r>
      <w:r>
        <w:rPr>
          <w:rFonts w:ascii="Arial" w:cs="Arial" w:eastAsia="Arial" w:hAnsi="Arial"/>
          <w:sz w:val="17"/>
          <w:szCs w:val="17"/>
          <w:color w:val="auto"/>
        </w:rPr>
        <w:t xml:space="preserve">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166" w:lineRule="exact"/>
        <w:rPr>
          <w:sz w:val="20"/>
          <w:szCs w:val="20"/>
          <w:color w:val="auto"/>
        </w:rPr>
      </w:pPr>
    </w:p>
    <w:p>
      <w:pPr>
        <w:ind w:right="160" w:firstLine="1297"/>
        <w:spacing w:after="0" w:line="302"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Deposits</w:t>
      </w:r>
      <w:r>
        <w:rPr>
          <w:rFonts w:ascii="Arial" w:cs="Arial" w:eastAsia="Arial" w:hAnsi="Arial"/>
          <w:sz w:val="16"/>
          <w:szCs w:val="16"/>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CERTIFICATES OF STOCK</w:t>
      </w:r>
    </w:p>
    <w:p>
      <w:pPr>
        <w:spacing w:after="0" w:line="225"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Issuance</w:t>
      </w:r>
      <w:r>
        <w:rPr>
          <w:rFonts w:ascii="Arial" w:cs="Arial" w:eastAsia="Arial" w:hAnsi="Arial"/>
          <w:sz w:val="16"/>
          <w:szCs w:val="16"/>
          <w:color w:val="auto"/>
        </w:rPr>
        <w:t>. The shares of the Corporation shall be represented by certificates or, if provided by the Board of Directors by resolution or resolutions, shall be uncertificated shares evidenced by a book-entry system maintained by the registrar of such stock, or a combination of both. Every holder of stock represented by certificates shall be entitled to a certificate signed by, or in the name of the Corporation by, two authorized officers of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4" w:gutter="0" w:footer="0" w:header="0"/>
        </w:sectPr>
      </w:pPr>
    </w:p>
    <w:bookmarkStart w:id="16" w:name="page17"/>
    <w:bookmarkEnd w:id="16"/>
    <w:p>
      <w:pPr>
        <w:spacing w:after="0" w:line="10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Corporation, including, but not limited to, the Chairman of the Board of Directors, the Vice Chairman of the Board of Directors, the President, a Vice-President, the Treasurer, an Assistant Treasurer, the Secretary or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Any of or all of the signatures on the certificate may be facsimiles. The stock record books and the blank stock 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169" w:lineRule="exact"/>
        <w:rPr>
          <w:sz w:val="20"/>
          <w:szCs w:val="20"/>
          <w:color w:val="auto"/>
        </w:rPr>
      </w:pPr>
    </w:p>
    <w:p>
      <w:pPr>
        <w:ind w:right="40" w:firstLine="1297"/>
        <w:spacing w:after="0" w:line="268" w:lineRule="auto"/>
        <w:rPr>
          <w:sz w:val="20"/>
          <w:szCs w:val="20"/>
          <w:color w:val="auto"/>
        </w:rPr>
      </w:pPr>
      <w:r>
        <w:rPr>
          <w:rFonts w:ascii="Arial" w:cs="Arial" w:eastAsia="Arial" w:hAnsi="Arial"/>
          <w:sz w:val="17"/>
          <w:szCs w:val="17"/>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8" w:lineRule="exact"/>
        <w:rPr>
          <w:sz w:val="20"/>
          <w:szCs w:val="20"/>
          <w:color w:val="auto"/>
        </w:rPr>
      </w:pPr>
    </w:p>
    <w:p>
      <w:pPr>
        <w:ind w:right="220" w:firstLine="1297"/>
        <w:spacing w:after="0" w:line="312" w:lineRule="auto"/>
        <w:rPr>
          <w:sz w:val="20"/>
          <w:szCs w:val="20"/>
          <w:color w:val="auto"/>
        </w:rPr>
      </w:pPr>
      <w:r>
        <w:rPr>
          <w:rFonts w:ascii="Arial" w:cs="Arial" w:eastAsia="Arial" w:hAnsi="Arial"/>
          <w:sz w:val="16"/>
          <w:szCs w:val="16"/>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147"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Lost, Stolen or Destroyed; Issuance of New Certificates</w:t>
      </w:r>
      <w:r>
        <w:rPr>
          <w:rFonts w:ascii="Arial" w:cs="Arial" w:eastAsia="Arial" w:hAnsi="Arial"/>
          <w:sz w:val="18"/>
          <w:szCs w:val="18"/>
          <w:color w:val="auto"/>
        </w:rPr>
        <w:t>. The Board of Directors may direct a new certificate of stock or uncertificated shares to be issued in place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193"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Transfers</w:t>
      </w:r>
      <w:r>
        <w:rPr>
          <w:rFonts w:ascii="Arial" w:cs="Arial" w:eastAsia="Arial" w:hAnsi="Arial"/>
          <w:sz w:val="17"/>
          <w:szCs w:val="17"/>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or uncertificated shares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78"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87" w:lineRule="exact"/>
        <w:rPr>
          <w:sz w:val="20"/>
          <w:szCs w:val="20"/>
          <w:color w:val="auto"/>
        </w:rPr>
      </w:pPr>
    </w:p>
    <w:p>
      <w:pPr>
        <w:jc w:val="both"/>
        <w:ind w:right="220" w:firstLine="1297"/>
        <w:spacing w:after="0" w:line="26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Regulations Regarding Certificates</w:t>
      </w:r>
      <w:r>
        <w:rPr>
          <w:rFonts w:ascii="Arial" w:cs="Arial" w:eastAsia="Arial" w:hAnsi="Arial"/>
          <w:sz w:val="18"/>
          <w:szCs w:val="18"/>
          <w:color w:val="auto"/>
        </w:rPr>
        <w:t>. Subject to the requirements of applicable law,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Declaration</w:t>
      </w:r>
      <w:r>
        <w:rPr>
          <w:rFonts w:ascii="Arial" w:cs="Arial" w:eastAsia="Arial" w:hAnsi="Arial"/>
          <w:sz w:val="18"/>
          <w:szCs w:val="18"/>
          <w:color w:val="auto"/>
        </w:rPr>
        <w:t>. Dividends upon the capital stock of the Corporation, subject to the provisions of the Certificate of Incorporation, if any, may be declared by the Board of Directors, pursuant to and in accordance with applicable law. Dividends may be paid in the form of cash, in property or in shares of capital stock, subject to the provisions of the Certificate of Incorporation.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Reserve</w:t>
      </w:r>
      <w:r>
        <w:rPr>
          <w:rFonts w:ascii="Arial" w:cs="Arial" w:eastAsia="Arial" w:hAnsi="Arial"/>
          <w:sz w:val="16"/>
          <w:szCs w:val="16"/>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ectPr>
          <w:pgSz w:w="11900" w:h="16945" w:orient="portrait"/>
          <w:cols w:equalWidth="0" w:num="1">
            <w:col w:w="11420"/>
          </w:cols>
          <w:pgMar w:left="240" w:top="125" w:right="239" w:bottom="0" w:gutter="0" w:footer="0" w:header="0"/>
        </w:sectPr>
      </w:pPr>
    </w:p>
    <w:bookmarkStart w:id="17" w:name="page18"/>
    <w:bookmarkEnd w:id="17"/>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 AND ADVANCEMENT OF EXPENSES</w:t>
      </w:r>
    </w:p>
    <w:p>
      <w:pPr>
        <w:spacing w:after="0" w:line="225" w:lineRule="exact"/>
        <w:rPr>
          <w:sz w:val="20"/>
          <w:szCs w:val="20"/>
          <w:color w:val="auto"/>
        </w:rPr>
      </w:pPr>
    </w:p>
    <w:p>
      <w:pPr>
        <w:ind w:firstLine="1945"/>
        <w:spacing w:after="0" w:line="267"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Third Party Actions</w:t>
      </w:r>
      <w:r>
        <w:rPr>
          <w:rFonts w:ascii="Arial" w:cs="Arial" w:eastAsia="Arial" w:hAnsi="Arial"/>
          <w:sz w:val="17"/>
          <w:szCs w:val="17"/>
          <w:color w:val="auto"/>
        </w:rPr>
        <w:t>. This Corporation shall, to the maximum extent permitted from time to time under the law of the State of Delaware as it presently exists or may hereafter be amended,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liability, loss suffered and expenses (including attorney’s fees and expenses), judgments, fines, penalties and amounts paid in settlement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 initiation of such action, suit, proceeding, claim or counterclaim (or part thereof) by such person was authorized in the specific case by the Board of Directors. Prior to receiving any advance of expenses, such person must execute an undertaking providing that he or she undertakes to repay the advance to the extent that it is ultimately determined that he or she is not 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 For purposes of this Article X, an “officer” is defined as any person elected as an officer of this Corporation by the Board of Directors or appointed as an officer of this Corporation by the Chief Executive Officer or President, in each case, in accordance with Article VI of these by-laws.</w:t>
      </w:r>
    </w:p>
    <w:p>
      <w:pPr>
        <w:spacing w:after="0" w:line="19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Actions By or in the Right of the Corporation</w:t>
      </w:r>
      <w:r>
        <w:rPr>
          <w:rFonts w:ascii="Arial" w:cs="Arial" w:eastAsia="Arial" w:hAnsi="Arial"/>
          <w:sz w:val="18"/>
          <w:szCs w:val="18"/>
          <w:color w:val="auto"/>
        </w:rPr>
        <w:t>. This Corporation shall, to the maximum extent permitted from time to time under the law of the State of Delaware as it presently exists or may hereafter by amended, indemnify and upon request shall advance expenses to any person who was or is a party or is threatened to be made a party to any threatened, pending or completed action, suit, proceeding or claim by or on the right of the Corporation to procure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expenses (including attorney’s fees and expenses)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Prior to receiving any advance of expenses, such person must execute an undertaking providing that he or she undertakes to repay the advance to the extent that it is ultimately determined that he or she is not 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83"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Successful Defense</w:t>
      </w:r>
      <w:r>
        <w:rPr>
          <w:rFonts w:ascii="Arial" w:cs="Arial" w:eastAsia="Arial" w:hAnsi="Arial"/>
          <w:sz w:val="17"/>
          <w:szCs w:val="17"/>
          <w:color w:val="auto"/>
        </w:rPr>
        <w:t>. To the extent that a director or officer,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6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Claims</w:t>
      </w:r>
      <w:r>
        <w:rPr>
          <w:rFonts w:ascii="Arial" w:cs="Arial" w:eastAsia="Arial" w:hAnsi="Arial"/>
          <w:sz w:val="17"/>
          <w:szCs w:val="17"/>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thereupon (but not before) file suit to recover the unpaid amount of such claim and, if successful in whole or in part, shall be entitled to be paid the expense of prosecuting such claim to the maximum extent permitted by law. In any such action the Corporation shall have the burden of proving that such indemnitee is not entitled to the requested indemnification or advancement of expenses under applicable law.</w:t>
      </w:r>
    </w:p>
    <w:p>
      <w:pPr>
        <w:spacing w:after="0" w:line="17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18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8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w:t>
      </w:r>
    </w:p>
    <w:p>
      <w:pPr>
        <w:sectPr>
          <w:pgSz w:w="11900" w:h="16975" w:orient="portrait"/>
          <w:cols w:equalWidth="0" w:num="1">
            <w:col w:w="11420"/>
          </w:cols>
          <w:pgMar w:left="240" w:top="341" w:right="239" w:bottom="0" w:gutter="0" w:footer="0" w:header="0"/>
        </w:sectPr>
      </w:pPr>
    </w:p>
    <w:bookmarkStart w:id="18" w:name="page19"/>
    <w:bookmarkEnd w:id="18"/>
    <w:p>
      <w:pPr>
        <w:spacing w:after="0" w:line="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by a person who is a director or officer of the Corporation which imposes duties on, or involves services by, such director or officer with respect to an employee benefit plan, its participants, or beneficiaries.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Survival; Preservation of Other Rights</w:t>
      </w:r>
      <w:r>
        <w:rPr>
          <w:rFonts w:ascii="Arial" w:cs="Arial" w:eastAsia="Arial" w:hAnsi="Arial"/>
          <w:sz w:val="17"/>
          <w:szCs w:val="17"/>
          <w:color w:val="auto"/>
        </w:rPr>
        <w:t>. The foregoing indemnification provisions shall be deemed to be a contract between the Corporation and each director or officer who serves in any such capacity at any time while these provisions as well as relevant provisions 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provision of the Certificate of Incorporation, statutes,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18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provisions of this Article X shall not adversely affect any right or protection hereunder of any person entitled to indemnification hereunder in respect of any proceeding (regardless of when such proceeding is first threatened, commenced or completed) arising out of, or related to any act or omission occurring prior to the time of such repeal or modification.</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person entitled to indemnification hereunder who was or is serving at its request as a director, officer, employee or agent of another corporation, partnership, joint venture, trust, enterprise or nonprofit entity shall be reduced by any amount such person entitled to indemnification hereunder may collect as indemnification or advancement of expenses from such other corporation, partnership, joint venture, trust, enterprise or non-profit enterprise.</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This Article X shall not limit the right of the Corporation, to the extent and in the manner permitted by law, to indemnify and to advance expenses to persons other than persons entitled to indemnification hereunder when and as authorized by appropriate corporate action.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720" w:firstLine="1297"/>
        <w:spacing w:after="0" w:line="342"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Seal</w:t>
      </w:r>
      <w:r>
        <w:rPr>
          <w:rFonts w:ascii="Arial" w:cs="Arial" w:eastAsia="Arial" w:hAnsi="Arial"/>
          <w:sz w:val="16"/>
          <w:szCs w:val="16"/>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124"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Books</w:t>
      </w:r>
      <w:r>
        <w:rPr>
          <w:rFonts w:ascii="Arial" w:cs="Arial" w:eastAsia="Arial" w:hAnsi="Arial"/>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such as established from time to time by the Board of Directors.</w:t>
      </w:r>
    </w:p>
    <w:p>
      <w:pPr>
        <w:spacing w:after="0" w:line="248"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or member of a committee may resign at any time. Such resignation shall be made in writing and shall take effect at the time specified therein, or if no time be specified, at the time of its receipt by the Chairman of the Board or Secretary if the resignation is from a director or committee member. The acceptance of a resignation shall not be necessary to make it effective, unless expressly so provided in the resignation.</w:t>
      </w:r>
    </w:p>
    <w:p>
      <w:pPr>
        <w:spacing w:after="0" w:line="187" w:lineRule="exact"/>
        <w:rPr>
          <w:sz w:val="20"/>
          <w:szCs w:val="20"/>
          <w:color w:val="auto"/>
        </w:rPr>
      </w:pPr>
    </w:p>
    <w:p>
      <w:pPr>
        <w:ind w:right="80" w:firstLine="1297"/>
        <w:spacing w:after="0" w:line="342" w:lineRule="auto"/>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Facsimile Signatures</w:t>
      </w:r>
      <w:r>
        <w:rPr>
          <w:rFonts w:ascii="Arial" w:cs="Arial" w:eastAsia="Arial" w:hAnsi="Arial"/>
          <w:sz w:val="16"/>
          <w:szCs w:val="16"/>
          <w:color w:val="auto"/>
        </w:rPr>
        <w:t>.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124"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Reliance upon Books, Reports and Records</w:t>
      </w:r>
      <w:r>
        <w:rPr>
          <w:rFonts w:ascii="Arial" w:cs="Arial" w:eastAsia="Arial" w:hAnsi="Arial"/>
          <w:sz w:val="16"/>
          <w:szCs w:val="16"/>
          <w:color w:val="auto"/>
        </w:rPr>
        <w:t>. Each director and each member of any committee designated by the Board of Directors shall, in the performance of his duties, be fully protected in relying in good faith upon the records of the Corporation and upon such information, opinions, reports or statements made to the Corporation by any of its officers or employees, or by any other person as to matters the director reasonably believes are within such person’s professional or expert competence who has been selected with reasonable care by or on behalf of the Corporation.</w:t>
      </w:r>
    </w:p>
    <w:p>
      <w:pPr>
        <w:spacing w:after="0" w:line="154"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 xml:space="preserve">SECTION 11.7. </w:t>
      </w:r>
      <w:r>
        <w:rPr>
          <w:rFonts w:ascii="Arial" w:cs="Arial" w:eastAsia="Arial" w:hAnsi="Arial"/>
          <w:sz w:val="17"/>
          <w:szCs w:val="17"/>
          <w:u w:val="single" w:color="auto"/>
          <w:color w:val="auto"/>
        </w:rPr>
        <w:t>Forum for Adjudication of Certain Disputes</w:t>
      </w:r>
      <w:r>
        <w:rPr>
          <w:rFonts w:ascii="Arial" w:cs="Arial" w:eastAsia="Arial" w:hAnsi="Arial"/>
          <w:sz w:val="17"/>
          <w:szCs w:val="17"/>
          <w:color w:val="auto"/>
        </w:rPr>
        <w:t>. Unless the Corporation consents in writing to the selection of an alternative forum (an “Alternative Forum Consent”), the Delaware Court of Chancery (the “Chancery Court”) shall, to the fullest extent permitted by law, be the sole and exclusive forum for: (i) any derivative action or proceeding brought on behalf of the Corporation; (ii) any action asserting a claim of breach of a fiduciary duty owed by any director, officer, stockholder, employee or agent of the Corporation to the Corporation or the Corporation’s stockholders; (iii) any action asserting a claim pursuant to any provision of the General Corporation Law of the State of Delaware or the Certificate of Incorporation or these by-laws or as to which the General Corporation Law of the State of Delaware confers jurisdiction upon the Chancery Court; or (iv) any action asserting a claim governed by the internal affairs doctrine. Notwithstanding the foregoing, solely in the event that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Chancery Court declines to accept jurisdiction over any such action or proceeding, unless there is an Alternative Forum Consent, the sole and exclusive forum for such action or proceeding shall, to the fullest extent permitted by law, be the Superior Court of the State of Delaware (Complex Commercial Division) or, if subject matter jurisdiction over the matter that is the subject of any such action or proceeding is vested exclusively in the federal courts of the United States of America, the United States District Court for the District of Delaware, and any appellate court from any thereof (the “Selected Courts”), in each such case unless any of the Selected Courts has dismissed a prior action by the same plaintiff asserting the same claims because such court lacked personal jurisdiction over an indispensable party named as a defendant therein. Any person or entity purchasing, otherwise acquiring or retaining any interest in shares of capital stock of the Corporation shall be deemed to have notice of and to have consented to the provisions of this Section 11.7. The existence of any prior Alternative Forum Consent shall not act as a waiver of the Corporation’s ongoing consent right as set forth above in this Section 11.7 with respect to any current or future actions or claims.</w:t>
      </w:r>
    </w:p>
    <w:p>
      <w:pPr>
        <w:sectPr>
          <w:pgSz w:w="11900" w:h="16917" w:orient="portrait"/>
          <w:cols w:equalWidth="0" w:num="1">
            <w:col w:w="11420"/>
          </w:cols>
          <w:pgMar w:left="240" w:top="125" w:right="239" w:bottom="0" w:gutter="0" w:footer="0" w:header="0"/>
        </w:sectPr>
      </w:pPr>
    </w:p>
    <w:bookmarkStart w:id="19" w:name="page20"/>
    <w:bookmarkEnd w:id="19"/>
    <w:p>
      <w:pPr>
        <w:jc w:val="center"/>
        <w:ind w:right="-9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If provided in the Certificate of Incorporation of the Corporation and subject to the provisions set forth therein,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FFFFFF"/>
        </w:rPr>
        <w:t>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764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89" w:lineRule="exact"/>
        <w:rPr>
          <w:sz w:val="20"/>
          <w:szCs w:val="20"/>
          <w:color w:val="auto"/>
        </w:rPr>
      </w:pPr>
    </w:p>
    <w:p>
      <w:pPr>
        <w:ind w:left="9960"/>
        <w:spacing w:after="0"/>
        <w:rPr>
          <w:sz w:val="20"/>
          <w:szCs w:val="20"/>
          <w:color w:val="auto"/>
        </w:rPr>
      </w:pPr>
      <w:r>
        <w:rPr>
          <w:rFonts w:ascii="Arial" w:cs="Arial" w:eastAsia="Arial" w:hAnsi="Arial"/>
          <w:sz w:val="19"/>
          <w:szCs w:val="19"/>
          <w:color w:val="00B050"/>
        </w:rPr>
        <w:t>EXHIBIT 10.1</w:t>
      </w:r>
    </w:p>
    <w:p>
      <w:pPr>
        <w:spacing w:after="0" w:line="178" w:lineRule="exact"/>
        <w:rPr>
          <w:sz w:val="20"/>
          <w:szCs w:val="20"/>
          <w:color w:val="auto"/>
        </w:rPr>
      </w:pPr>
    </w:p>
    <w:p>
      <w:pPr>
        <w:jc w:val="center"/>
        <w:ind w:left="420" w:right="280"/>
        <w:spacing w:after="0" w:line="277" w:lineRule="auto"/>
        <w:rPr>
          <w:sz w:val="20"/>
          <w:szCs w:val="20"/>
          <w:color w:val="auto"/>
        </w:rPr>
      </w:pPr>
      <w:r>
        <w:rPr>
          <w:rFonts w:ascii="Arial" w:cs="Arial" w:eastAsia="Arial" w:hAnsi="Arial"/>
          <w:sz w:val="54"/>
          <w:szCs w:val="54"/>
          <w:b w:val="1"/>
          <w:bCs w:val="1"/>
          <w:color w:val="00B050"/>
        </w:rPr>
        <w:t>2018 Long Term Incentive Compensation Award Agreement</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00B050"/>
        </w:rPr>
        <w:t>for the Senior Leadership Team under the</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43"/>
          <w:szCs w:val="43"/>
          <w:b w:val="1"/>
          <w:bCs w:val="1"/>
          <w:color w:val="00B050"/>
        </w:rPr>
        <w:t>Waste Management, Inc. 2014 Stock Incentive Plan</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This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effective as of February 20, 2018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by and</w:t>
      </w:r>
    </w:p>
    <w:p>
      <w:pPr>
        <w:ind w:left="180"/>
        <w:spacing w:after="0" w:line="236" w:lineRule="auto"/>
        <w:rPr>
          <w:sz w:val="20"/>
          <w:szCs w:val="20"/>
          <w:color w:val="auto"/>
        </w:rPr>
      </w:pPr>
      <w:r>
        <w:rPr>
          <w:rFonts w:ascii="Arial" w:cs="Arial" w:eastAsia="Arial" w:hAnsi="Arial"/>
          <w:sz w:val="20"/>
          <w:szCs w:val="20"/>
          <w:color w:val="auto"/>
        </w:rPr>
        <w:t>between Waste Management,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(together with its Subsidiaries and Affiliates,</w:t>
      </w:r>
    </w:p>
    <w:p>
      <w:pPr>
        <w:ind w:left="180"/>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WM</w:t>
      </w:r>
      <w:r>
        <w:rPr>
          <w:rFonts w:ascii="Arial" w:cs="Arial" w:eastAsia="Arial" w:hAnsi="Arial"/>
          <w:sz w:val="20"/>
          <w:szCs w:val="20"/>
          <w:color w:val="auto"/>
        </w:rPr>
        <w:t>”), and you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At all times, the Awards under this Agreement are subject to the terms and conditions of the</w:t>
      </w:r>
    </w:p>
    <w:p>
      <w:pPr>
        <w:ind w:left="180"/>
        <w:spacing w:after="0" w:line="226" w:lineRule="auto"/>
        <w:rPr>
          <w:sz w:val="20"/>
          <w:szCs w:val="20"/>
          <w:color w:val="auto"/>
        </w:rPr>
      </w:pPr>
      <w:r>
        <w:rPr>
          <w:rFonts w:ascii="Arial" w:cs="Arial" w:eastAsia="Arial" w:hAnsi="Arial"/>
          <w:sz w:val="20"/>
          <w:szCs w:val="20"/>
          <w:color w:val="auto"/>
        </w:rPr>
        <w:t>Waste Management, Inc. 2014 Stock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this Agreement, and all applicable administrative</w:t>
      </w:r>
    </w:p>
    <w:p>
      <w:pPr>
        <w:ind w:left="180"/>
        <w:spacing w:after="0" w:line="225" w:lineRule="auto"/>
        <w:rPr>
          <w:sz w:val="20"/>
          <w:szCs w:val="20"/>
          <w:color w:val="auto"/>
        </w:rPr>
      </w:pPr>
      <w:r>
        <w:rPr>
          <w:rFonts w:ascii="Arial" w:cs="Arial" w:eastAsia="Arial" w:hAnsi="Arial"/>
          <w:sz w:val="20"/>
          <w:szCs w:val="20"/>
          <w:color w:val="auto"/>
        </w:rPr>
        <w:t xml:space="preserve">interpretations and practices. A copy of the Plan is available online at </w:t>
      </w:r>
      <w:r>
        <w:rPr>
          <w:rFonts w:ascii="Arial" w:cs="Arial" w:eastAsia="Arial" w:hAnsi="Arial"/>
          <w:sz w:val="20"/>
          <w:szCs w:val="20"/>
          <w:b w:val="1"/>
          <w:bCs w:val="1"/>
          <w:color w:val="00009A"/>
        </w:rPr>
        <w:t>http://visor.wm.com</w:t>
      </w:r>
      <w:r>
        <w:rPr>
          <w:rFonts w:ascii="Arial" w:cs="Arial" w:eastAsia="Arial" w:hAnsi="Arial"/>
          <w:sz w:val="20"/>
          <w:szCs w:val="20"/>
          <w:color w:val="auto"/>
        </w:rPr>
        <w:t xml:space="preserve"> under the Legal tab. Once there,</w:t>
      </w:r>
    </w:p>
    <w:p>
      <w:pPr>
        <w:ind w:left="180"/>
        <w:spacing w:after="0" w:line="237" w:lineRule="auto"/>
        <w:rPr>
          <w:sz w:val="20"/>
          <w:szCs w:val="20"/>
          <w:color w:val="auto"/>
        </w:rPr>
      </w:pPr>
      <w:r>
        <w:rPr>
          <w:rFonts w:ascii="Arial" w:cs="Arial" w:eastAsia="Arial" w:hAnsi="Arial"/>
          <w:sz w:val="19"/>
          <w:szCs w:val="19"/>
          <w:color w:val="auto"/>
        </w:rPr>
        <w:t>scroll to the bottom of the Legal page, then choose Documents, Stock Incentive Plan and choose “2014 Stock Incentive Plan.”</w:t>
      </w:r>
    </w:p>
    <w:p>
      <w:pPr>
        <w:ind w:left="180"/>
        <w:spacing w:after="0" w:line="238" w:lineRule="auto"/>
        <w:rPr>
          <w:sz w:val="20"/>
          <w:szCs w:val="20"/>
          <w:color w:val="auto"/>
        </w:rPr>
      </w:pPr>
      <w:r>
        <w:rPr>
          <w:rFonts w:ascii="Arial" w:cs="Arial" w:eastAsia="Arial" w:hAnsi="Arial"/>
          <w:sz w:val="19"/>
          <w:szCs w:val="19"/>
          <w:color w:val="auto"/>
        </w:rPr>
        <w:t>A description of the Plan appears on the same page under “2014 Stock Incentive Plan Prospectus” (the “Prospectus”). Please</w:t>
      </w:r>
    </w:p>
    <w:p>
      <w:pPr>
        <w:ind w:left="180"/>
        <w:spacing w:after="0" w:line="225" w:lineRule="auto"/>
        <w:rPr>
          <w:sz w:val="20"/>
          <w:szCs w:val="20"/>
          <w:color w:val="auto"/>
        </w:rPr>
      </w:pPr>
      <w:r>
        <w:rPr>
          <w:rFonts w:ascii="Arial" w:cs="Arial" w:eastAsia="Arial" w:hAnsi="Arial"/>
          <w:sz w:val="20"/>
          <w:szCs w:val="20"/>
          <w:color w:val="auto"/>
        </w:rPr>
        <w:t>also see the Company’s Form 10-K included in its most recent Annual Report, available on the Investor Relations page of</w:t>
      </w:r>
    </w:p>
    <w:p>
      <w:pPr>
        <w:ind w:left="180"/>
        <w:spacing w:after="0" w:line="238" w:lineRule="auto"/>
        <w:tabs>
          <w:tab w:leader="none" w:pos="8640" w:val="left"/>
        </w:tabs>
        <w:rPr>
          <w:sz w:val="20"/>
          <w:szCs w:val="20"/>
          <w:color w:val="auto"/>
        </w:rPr>
      </w:pPr>
      <w:r>
        <w:rPr>
          <w:rFonts w:ascii="Arial" w:cs="Arial" w:eastAsia="Arial" w:hAnsi="Arial"/>
          <w:sz w:val="20"/>
          <w:szCs w:val="20"/>
          <w:u w:val="single" w:color="auto"/>
          <w:color w:val="0000FF"/>
        </w:rPr>
        <w:t>www.wm.com</w:t>
      </w:r>
      <w:r>
        <w:rPr>
          <w:rFonts w:ascii="Arial" w:cs="Arial" w:eastAsia="Arial" w:hAnsi="Arial"/>
          <w:sz w:val="20"/>
          <w:szCs w:val="20"/>
          <w:color w:val="0000FF"/>
        </w:rPr>
        <w:t xml:space="preserve"> </w:t>
      </w:r>
      <w:r>
        <w:rPr>
          <w:rFonts w:ascii="Arial" w:cs="Arial" w:eastAsia="Arial" w:hAnsi="Arial"/>
          <w:sz w:val="20"/>
          <w:szCs w:val="20"/>
          <w:color w:val="000000"/>
        </w:rPr>
        <w:t>under Financial Reporting – Annual Reports, for information about the Company.</w:t>
      </w:r>
      <w:r>
        <w:rPr>
          <w:sz w:val="20"/>
          <w:szCs w:val="20"/>
          <w:color w:val="auto"/>
        </w:rPr>
        <w:tab/>
      </w:r>
      <w:r>
        <w:rPr>
          <w:rFonts w:ascii="Arial" w:cs="Arial" w:eastAsia="Arial" w:hAnsi="Arial"/>
          <w:sz w:val="19"/>
          <w:szCs w:val="19"/>
          <w:color w:val="auto"/>
        </w:rPr>
        <w:t>By executing this Agreement,</w:t>
      </w:r>
    </w:p>
    <w:p>
      <w:pPr>
        <w:ind w:left="180"/>
        <w:spacing w:after="0"/>
        <w:rPr>
          <w:sz w:val="20"/>
          <w:szCs w:val="20"/>
          <w:color w:val="auto"/>
        </w:rPr>
      </w:pPr>
      <w:r>
        <w:rPr>
          <w:rFonts w:ascii="Arial" w:cs="Arial" w:eastAsia="Arial" w:hAnsi="Arial"/>
          <w:sz w:val="19"/>
          <w:szCs w:val="19"/>
          <w:color w:val="auto"/>
        </w:rPr>
        <w:t>you consent to receipt of the Plan, the Prospectus, and the Annual Reports by electronic access as set forth in this paragraph.</w:t>
      </w:r>
    </w:p>
    <w:p>
      <w:pPr>
        <w:spacing w:after="0" w:line="190" w:lineRule="exact"/>
        <w:rPr>
          <w:sz w:val="20"/>
          <w:szCs w:val="20"/>
          <w:color w:val="auto"/>
        </w:rPr>
      </w:pPr>
    </w:p>
    <w:p>
      <w:pPr>
        <w:ind w:left="180" w:right="80"/>
        <w:spacing w:after="0" w:line="241" w:lineRule="auto"/>
        <w:rPr>
          <w:sz w:val="20"/>
          <w:szCs w:val="20"/>
          <w:color w:val="auto"/>
        </w:rPr>
      </w:pPr>
      <w:r>
        <w:rPr>
          <w:rFonts w:ascii="Arial" w:cs="Arial" w:eastAsia="Arial" w:hAnsi="Arial"/>
          <w:sz w:val="20"/>
          <w:szCs w:val="20"/>
          <w:b w:val="1"/>
          <w:bCs w:val="1"/>
          <w:u w:val="single" w:color="auto"/>
          <w:color w:val="auto"/>
        </w:rPr>
        <w:t>You must execute this Agreement in full, online in accordance with the instructions below, prior to</w:t>
      </w:r>
      <w:r>
        <w:rPr>
          <w:rFonts w:ascii="Arial" w:cs="Arial" w:eastAsia="Arial" w:hAnsi="Arial"/>
          <w:sz w:val="20"/>
          <w:szCs w:val="20"/>
          <w:b w:val="1"/>
          <w:bCs w:val="1"/>
          <w:color w:val="auto"/>
        </w:rPr>
        <w:t xml:space="preserve"> March 31, 2018</w:t>
      </w:r>
      <w:r>
        <w:rPr>
          <w:rFonts w:ascii="Arial" w:cs="Arial" w:eastAsia="Arial" w:hAnsi="Arial"/>
          <w:sz w:val="20"/>
          <w:szCs w:val="20"/>
          <w:b w:val="1"/>
          <w:bCs w:val="1"/>
          <w:u w:val="single" w:color="auto"/>
          <w:color w:val="auto"/>
        </w:rPr>
        <w:t>, in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order for this Agreement to become effective</w:t>
      </w:r>
      <w:r>
        <w:rPr>
          <w:rFonts w:ascii="Arial" w:cs="Arial" w:eastAsia="Arial" w:hAnsi="Arial"/>
          <w:sz w:val="20"/>
          <w:szCs w:val="20"/>
          <w:b w:val="1"/>
          <w:bCs w:val="1"/>
          <w:color w:val="auto"/>
        </w:rPr>
        <w:t>. If you do not execute this Agreement by correctly following the instructions below, your Awards may be cancelled.</w:t>
      </w:r>
    </w:p>
    <w:p>
      <w:pPr>
        <w:spacing w:after="0" w:line="159"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00B050"/>
        </w:rPr>
        <w:t>Important Instructions for Executing this Agreement</w:t>
      </w:r>
    </w:p>
    <w:p>
      <w:pPr>
        <w:spacing w:after="0" w:line="233" w:lineRule="exact"/>
        <w:rPr>
          <w:sz w:val="20"/>
          <w:szCs w:val="20"/>
          <w:color w:val="auto"/>
        </w:rPr>
      </w:pPr>
    </w:p>
    <w:p>
      <w:pPr>
        <w:ind w:left="180" w:right="40"/>
        <w:spacing w:after="0" w:line="234" w:lineRule="auto"/>
        <w:rPr>
          <w:sz w:val="20"/>
          <w:szCs w:val="20"/>
          <w:color w:val="auto"/>
        </w:rPr>
      </w:pPr>
      <w:r>
        <w:rPr>
          <w:rFonts w:ascii="Arial" w:cs="Arial" w:eastAsia="Arial" w:hAnsi="Arial"/>
          <w:sz w:val="20"/>
          <w:szCs w:val="20"/>
          <w:color w:val="auto"/>
        </w:rPr>
        <w:t xml:space="preserve">If you have previously received a stock-based incentive award, simply log on to </w:t>
      </w:r>
      <w:r>
        <w:rPr>
          <w:rFonts w:ascii="Arial" w:cs="Arial" w:eastAsia="Arial" w:hAnsi="Arial"/>
          <w:sz w:val="20"/>
          <w:szCs w:val="20"/>
          <w:b w:val="1"/>
          <w:bCs w:val="1"/>
          <w:color w:val="00009A"/>
        </w:rPr>
        <w:t>www.mywmtotalrewards.com</w:t>
      </w:r>
      <w:r>
        <w:rPr>
          <w:rFonts w:ascii="Arial" w:cs="Arial" w:eastAsia="Arial" w:hAnsi="Arial"/>
          <w:sz w:val="20"/>
          <w:szCs w:val="20"/>
          <w:color w:val="auto"/>
        </w:rPr>
        <w:t xml:space="preserve"> using your My WM Total Rewards user ID and password. If you have forgotten your user ID or password, there are instructions on the site to help you. Under the “My Compensation” section, click on the link to view your grants at the website maintained by the third party stock administrator appointed by the Company. Follow the online instructions and complete all of the steps required to accept the award.</w:t>
      </w:r>
    </w:p>
    <w:p>
      <w:pPr>
        <w:spacing w:after="0" w:line="199" w:lineRule="exact"/>
        <w:rPr>
          <w:sz w:val="20"/>
          <w:szCs w:val="20"/>
          <w:color w:val="auto"/>
        </w:rPr>
      </w:pPr>
    </w:p>
    <w:p>
      <w:pPr>
        <w:ind w:left="180" w:right="20"/>
        <w:spacing w:after="0"/>
        <w:rPr>
          <w:sz w:val="20"/>
          <w:szCs w:val="20"/>
          <w:color w:val="auto"/>
        </w:rPr>
      </w:pPr>
      <w:r>
        <w:rPr>
          <w:rFonts w:ascii="Arial" w:cs="Arial" w:eastAsia="Arial" w:hAnsi="Arial"/>
          <w:sz w:val="19"/>
          <w:szCs w:val="19"/>
          <w:color w:val="auto"/>
        </w:rPr>
        <w:t xml:space="preserve">If you are a new Plan participant, you must open a Limited Individual Investor Account (LIIA) before you can accept your awards. This account is separate from any other brokerage account you may have at the third party stock administrator. To open your LIIA, log on to </w:t>
      </w:r>
      <w:r>
        <w:rPr>
          <w:rFonts w:ascii="Arial" w:cs="Arial" w:eastAsia="Arial" w:hAnsi="Arial"/>
          <w:sz w:val="19"/>
          <w:szCs w:val="19"/>
          <w:b w:val="1"/>
          <w:bCs w:val="1"/>
          <w:color w:val="00009A"/>
        </w:rPr>
        <w:t>www.mywmtotalrewards.com</w:t>
      </w:r>
      <w:r>
        <w:rPr>
          <w:rFonts w:ascii="Arial" w:cs="Arial" w:eastAsia="Arial" w:hAnsi="Arial"/>
          <w:sz w:val="19"/>
          <w:szCs w:val="19"/>
          <w:color w:val="auto"/>
        </w:rPr>
        <w:t xml:space="preserve"> using your My WM Total Rewards user ID and password. If you have forgotten your user ID or password, there are instructions on the site to help you. Under the “My Compensation” section, click on the link to the secure website maintained by the third party stock administrator appointed by the Company. You may also log in directly at </w:t>
      </w:r>
      <w:r>
        <w:rPr>
          <w:rFonts w:ascii="Arial" w:cs="Arial" w:eastAsia="Arial" w:hAnsi="Arial"/>
          <w:sz w:val="19"/>
          <w:szCs w:val="19"/>
          <w:b w:val="1"/>
          <w:bCs w:val="1"/>
          <w:color w:val="00009A"/>
        </w:rPr>
        <w:t>www.benefits.ml.com</w:t>
      </w:r>
      <w:r>
        <w:rPr>
          <w:rFonts w:ascii="Arial" w:cs="Arial" w:eastAsia="Arial" w:hAnsi="Arial"/>
          <w:sz w:val="19"/>
          <w:szCs w:val="19"/>
          <w:color w:val="auto"/>
        </w:rPr>
        <w:t>. Once logged in, follow the prompts to “Open a Brokerage Account”. When you have successfully created your account, follow the online instructions and complete all of the steps required to accept the award.</w:t>
      </w:r>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00B050"/>
        </w:rPr>
        <w:t>Performance Share Units</w:t>
      </w:r>
    </w:p>
    <w:p>
      <w:pPr>
        <w:spacing w:after="0" w:line="233" w:lineRule="exact"/>
        <w:rPr>
          <w:sz w:val="20"/>
          <w:szCs w:val="20"/>
          <w:color w:val="auto"/>
        </w:rPr>
      </w:pPr>
    </w:p>
    <w:p>
      <w:pPr>
        <w:ind w:left="500" w:right="80" w:hanging="322"/>
        <w:spacing w:after="0" w:line="237" w:lineRule="auto"/>
        <w:tabs>
          <w:tab w:leader="none" w:pos="521"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PSU Grant</w:t>
      </w:r>
      <w:r>
        <w:rPr>
          <w:rFonts w:ascii="Arial" w:cs="Arial" w:eastAsia="Arial" w:hAnsi="Arial"/>
          <w:sz w:val="20"/>
          <w:szCs w:val="20"/>
          <w:color w:val="auto"/>
        </w:rPr>
        <w:t>. The Company grants to Employee a Performance Share Unit Award (a “</w:t>
      </w:r>
      <w:r>
        <w:rPr>
          <w:rFonts w:ascii="Arial" w:cs="Arial" w:eastAsia="Arial" w:hAnsi="Arial"/>
          <w:sz w:val="20"/>
          <w:szCs w:val="20"/>
          <w:b w:val="1"/>
          <w:bCs w:val="1"/>
          <w:i w:val="1"/>
          <w:iCs w:val="1"/>
          <w:color w:val="auto"/>
        </w:rPr>
        <w:t>PSU Award</w:t>
      </w:r>
      <w:r>
        <w:rPr>
          <w:rFonts w:ascii="Arial" w:cs="Arial" w:eastAsia="Arial" w:hAnsi="Arial"/>
          <w:sz w:val="20"/>
          <w:szCs w:val="20"/>
          <w:color w:val="auto"/>
        </w:rPr>
        <w:t>”), as provided in the Notice of Long-Term Incentive Award dated February 20, 2018 (the “</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Each Performance Share Unit (“</w:t>
      </w:r>
      <w:r>
        <w:rPr>
          <w:rFonts w:ascii="Arial" w:cs="Arial" w:eastAsia="Arial" w:hAnsi="Arial"/>
          <w:sz w:val="20"/>
          <w:szCs w:val="20"/>
          <w:b w:val="1"/>
          <w:bCs w:val="1"/>
          <w:i w:val="1"/>
          <w:iCs w:val="1"/>
          <w:color w:val="auto"/>
        </w:rPr>
        <w:t>PSU</w:t>
      </w:r>
      <w:r>
        <w:rPr>
          <w:rFonts w:ascii="Arial" w:cs="Arial" w:eastAsia="Arial" w:hAnsi="Arial"/>
          <w:sz w:val="20"/>
          <w:szCs w:val="20"/>
          <w:color w:val="auto"/>
        </w:rPr>
        <w:t>”) is a notational unit of measurement denominated in shares of common stock of the Company, $.01 par value (“</w:t>
      </w:r>
      <w:r>
        <w:rPr>
          <w:rFonts w:ascii="Arial" w:cs="Arial" w:eastAsia="Arial" w:hAnsi="Arial"/>
          <w:sz w:val="20"/>
          <w:szCs w:val="20"/>
          <w:b w:val="1"/>
          <w:bCs w:val="1"/>
          <w:i w:val="1"/>
          <w:iCs w:val="1"/>
          <w:color w:val="auto"/>
        </w:rPr>
        <w:t>Common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Stock</w:t>
      </w:r>
      <w:r>
        <w:rPr>
          <w:rFonts w:ascii="Arial" w:cs="Arial" w:eastAsia="Arial" w:hAnsi="Arial"/>
          <w:sz w:val="20"/>
          <w:szCs w:val="20"/>
          <w:color w:val="auto"/>
        </w:rPr>
        <w:t>”).</w:t>
      </w:r>
    </w:p>
    <w:p>
      <w:pPr>
        <w:spacing w:after="0" w:line="196"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730885</wp:posOffset>
            </wp:positionV>
            <wp:extent cx="7246620" cy="2162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16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hanging="342"/>
        <w:spacing w:after="0"/>
        <w:tabs>
          <w:tab w:leader="none" w:pos="520"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PSU Metrics.</w:t>
      </w:r>
    </w:p>
    <w:p>
      <w:pPr>
        <w:spacing w:after="0" w:line="178" w:lineRule="exact"/>
        <w:rPr>
          <w:rFonts w:ascii="Arial" w:cs="Arial" w:eastAsia="Arial" w:hAnsi="Arial"/>
          <w:sz w:val="20"/>
          <w:szCs w:val="20"/>
          <w:color w:val="auto"/>
        </w:rPr>
      </w:pPr>
    </w:p>
    <w:p>
      <w:pPr>
        <w:ind w:left="820" w:right="20" w:hanging="318"/>
        <w:spacing w:after="0" w:line="234" w:lineRule="auto"/>
        <w:tabs>
          <w:tab w:leader="none" w:pos="841"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Performance Period</w:t>
      </w:r>
      <w:r>
        <w:rPr>
          <w:rFonts w:ascii="Arial" w:cs="Arial" w:eastAsia="Arial" w:hAnsi="Arial"/>
          <w:sz w:val="20"/>
          <w:szCs w:val="20"/>
          <w:i w:val="1"/>
          <w:iCs w:val="1"/>
          <w:color w:val="auto"/>
        </w:rPr>
        <w:t>”</w:t>
      </w:r>
      <w:r>
        <w:rPr>
          <w:rFonts w:ascii="Arial" w:cs="Arial" w:eastAsia="Arial" w:hAnsi="Arial"/>
          <w:sz w:val="20"/>
          <w:szCs w:val="20"/>
          <w:color w:val="auto"/>
        </w:rPr>
        <w:t xml:space="preserve"> for this PSU Award is the 36-month period beginning January 1, 2018, and ending on December 31, 2020. Vesting and payout of your PSU Award is based upon the level of achievement of the </w:t>
      </w:r>
      <w:r>
        <w:rPr>
          <w:rFonts w:ascii="Arial" w:cs="Arial" w:eastAsia="Arial" w:hAnsi="Arial"/>
          <w:sz w:val="20"/>
          <w:szCs w:val="20"/>
          <w:b w:val="1"/>
          <w:bCs w:val="1"/>
          <w:i w:val="1"/>
          <w:iCs w:val="1"/>
          <w:color w:val="auto"/>
        </w:rPr>
        <w:t xml:space="preserve">Performance Goals </w:t>
      </w:r>
      <w:r>
        <w:rPr>
          <w:rFonts w:ascii="Arial" w:cs="Arial" w:eastAsia="Arial" w:hAnsi="Arial"/>
          <w:sz w:val="20"/>
          <w:szCs w:val="20"/>
          <w:color w:val="auto"/>
        </w:rPr>
        <w:t>that have been set by the Management Development and Compensation Committee of the Board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Directors of the Company (the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The Performance Goals set by the Committee for your PSU Awards are described in paragraph 3 below.</w:t>
      </w:r>
    </w:p>
    <w:p>
      <w:pPr>
        <w:spacing w:after="0" w:line="199" w:lineRule="exact"/>
        <w:rPr>
          <w:rFonts w:ascii="Arial" w:cs="Arial" w:eastAsia="Arial" w:hAnsi="Arial"/>
          <w:sz w:val="20"/>
          <w:szCs w:val="20"/>
          <w:color w:val="auto"/>
        </w:rPr>
      </w:pPr>
    </w:p>
    <w:p>
      <w:pPr>
        <w:ind w:left="820" w:right="140" w:hanging="318"/>
        <w:spacing w:after="0" w:line="229" w:lineRule="auto"/>
        <w:tabs>
          <w:tab w:leader="none" w:pos="841" w:val="left"/>
        </w:tabs>
        <w:numPr>
          <w:ilvl w:val="1"/>
          <w:numId w:val="14"/>
        </w:numPr>
        <w:rPr>
          <w:rFonts w:ascii="Arial" w:cs="Arial" w:eastAsia="Arial" w:hAnsi="Arial"/>
          <w:sz w:val="20"/>
          <w:szCs w:val="20"/>
          <w:color w:val="auto"/>
        </w:rPr>
      </w:pPr>
      <w:r>
        <w:rPr>
          <w:rFonts w:ascii="Arial" w:cs="Arial" w:eastAsia="Arial" w:hAnsi="Arial"/>
          <w:sz w:val="20"/>
          <w:szCs w:val="20"/>
          <w:color w:val="auto"/>
        </w:rPr>
        <w:t xml:space="preserve">The performance measure selected by the Committee to serve as the Performance Goal for half (50%) of your Target PSU Award is </w:t>
      </w:r>
      <w:r>
        <w:rPr>
          <w:rFonts w:ascii="Arial" w:cs="Arial" w:eastAsia="Arial" w:hAnsi="Arial"/>
          <w:sz w:val="20"/>
          <w:szCs w:val="20"/>
          <w:b w:val="1"/>
          <w:bCs w:val="1"/>
          <w:i w:val="1"/>
          <w:iCs w:val="1"/>
          <w:color w:val="auto"/>
        </w:rPr>
        <w:t>Adjusted Free Cash Flow</w:t>
      </w:r>
      <w:r>
        <w:rPr>
          <w:rFonts w:ascii="Arial" w:cs="Arial" w:eastAsia="Arial" w:hAnsi="Arial"/>
          <w:sz w:val="20"/>
          <w:szCs w:val="20"/>
          <w:color w:val="auto"/>
        </w:rPr>
        <w:t xml:space="preserve"> (defined in paragraph 2.c. below). The performance measure selected by the Committee to serve as the Performance Goal for the other half (50%) of your Target PSU Award is </w:t>
      </w:r>
      <w:r>
        <w:rPr>
          <w:rFonts w:ascii="Arial" w:cs="Arial" w:eastAsia="Arial" w:hAnsi="Arial"/>
          <w:sz w:val="20"/>
          <w:szCs w:val="20"/>
          <w:b w:val="1"/>
          <w:bCs w:val="1"/>
          <w:i w:val="1"/>
          <w:iCs w:val="1"/>
          <w:color w:val="auto"/>
        </w:rPr>
        <w:t>Total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Shareholder Return Relative to the S&amp;P 500</w:t>
      </w:r>
      <w:r>
        <w:rPr>
          <w:rFonts w:ascii="Arial" w:cs="Arial" w:eastAsia="Arial" w:hAnsi="Arial"/>
          <w:sz w:val="20"/>
          <w:szCs w:val="20"/>
          <w:color w:val="auto"/>
        </w:rPr>
        <w:t>, or “</w:t>
      </w:r>
      <w:r>
        <w:rPr>
          <w:rFonts w:ascii="Arial" w:cs="Arial" w:eastAsia="Arial" w:hAnsi="Arial"/>
          <w:sz w:val="20"/>
          <w:szCs w:val="20"/>
          <w:b w:val="1"/>
          <w:bCs w:val="1"/>
          <w:i w:val="1"/>
          <w:iCs w:val="1"/>
          <w:color w:val="auto"/>
        </w:rPr>
        <w:t>TSR</w:t>
      </w:r>
      <w:r>
        <w:rPr>
          <w:rFonts w:ascii="Arial" w:cs="Arial" w:eastAsia="Arial" w:hAnsi="Arial"/>
          <w:sz w:val="20"/>
          <w:szCs w:val="20"/>
          <w:color w:val="auto"/>
        </w:rPr>
        <w:t>” (as defined in paragraph 2.d. below). To determine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payout (if any) under your PSU Award, the Committee will determine the level of the Performance Goal reached (“</w:t>
      </w:r>
      <w:r>
        <w:rPr>
          <w:rFonts w:ascii="Arial" w:cs="Arial" w:eastAsia="Arial" w:hAnsi="Arial"/>
          <w:sz w:val="20"/>
          <w:szCs w:val="20"/>
          <w:b w:val="1"/>
          <w:bCs w:val="1"/>
          <w:i w:val="1"/>
          <w:iCs w:val="1"/>
          <w:color w:val="auto"/>
        </w:rPr>
        <w:t>Achievement</w:t>
      </w:r>
      <w:r>
        <w:rPr>
          <w:rFonts w:ascii="Arial" w:cs="Arial" w:eastAsia="Arial" w:hAnsi="Arial"/>
          <w:sz w:val="20"/>
          <w:szCs w:val="20"/>
          <w:color w:val="auto"/>
        </w:rPr>
        <w:t>”) and the corresponding payout percentage applicable to each half of your Target PSU Award under</w:t>
      </w:r>
    </w:p>
    <w:p>
      <w:pPr>
        <w:sectPr>
          <w:pgSz w:w="11900" w:h="16838" w:orient="portrait"/>
          <w:cols w:equalWidth="0" w:num="1">
            <w:col w:w="11240"/>
          </w:cols>
          <w:pgMar w:left="240" w:top="140" w:right="419" w:bottom="0" w:gutter="0" w:footer="0" w:header="0"/>
        </w:sectPr>
      </w:pPr>
    </w:p>
    <w:bookmarkStart w:id="21" w:name="page22"/>
    <w:bookmarkEnd w:id="21"/>
    <w:p>
      <w:pPr>
        <w:spacing w:after="0" w:line="62" w:lineRule="exact"/>
        <w:rPr>
          <w:sz w:val="20"/>
          <w:szCs w:val="20"/>
          <w:color w:val="auto"/>
        </w:rPr>
      </w:pPr>
    </w:p>
    <w:p>
      <w:pPr>
        <w:ind w:left="520" w:right="420"/>
        <w:spacing w:after="0" w:line="232" w:lineRule="auto"/>
        <w:rPr>
          <w:sz w:val="20"/>
          <w:szCs w:val="20"/>
          <w:color w:val="auto"/>
        </w:rPr>
      </w:pPr>
      <w:r>
        <w:rPr>
          <w:rFonts w:ascii="Arial" w:cs="Arial" w:eastAsia="Arial" w:hAnsi="Arial"/>
          <w:sz w:val="20"/>
          <w:szCs w:val="20"/>
          <w:color w:val="auto"/>
        </w:rPr>
        <w:t>paragraph 3 below. The Committee’s determinations, and the related calculations, including the calculation of Adjusted Free Cash Flow and TSR, are made by, and in the sole discretion of, the Committee, and are final and not subject to appeal.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-420370</wp:posOffset>
            </wp:positionV>
            <wp:extent cx="7246620" cy="5505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5505450"/>
                    </a:xfrm>
                    <a:prstGeom prst="rect">
                      <a:avLst/>
                    </a:prstGeom>
                    <a:noFill/>
                  </pic:spPr>
                </pic:pic>
              </a:graphicData>
            </a:graphic>
          </wp:anchor>
        </w:drawing>
      </w:r>
    </w:p>
    <w:p>
      <w:pPr>
        <w:spacing w:after="0" w:line="154" w:lineRule="exact"/>
        <w:rPr>
          <w:sz w:val="20"/>
          <w:szCs w:val="20"/>
          <w:color w:val="auto"/>
        </w:rPr>
      </w:pPr>
    </w:p>
    <w:p>
      <w:pPr>
        <w:ind w:left="520" w:right="160" w:hanging="318"/>
        <w:spacing w:after="0" w:line="238" w:lineRule="auto"/>
        <w:tabs>
          <w:tab w:leader="none" w:pos="530" w:val="left"/>
        </w:tabs>
        <w:numPr>
          <w:ilvl w:val="0"/>
          <w:numId w:val="1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Adjusted Free Cash Flow </w:t>
      </w:r>
      <w:r>
        <w:rPr>
          <w:rFonts w:ascii="Arial" w:cs="Arial" w:eastAsia="Arial" w:hAnsi="Arial"/>
          <w:sz w:val="20"/>
          <w:szCs w:val="20"/>
          <w:color w:val="auto"/>
        </w:rPr>
        <w:t>is the cash flow provided by operating activities of WM for the Performance Period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following adjustments:</w:t>
      </w:r>
    </w:p>
    <w:p>
      <w:pPr>
        <w:ind w:left="1080" w:hanging="294"/>
        <w:spacing w:after="0" w:line="225" w:lineRule="auto"/>
        <w:tabs>
          <w:tab w:leader="none" w:pos="1080" w:val="left"/>
        </w:tabs>
        <w:numPr>
          <w:ilvl w:val="1"/>
          <w:numId w:val="15"/>
        </w:numPr>
        <w:rPr>
          <w:rFonts w:ascii="Arial" w:cs="Arial" w:eastAsia="Arial" w:hAnsi="Arial"/>
          <w:sz w:val="20"/>
          <w:szCs w:val="20"/>
          <w:color w:val="auto"/>
        </w:rPr>
      </w:pPr>
      <w:r>
        <w:rPr>
          <w:rFonts w:ascii="Arial" w:cs="Arial" w:eastAsia="Arial" w:hAnsi="Arial"/>
          <w:sz w:val="20"/>
          <w:szCs w:val="20"/>
          <w:color w:val="auto"/>
        </w:rPr>
        <w:t>Capital expenditures are excluded;</w:t>
      </w:r>
    </w:p>
    <w:p>
      <w:pPr>
        <w:jc w:val="both"/>
        <w:ind w:left="1080" w:right="420" w:hanging="294"/>
        <w:spacing w:after="0" w:line="225" w:lineRule="auto"/>
        <w:tabs>
          <w:tab w:leader="none" w:pos="1087" w:val="left"/>
        </w:tabs>
        <w:numPr>
          <w:ilvl w:val="1"/>
          <w:numId w:val="15"/>
        </w:numPr>
        <w:rPr>
          <w:rFonts w:ascii="Arial" w:cs="Arial" w:eastAsia="Arial" w:hAnsi="Arial"/>
          <w:sz w:val="20"/>
          <w:szCs w:val="20"/>
          <w:color w:val="auto"/>
        </w:rPr>
      </w:pPr>
      <w:r>
        <w:rPr>
          <w:rFonts w:ascii="Arial" w:cs="Arial" w:eastAsia="Arial" w:hAnsi="Arial"/>
          <w:sz w:val="20"/>
          <w:szCs w:val="20"/>
          <w:color w:val="auto"/>
        </w:rPr>
        <w:t>Payments related to costs (including legal costs) associated with labor disruptions (e.g., strikes) and actual or potential multiemployer plan withdrawal liability(ies) are excluded as expenditures required as a result of past labor commitments combined with changing economic conditions of the present business climate;</w:t>
      </w:r>
    </w:p>
    <w:p>
      <w:pPr>
        <w:spacing w:after="0" w:line="1" w:lineRule="exact"/>
        <w:rPr>
          <w:rFonts w:ascii="Arial" w:cs="Arial" w:eastAsia="Arial" w:hAnsi="Arial"/>
          <w:sz w:val="20"/>
          <w:szCs w:val="20"/>
          <w:color w:val="auto"/>
        </w:rPr>
      </w:pPr>
    </w:p>
    <w:p>
      <w:pPr>
        <w:ind w:left="1080" w:right="220" w:hanging="294"/>
        <w:spacing w:after="0" w:line="225" w:lineRule="auto"/>
        <w:tabs>
          <w:tab w:leader="none" w:pos="1076" w:val="left"/>
        </w:tabs>
        <w:numPr>
          <w:ilvl w:val="1"/>
          <w:numId w:val="15"/>
        </w:numPr>
        <w:rPr>
          <w:rFonts w:ascii="Arial" w:cs="Arial" w:eastAsia="Arial" w:hAnsi="Arial"/>
          <w:sz w:val="20"/>
          <w:szCs w:val="20"/>
          <w:color w:val="auto"/>
        </w:rPr>
      </w:pPr>
      <w:r>
        <w:rPr>
          <w:rFonts w:ascii="Arial" w:cs="Arial" w:eastAsia="Arial" w:hAnsi="Arial"/>
          <w:sz w:val="20"/>
          <w:szCs w:val="20"/>
          <w:color w:val="auto"/>
        </w:rPr>
        <w:t>Strategic acquisition, restructuring, transformation and reorganization costs are excluded in recognition of WM’s goals to increase customer and business base while minimizing operating costs; and</w:t>
      </w:r>
    </w:p>
    <w:p>
      <w:pPr>
        <w:ind w:left="1040" w:hanging="254"/>
        <w:spacing w:after="0"/>
        <w:tabs>
          <w:tab w:leader="none" w:pos="1040" w:val="left"/>
        </w:tabs>
        <w:numPr>
          <w:ilvl w:val="1"/>
          <w:numId w:val="15"/>
        </w:numPr>
        <w:rPr>
          <w:rFonts w:ascii="Arial" w:cs="Arial" w:eastAsia="Arial" w:hAnsi="Arial"/>
          <w:sz w:val="20"/>
          <w:szCs w:val="20"/>
          <w:color w:val="auto"/>
        </w:rPr>
      </w:pPr>
      <w:r>
        <w:rPr>
          <w:rFonts w:ascii="Arial" w:cs="Arial" w:eastAsia="Arial" w:hAnsi="Arial"/>
          <w:sz w:val="20"/>
          <w:szCs w:val="20"/>
          <w:color w:val="auto"/>
        </w:rPr>
        <w:t>Cash proceeds from the divestiture of businesses and other assets are included.</w:t>
      </w:r>
    </w:p>
    <w:p>
      <w:pPr>
        <w:spacing w:after="0" w:line="202" w:lineRule="exact"/>
        <w:rPr>
          <w:sz w:val="20"/>
          <w:szCs w:val="20"/>
          <w:color w:val="auto"/>
        </w:rPr>
      </w:pPr>
    </w:p>
    <w:p>
      <w:pPr>
        <w:ind w:left="520" w:right="120"/>
        <w:spacing w:after="0" w:line="232" w:lineRule="auto"/>
        <w:rPr>
          <w:sz w:val="20"/>
          <w:szCs w:val="20"/>
          <w:color w:val="auto"/>
        </w:rPr>
      </w:pPr>
      <w:r>
        <w:rPr>
          <w:rFonts w:ascii="Arial" w:cs="Arial" w:eastAsia="Arial" w:hAnsi="Arial"/>
          <w:sz w:val="20"/>
          <w:szCs w:val="20"/>
          <w:color w:val="auto"/>
        </w:rPr>
        <w:t xml:space="preserve">The Committee, solely in its discretion, is permitted to make other adjustments to reflect management’s performance consistent with maximizing shareholder value;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other adjustments shall not reduce the Adjusted Free Cash Flow amount.</w:t>
      </w:r>
    </w:p>
    <w:p>
      <w:pPr>
        <w:spacing w:after="0" w:line="173" w:lineRule="exact"/>
        <w:rPr>
          <w:sz w:val="20"/>
          <w:szCs w:val="20"/>
          <w:color w:val="auto"/>
        </w:rPr>
      </w:pPr>
    </w:p>
    <w:p>
      <w:pPr>
        <w:ind w:left="520" w:right="640" w:hanging="318"/>
        <w:spacing w:after="0" w:line="238" w:lineRule="auto"/>
        <w:tabs>
          <w:tab w:leader="none" w:pos="541" w:val="left"/>
        </w:tabs>
        <w:numPr>
          <w:ilvl w:val="0"/>
          <w:numId w:val="1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Total Shareholder Return Relative to the S&amp;P 500 or “TSR” </w:t>
      </w:r>
      <w:r>
        <w:rPr>
          <w:rFonts w:ascii="Arial" w:cs="Arial" w:eastAsia="Arial" w:hAnsi="Arial"/>
          <w:sz w:val="20"/>
          <w:szCs w:val="20"/>
          <w:color w:val="auto"/>
        </w:rPr>
        <w:t>is the percentile performance of the Company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compared to the other S&amp;P 500 Companies for the Performance Period. For these purposes:</w:t>
      </w:r>
    </w:p>
    <w:p>
      <w:pPr>
        <w:jc w:val="both"/>
        <w:ind w:left="1140" w:right="180" w:hanging="290"/>
        <w:spacing w:after="0" w:line="225" w:lineRule="auto"/>
        <w:tabs>
          <w:tab w:leader="none" w:pos="1174" w:val="left"/>
        </w:tabs>
        <w:numPr>
          <w:ilvl w:val="1"/>
          <w:numId w:val="1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S&amp;P 500 Companies </w:t>
      </w:r>
      <w:r>
        <w:rPr>
          <w:rFonts w:ascii="Arial" w:cs="Arial" w:eastAsia="Arial" w:hAnsi="Arial"/>
          <w:sz w:val="20"/>
          <w:szCs w:val="20"/>
          <w:color w:val="auto"/>
        </w:rPr>
        <w:t>means all of the entities listed on the Standard &amp; Poor’s 500 Composite Index, including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Company, on the date which is 30 trading days prior to the commencement of the Performance Period, with the following modifications:</w:t>
      </w:r>
    </w:p>
    <w:p>
      <w:pPr>
        <w:spacing w:after="0" w:line="1" w:lineRule="exact"/>
        <w:rPr>
          <w:rFonts w:ascii="Arial" w:cs="Arial" w:eastAsia="Arial" w:hAnsi="Arial"/>
          <w:sz w:val="20"/>
          <w:szCs w:val="20"/>
          <w:color w:val="auto"/>
        </w:rPr>
      </w:pPr>
    </w:p>
    <w:p>
      <w:pPr>
        <w:ind w:left="1140" w:right="340" w:firstLine="268"/>
        <w:spacing w:after="0" w:line="225" w:lineRule="auto"/>
        <w:tabs>
          <w:tab w:leader="none" w:pos="1691" w:val="left"/>
        </w:tabs>
        <w:numPr>
          <w:ilvl w:val="2"/>
          <w:numId w:val="16"/>
        </w:numPr>
        <w:rPr>
          <w:rFonts w:ascii="Arial" w:cs="Arial" w:eastAsia="Arial" w:hAnsi="Arial"/>
          <w:sz w:val="20"/>
          <w:szCs w:val="20"/>
          <w:color w:val="auto"/>
        </w:rPr>
      </w:pPr>
      <w:r>
        <w:rPr>
          <w:rFonts w:ascii="Arial" w:cs="Arial" w:eastAsia="Arial" w:hAnsi="Arial"/>
          <w:sz w:val="20"/>
          <w:szCs w:val="20"/>
          <w:color w:val="auto"/>
        </w:rPr>
        <w:t xml:space="preserve">except as provided in paragraph 2.d.i.B. below, only those entities that continue to trade throughout the Performance Period without interruption on a </w:t>
      </w:r>
      <w:r>
        <w:rPr>
          <w:rFonts w:ascii="Arial" w:cs="Arial" w:eastAsia="Arial" w:hAnsi="Arial"/>
          <w:sz w:val="20"/>
          <w:szCs w:val="20"/>
          <w:b w:val="1"/>
          <w:bCs w:val="1"/>
          <w:i w:val="1"/>
          <w:iCs w:val="1"/>
          <w:color w:val="auto"/>
        </w:rPr>
        <w:t>National Exchange</w:t>
      </w:r>
      <w:r>
        <w:rPr>
          <w:rFonts w:ascii="Arial" w:cs="Arial" w:eastAsia="Arial" w:hAnsi="Arial"/>
          <w:sz w:val="20"/>
          <w:szCs w:val="20"/>
          <w:color w:val="auto"/>
        </w:rPr>
        <w:t xml:space="preserve"> shall be included; and</w:t>
      </w:r>
    </w:p>
    <w:p>
      <w:pPr>
        <w:ind w:left="1140" w:right="100" w:firstLine="268"/>
        <w:spacing w:after="0" w:line="225" w:lineRule="auto"/>
        <w:tabs>
          <w:tab w:leader="none" w:pos="1691" w:val="left"/>
        </w:tabs>
        <w:numPr>
          <w:ilvl w:val="2"/>
          <w:numId w:val="16"/>
        </w:numPr>
        <w:rPr>
          <w:rFonts w:ascii="Arial" w:cs="Arial" w:eastAsia="Arial" w:hAnsi="Arial"/>
          <w:sz w:val="20"/>
          <w:szCs w:val="20"/>
          <w:color w:val="auto"/>
        </w:rPr>
      </w:pPr>
      <w:r>
        <w:rPr>
          <w:rFonts w:ascii="Arial" w:cs="Arial" w:eastAsia="Arial" w:hAnsi="Arial"/>
          <w:sz w:val="20"/>
          <w:szCs w:val="20"/>
          <w:color w:val="auto"/>
        </w:rPr>
        <w:t>any such entity that files for bankruptcy (“Bankrupt Peer”) during the Performance Period shall continue to be included.</w:t>
      </w:r>
    </w:p>
    <w:p>
      <w:pPr>
        <w:ind w:left="1140" w:right="360"/>
        <w:spacing w:after="0" w:line="225" w:lineRule="auto"/>
        <w:rPr>
          <w:rFonts w:ascii="Arial" w:cs="Arial" w:eastAsia="Arial" w:hAnsi="Arial"/>
          <w:sz w:val="20"/>
          <w:szCs w:val="20"/>
          <w:color w:val="auto"/>
        </w:rPr>
      </w:pPr>
      <w:r>
        <w:rPr>
          <w:rFonts w:ascii="Arial" w:cs="Arial" w:eastAsia="Arial" w:hAnsi="Arial"/>
          <w:sz w:val="20"/>
          <w:szCs w:val="20"/>
          <w:color w:val="auto"/>
        </w:rPr>
        <w:t>For these purposes “</w:t>
      </w:r>
      <w:r>
        <w:rPr>
          <w:rFonts w:ascii="Arial" w:cs="Arial" w:eastAsia="Arial" w:hAnsi="Arial"/>
          <w:sz w:val="20"/>
          <w:szCs w:val="20"/>
          <w:b w:val="1"/>
          <w:bCs w:val="1"/>
          <w:i w:val="1"/>
          <w:iCs w:val="1"/>
          <w:color w:val="auto"/>
        </w:rPr>
        <w:t>National Exchange</w:t>
      </w:r>
      <w:r>
        <w:rPr>
          <w:rFonts w:ascii="Arial" w:cs="Arial" w:eastAsia="Arial" w:hAnsi="Arial"/>
          <w:sz w:val="20"/>
          <w:szCs w:val="20"/>
          <w:color w:val="auto"/>
        </w:rPr>
        <w:t>” shall mean a securities exchange that has registered with the SEC under Section 6 of the Securities Exchange Act of 1934.</w:t>
      </w:r>
    </w:p>
    <w:p>
      <w:pPr>
        <w:ind w:left="1140" w:right="100" w:hanging="290"/>
        <w:spacing w:after="0" w:line="228" w:lineRule="auto"/>
        <w:tabs>
          <w:tab w:leader="none" w:pos="1187" w:val="left"/>
        </w:tabs>
        <w:numPr>
          <w:ilvl w:val="1"/>
          <w:numId w:val="1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Total Shareholder Return </w:t>
      </w:r>
      <w:r>
        <w:rPr>
          <w:rFonts w:ascii="Arial" w:cs="Arial" w:eastAsia="Arial" w:hAnsi="Arial"/>
          <w:sz w:val="20"/>
          <w:szCs w:val="20"/>
          <w:color w:val="auto"/>
        </w:rPr>
        <w:t>is the result of dividing (1) the sum of the cumulative value of an entity’s dividends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the Performance Period, plus the entity’s Ending Price, minus the Beginning Price, by (2)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The aggregate shares, or fractional shares thereof, that will be assumed to be purchased as part of the reinvestment calculation will be multiplied by the Ending Price to determine the cumulative value of an entity’s dividends for the Performance Period. For these purposes:</w:t>
      </w:r>
    </w:p>
    <w:p>
      <w:pPr>
        <w:spacing w:after="0" w:line="197"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351790</wp:posOffset>
            </wp:positionV>
            <wp:extent cx="7267575" cy="48063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480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60" w:right="300" w:hanging="485"/>
        <w:spacing w:after="0" w:line="233" w:lineRule="auto"/>
        <w:tabs>
          <w:tab w:leader="none" w:pos="1685" w:val="left"/>
        </w:tabs>
        <w:numPr>
          <w:ilvl w:val="3"/>
          <w:numId w:val="1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Price </w:t>
      </w:r>
      <w:r>
        <w:rPr>
          <w:rFonts w:ascii="Arial" w:cs="Arial" w:eastAsia="Arial" w:hAnsi="Arial"/>
          <w:sz w:val="20"/>
          <w:szCs w:val="20"/>
          <w:color w:val="auto"/>
        </w:rPr>
        <w:t>is the per share closing price, as reported by the Bloomberg L.P. (or any other publicly available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reporting service that the Committee may designate from time to time) of a share or share equivalent on the applicable stock exchange.</w:t>
      </w:r>
    </w:p>
    <w:p>
      <w:pPr>
        <w:spacing w:after="0" w:line="2" w:lineRule="exact"/>
        <w:rPr>
          <w:rFonts w:ascii="Arial" w:cs="Arial" w:eastAsia="Arial" w:hAnsi="Arial"/>
          <w:sz w:val="20"/>
          <w:szCs w:val="20"/>
          <w:color w:val="auto"/>
        </w:rPr>
      </w:pPr>
    </w:p>
    <w:p>
      <w:pPr>
        <w:ind w:left="1660" w:right="440" w:hanging="485"/>
        <w:spacing w:after="0" w:line="225" w:lineRule="auto"/>
        <w:tabs>
          <w:tab w:leader="none" w:pos="1685" w:val="left"/>
        </w:tabs>
        <w:numPr>
          <w:ilvl w:val="3"/>
          <w:numId w:val="1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Beginning Price </w:t>
      </w:r>
      <w:r>
        <w:rPr>
          <w:rFonts w:ascii="Arial" w:cs="Arial" w:eastAsia="Arial" w:hAnsi="Arial"/>
          <w:sz w:val="20"/>
          <w:szCs w:val="20"/>
          <w:color w:val="auto"/>
        </w:rPr>
        <w:t>is the average Price for the period of 20 trading days immediately preceding the first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day of the Performance Period.</w:t>
      </w:r>
    </w:p>
    <w:p>
      <w:pPr>
        <w:ind w:left="1660" w:right="240" w:hanging="485"/>
        <w:spacing w:after="0" w:line="225" w:lineRule="auto"/>
        <w:tabs>
          <w:tab w:leader="none" w:pos="1681" w:val="left"/>
        </w:tabs>
        <w:numPr>
          <w:ilvl w:val="3"/>
          <w:numId w:val="1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Ending Price </w:t>
      </w:r>
      <w:r>
        <w:rPr>
          <w:rFonts w:ascii="Arial" w:cs="Arial" w:eastAsia="Arial" w:hAnsi="Arial"/>
          <w:sz w:val="20"/>
          <w:szCs w:val="20"/>
          <w:color w:val="auto"/>
        </w:rPr>
        <w:t>is the average Price for the period of 20 trading days immediately preceding and including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final day of the Performance Period.</w:t>
      </w:r>
    </w:p>
    <w:p>
      <w:pPr>
        <w:ind w:left="1660" w:right="200" w:hanging="485"/>
        <w:spacing w:after="0" w:line="225" w:lineRule="auto"/>
        <w:tabs>
          <w:tab w:leader="none" w:pos="1681" w:val="left"/>
        </w:tabs>
        <w:numPr>
          <w:ilvl w:val="3"/>
          <w:numId w:val="17"/>
        </w:numPr>
        <w:rPr>
          <w:rFonts w:ascii="Arial" w:cs="Arial" w:eastAsia="Arial" w:hAnsi="Arial"/>
          <w:sz w:val="20"/>
          <w:szCs w:val="20"/>
          <w:color w:val="auto"/>
        </w:rPr>
      </w:pPr>
      <w:r>
        <w:rPr>
          <w:rFonts w:ascii="Arial" w:cs="Arial" w:eastAsia="Arial" w:hAnsi="Arial"/>
          <w:sz w:val="20"/>
          <w:szCs w:val="20"/>
          <w:b w:val="1"/>
          <w:bCs w:val="1"/>
          <w:i w:val="1"/>
          <w:iCs w:val="1"/>
          <w:color w:val="auto"/>
        </w:rPr>
        <w:t>Bankrupt Peer</w:t>
      </w:r>
      <w:r>
        <w:rPr>
          <w:rFonts w:ascii="Arial" w:cs="Arial" w:eastAsia="Arial" w:hAnsi="Arial"/>
          <w:sz w:val="20"/>
          <w:szCs w:val="20"/>
          <w:color w:val="auto"/>
        </w:rPr>
        <w:t>: Notwithstanding anything in the foregoing to the contrary, any Bankrupt Peer shall have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Total Shareholder return of negative one hundred percent (-100%).</w:t>
      </w:r>
    </w:p>
    <w:p>
      <w:pPr>
        <w:ind w:left="1140" w:right="220" w:hanging="290"/>
        <w:spacing w:after="0" w:line="229" w:lineRule="auto"/>
        <w:tabs>
          <w:tab w:leader="none" w:pos="1231" w:val="left"/>
        </w:tabs>
        <w:numPr>
          <w:ilvl w:val="2"/>
          <w:numId w:val="1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Relative TSR Percentile Rank </w:t>
      </w:r>
      <w:r>
        <w:rPr>
          <w:rFonts w:ascii="Arial" w:cs="Arial" w:eastAsia="Arial" w:hAnsi="Arial"/>
          <w:sz w:val="20"/>
          <w:szCs w:val="20"/>
          <w:color w:val="auto"/>
        </w:rPr>
        <w:t>is the percentile performance of the Company as compared to the S&amp;P 500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Companies. Relative TSR Percentile Rank is determined by ranking the Company and all other S&amp;P 500 Companies according to their respective Total Shareholder Return for the Performance Period. The ranking is in order from minimum-to-maximum, with the lowest performing entity assigned a rank of one. The Company’s ranking is then divided by the total number of entities within the S&amp;P 500 Companies to get the Relative TSR Percentile Rank.</w:t>
      </w:r>
    </w:p>
    <w:p>
      <w:pPr>
        <w:spacing w:after="0" w:line="195" w:lineRule="exact"/>
        <w:rPr>
          <w:rFonts w:ascii="Arial" w:cs="Arial" w:eastAsia="Arial" w:hAnsi="Arial"/>
          <w:sz w:val="20"/>
          <w:szCs w:val="20"/>
          <w:color w:val="auto"/>
        </w:rPr>
      </w:pPr>
    </w:p>
    <w:p>
      <w:pPr>
        <w:ind w:left="360" w:hanging="352"/>
        <w:spacing w:after="0"/>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PSU Payout Percentage</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ind w:left="700" w:right="120" w:hanging="368"/>
        <w:spacing w:after="0" w:line="258" w:lineRule="auto"/>
        <w:tabs>
          <w:tab w:leader="none" w:pos="727" w:val="left"/>
        </w:tabs>
        <w:numPr>
          <w:ilvl w:val="1"/>
          <w:numId w:val="19"/>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i w:val="1"/>
          <w:iCs w:val="1"/>
          <w:color w:val="auto"/>
        </w:rPr>
        <w:t>Performance Goals</w:t>
      </w:r>
      <w:r>
        <w:rPr>
          <w:rFonts w:ascii="Arial" w:cs="Arial" w:eastAsia="Arial" w:hAnsi="Arial"/>
          <w:sz w:val="20"/>
          <w:szCs w:val="20"/>
          <w:color w:val="auto"/>
        </w:rPr>
        <w:t xml:space="preserve"> are the levels of performance set by the Committee on the Grant Date with respect to each measure of performance.</w:t>
      </w:r>
    </w:p>
    <w:p>
      <w:pPr>
        <w:spacing w:after="0" w:line="153" w:lineRule="exact"/>
        <w:rPr>
          <w:rFonts w:ascii="Arial" w:cs="Arial" w:eastAsia="Arial" w:hAnsi="Arial"/>
          <w:sz w:val="20"/>
          <w:szCs w:val="20"/>
          <w:color w:val="auto"/>
        </w:rPr>
      </w:pPr>
    </w:p>
    <w:p>
      <w:pPr>
        <w:ind w:left="700" w:right="200" w:hanging="368"/>
        <w:spacing w:after="0" w:line="237" w:lineRule="auto"/>
        <w:tabs>
          <w:tab w:leader="none" w:pos="727" w:val="left"/>
        </w:tabs>
        <w:numPr>
          <w:ilvl w:val="1"/>
          <w:numId w:val="19"/>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Target PSU Award</w:t>
      </w:r>
      <w:r>
        <w:rPr>
          <w:rFonts w:ascii="Arial" w:cs="Arial" w:eastAsia="Arial" w:hAnsi="Arial"/>
          <w:sz w:val="20"/>
          <w:szCs w:val="20"/>
          <w:color w:val="auto"/>
        </w:rPr>
        <w:t>” for this Agreement is based on the target number of PSUs granted by the Committee and announced in the Notice. If Achievement falls between two levels of Achievement, the resulting payout percentage will be straight–line interpolated (rounding to the nearest 0.1 percent) between the payout percentages for those two levels of Achievement.</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Achievement Levels and Corresponding Payouts for PSUs Dependent on Adjusted Cash Flow Performance Measure</w:t>
      </w:r>
    </w:p>
    <w:p>
      <w:pPr>
        <w:spacing w:after="0" w:line="262" w:lineRule="exact"/>
        <w:rPr>
          <w:sz w:val="20"/>
          <w:szCs w:val="20"/>
          <w:color w:val="auto"/>
        </w:rPr>
      </w:pPr>
    </w:p>
    <w:tbl>
      <w:tblPr>
        <w:tblLayout w:type="fixed"/>
        <w:tblInd w:w="3550" w:type="dxa"/>
        <w:tblCellMar>
          <w:top w:w="0" w:type="dxa"/>
          <w:left w:w="0" w:type="dxa"/>
          <w:bottom w:w="0" w:type="dxa"/>
          <w:right w:w="0" w:type="dxa"/>
        </w:tblCellMar>
      </w:tblPr>
      <w:tr>
        <w:trPr>
          <w:trHeight w:val="229"/>
        </w:trPr>
        <w:tc>
          <w:tcPr>
            <w:tcW w:w="50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Level of Achievement</w:t>
            </w:r>
          </w:p>
        </w:tc>
        <w:tc>
          <w:tcPr>
            <w:tcW w:w="13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Adjusted</w:t>
            </w:r>
          </w:p>
        </w:tc>
        <w:tc>
          <w:tcPr>
            <w:tcW w:w="11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Payout</w:t>
            </w:r>
          </w:p>
        </w:tc>
      </w:tr>
      <w:tr>
        <w:trPr>
          <w:trHeight w:val="261"/>
        </w:trPr>
        <w:tc>
          <w:tcPr>
            <w:tcW w:w="5060" w:type="dxa"/>
            <w:vAlign w:val="bottom"/>
            <w:tcBorders>
              <w:left w:val="single" w:sz="8" w:color="auto"/>
              <w:right w:val="single" w:sz="8" w:color="auto"/>
            </w:tcBorders>
          </w:tcPr>
          <w:p>
            <w:pPr>
              <w:spacing w:after="0"/>
              <w:rPr>
                <w:sz w:val="22"/>
                <w:szCs w:val="22"/>
                <w:color w:val="auto"/>
              </w:rPr>
            </w:pP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20"/>
                <w:szCs w:val="20"/>
                <w:b w:val="1"/>
                <w:bCs w:val="1"/>
                <w:color w:val="auto"/>
              </w:rPr>
              <w:t>Free</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20"/>
                <w:szCs w:val="20"/>
                <w:b w:val="1"/>
                <w:bCs w:val="1"/>
                <w:color w:val="auto"/>
                <w:w w:val="96"/>
              </w:rPr>
              <w:t>Percentage</w:t>
            </w:r>
          </w:p>
        </w:tc>
      </w:tr>
      <w:tr>
        <w:trPr>
          <w:trHeight w:val="120"/>
        </w:trPr>
        <w:tc>
          <w:tcPr>
            <w:tcW w:w="5060" w:type="dxa"/>
            <w:vAlign w:val="bottom"/>
            <w:tcBorders>
              <w:left w:val="single" w:sz="8" w:color="auto"/>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r>
    </w:tbl>
    <w:p>
      <w:pPr>
        <w:sectPr>
          <w:pgSz w:w="11900" w:h="16900" w:orient="portrait"/>
          <w:cols w:equalWidth="0" w:num="1">
            <w:col w:w="11040"/>
          </w:cols>
          <w:pgMar w:left="540" w:top="135" w:right="319" w:bottom="0" w:gutter="0" w:footer="0" w:header="0"/>
        </w:sectPr>
      </w:pPr>
    </w:p>
    <w:bookmarkStart w:id="22" w:name="page23"/>
    <w:bookmarkEnd w:id="22"/>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00" w:type="dxa"/>
            <w:vAlign w:val="bottom"/>
            <w:tcBorders>
              <w:left w:val="single" w:sz="8" w:color="00B050"/>
            </w:tcBorders>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tcBorders>
              <w:right w:val="single" w:sz="8" w:color="auto"/>
            </w:tcBorders>
          </w:tcPr>
          <w:p>
            <w:pPr>
              <w:spacing w:after="0"/>
              <w:rPr>
                <w:sz w:val="19"/>
                <w:szCs w:val="19"/>
                <w:color w:val="auto"/>
              </w:rPr>
            </w:pPr>
          </w:p>
        </w:tc>
        <w:tc>
          <w:tcPr>
            <w:tcW w:w="3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b w:val="1"/>
                <w:bCs w:val="1"/>
                <w:color w:val="auto"/>
              </w:rPr>
              <w:t>Cash Flow</w:t>
            </w:r>
          </w:p>
        </w:tc>
        <w:tc>
          <w:tcPr>
            <w:tcW w:w="114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b w:val="1"/>
                <w:bCs w:val="1"/>
                <w:color w:val="auto"/>
              </w:rPr>
              <w:t>for the</w:t>
            </w:r>
          </w:p>
        </w:tc>
        <w:tc>
          <w:tcPr>
            <w:tcW w:w="80" w:type="dxa"/>
            <w:vAlign w:val="bottom"/>
            <w:tcBorders>
              <w:right w:val="single" w:sz="8" w:color="00B05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00B050"/>
            </w:tcBorders>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20" w:type="dxa"/>
            <w:vAlign w:val="bottom"/>
          </w:tcPr>
          <w:p>
            <w:pPr>
              <w:ind w:left="60"/>
              <w:spacing w:after="0" w:line="216" w:lineRule="exact"/>
              <w:rPr>
                <w:sz w:val="20"/>
                <w:szCs w:val="20"/>
                <w:color w:val="auto"/>
              </w:rPr>
            </w:pPr>
            <w:r>
              <w:rPr>
                <w:rFonts w:ascii="Arial" w:cs="Arial" w:eastAsia="Arial" w:hAnsi="Arial"/>
                <w:sz w:val="20"/>
                <w:szCs w:val="20"/>
                <w:b w:val="1"/>
                <w:bCs w:val="1"/>
                <w:color w:val="auto"/>
              </w:rPr>
              <w:t>Over the</w:t>
            </w:r>
          </w:p>
        </w:tc>
        <w:tc>
          <w:tcPr>
            <w:tcW w:w="3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60"/>
              <w:spacing w:after="0" w:line="216" w:lineRule="exact"/>
              <w:rPr>
                <w:sz w:val="20"/>
                <w:szCs w:val="20"/>
                <w:color w:val="auto"/>
              </w:rPr>
            </w:pPr>
            <w:r>
              <w:rPr>
                <w:rFonts w:ascii="Arial" w:cs="Arial" w:eastAsia="Arial" w:hAnsi="Arial"/>
                <w:sz w:val="20"/>
                <w:szCs w:val="20"/>
                <w:b w:val="1"/>
                <w:bCs w:val="1"/>
                <w:color w:val="auto"/>
              </w:rPr>
              <w:t>applicable</w:t>
            </w:r>
          </w:p>
        </w:tc>
        <w:tc>
          <w:tcPr>
            <w:tcW w:w="80" w:type="dxa"/>
            <w:vAlign w:val="bottom"/>
            <w:tcBorders>
              <w:right w:val="single" w:sz="8" w:color="00B05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00B050"/>
            </w:tcBorders>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gridSpan w:val="2"/>
          </w:tcPr>
          <w:p>
            <w:pPr>
              <w:ind w:left="60"/>
              <w:spacing w:after="0" w:line="216" w:lineRule="exact"/>
              <w:rPr>
                <w:sz w:val="20"/>
                <w:szCs w:val="20"/>
                <w:color w:val="auto"/>
              </w:rPr>
            </w:pPr>
            <w:r>
              <w:rPr>
                <w:rFonts w:ascii="Arial" w:cs="Arial" w:eastAsia="Arial" w:hAnsi="Arial"/>
                <w:sz w:val="20"/>
                <w:szCs w:val="20"/>
                <w:b w:val="1"/>
                <w:bCs w:val="1"/>
                <w:color w:val="auto"/>
                <w:w w:val="98"/>
              </w:rPr>
              <w:t>Performance</w:t>
            </w:r>
          </w:p>
        </w:tc>
        <w:tc>
          <w:tcPr>
            <w:tcW w:w="1140" w:type="dxa"/>
            <w:vAlign w:val="bottom"/>
            <w:tcBorders>
              <w:right w:val="single" w:sz="8" w:color="auto"/>
            </w:tcBorders>
            <w:gridSpan w:val="2"/>
          </w:tcPr>
          <w:p>
            <w:pPr>
              <w:ind w:left="60"/>
              <w:spacing w:after="0" w:line="216" w:lineRule="exact"/>
              <w:rPr>
                <w:sz w:val="20"/>
                <w:szCs w:val="20"/>
                <w:color w:val="auto"/>
              </w:rPr>
            </w:pPr>
            <w:r>
              <w:rPr>
                <w:rFonts w:ascii="Arial" w:cs="Arial" w:eastAsia="Arial" w:hAnsi="Arial"/>
                <w:sz w:val="20"/>
                <w:szCs w:val="20"/>
                <w:b w:val="1"/>
                <w:bCs w:val="1"/>
                <w:color w:val="auto"/>
              </w:rPr>
              <w:t>half of</w:t>
            </w:r>
          </w:p>
        </w:tc>
        <w:tc>
          <w:tcPr>
            <w:tcW w:w="80" w:type="dxa"/>
            <w:vAlign w:val="bottom"/>
            <w:tcBorders>
              <w:right w:val="single" w:sz="8" w:color="00B05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00B050"/>
            </w:tcBorders>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20" w:type="dxa"/>
            <w:vAlign w:val="bottom"/>
          </w:tcPr>
          <w:p>
            <w:pPr>
              <w:ind w:left="60"/>
              <w:spacing w:after="0" w:line="216" w:lineRule="exact"/>
              <w:rPr>
                <w:sz w:val="20"/>
                <w:szCs w:val="20"/>
                <w:color w:val="auto"/>
              </w:rPr>
            </w:pPr>
            <w:r>
              <w:rPr>
                <w:rFonts w:ascii="Arial" w:cs="Arial" w:eastAsia="Arial" w:hAnsi="Arial"/>
                <w:sz w:val="20"/>
                <w:szCs w:val="20"/>
                <w:b w:val="1"/>
                <w:bCs w:val="1"/>
                <w:color w:val="auto"/>
              </w:rPr>
              <w:t>Period</w:t>
            </w:r>
          </w:p>
        </w:tc>
        <w:tc>
          <w:tcPr>
            <w:tcW w:w="3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60"/>
              <w:spacing w:after="0" w:line="216" w:lineRule="exact"/>
              <w:rPr>
                <w:sz w:val="20"/>
                <w:szCs w:val="20"/>
                <w:color w:val="auto"/>
              </w:rPr>
            </w:pPr>
            <w:r>
              <w:rPr>
                <w:rFonts w:ascii="Arial" w:cs="Arial" w:eastAsia="Arial" w:hAnsi="Arial"/>
                <w:sz w:val="20"/>
                <w:szCs w:val="20"/>
                <w:b w:val="1"/>
                <w:bCs w:val="1"/>
                <w:color w:val="auto"/>
              </w:rPr>
              <w:t>your</w:t>
            </w:r>
          </w:p>
        </w:tc>
        <w:tc>
          <w:tcPr>
            <w:tcW w:w="80" w:type="dxa"/>
            <w:vAlign w:val="bottom"/>
            <w:tcBorders>
              <w:right w:val="single" w:sz="8" w:color="00B05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00B050"/>
            </w:tcBorders>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60"/>
              <w:spacing w:after="0" w:line="216" w:lineRule="exact"/>
              <w:rPr>
                <w:sz w:val="20"/>
                <w:szCs w:val="20"/>
                <w:color w:val="auto"/>
              </w:rPr>
            </w:pPr>
            <w:r>
              <w:rPr>
                <w:rFonts w:ascii="Arial" w:cs="Arial" w:eastAsia="Arial" w:hAnsi="Arial"/>
                <w:sz w:val="20"/>
                <w:szCs w:val="20"/>
                <w:b w:val="1"/>
                <w:bCs w:val="1"/>
                <w:color w:val="auto"/>
                <w:w w:val="96"/>
              </w:rPr>
              <w:t>Target PSU</w:t>
            </w:r>
          </w:p>
        </w:tc>
        <w:tc>
          <w:tcPr>
            <w:tcW w:w="80" w:type="dxa"/>
            <w:vAlign w:val="bottom"/>
            <w:tcBorders>
              <w:right w:val="single" w:sz="8" w:color="00B05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0" w:type="dxa"/>
            <w:vAlign w:val="bottom"/>
            <w:tcBorders>
              <w:left w:val="single" w:sz="8" w:color="00B050"/>
            </w:tcBorders>
          </w:tcPr>
          <w:p>
            <w:pPr>
              <w:spacing w:after="0"/>
              <w:rPr>
                <w:sz w:val="22"/>
                <w:szCs w:val="22"/>
                <w:color w:val="auto"/>
              </w:rPr>
            </w:pPr>
          </w:p>
        </w:tc>
        <w:tc>
          <w:tcPr>
            <w:tcW w:w="14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b w:val="1"/>
                <w:bCs w:val="1"/>
                <w:color w:val="auto"/>
              </w:rPr>
              <w:t>Award</w:t>
            </w:r>
          </w:p>
        </w:tc>
        <w:tc>
          <w:tcPr>
            <w:tcW w:w="80" w:type="dxa"/>
            <w:vAlign w:val="bottom"/>
            <w:tcBorders>
              <w:right w:val="single" w:sz="8" w:color="00B050"/>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00B050"/>
            </w:tcBorders>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gridSpan w:val="4"/>
          </w:tcPr>
          <w:p>
            <w:pPr>
              <w:ind w:left="40"/>
              <w:spacing w:after="0"/>
              <w:rPr>
                <w:sz w:val="20"/>
                <w:szCs w:val="20"/>
                <w:color w:val="auto"/>
              </w:rPr>
            </w:pPr>
            <w:r>
              <w:rPr>
                <w:rFonts w:ascii="Arial" w:cs="Arial" w:eastAsia="Arial" w:hAnsi="Arial"/>
                <w:sz w:val="20"/>
                <w:szCs w:val="20"/>
                <w:b w:val="1"/>
                <w:bCs w:val="1"/>
                <w:i w:val="1"/>
                <w:iCs w:val="1"/>
                <w:color w:val="auto"/>
                <w:w w:val="99"/>
              </w:rPr>
              <w:t xml:space="preserve">Threshold Performance </w:t>
            </w:r>
            <w:r>
              <w:rPr>
                <w:rFonts w:ascii="Arial" w:cs="Arial" w:eastAsia="Arial" w:hAnsi="Arial"/>
                <w:sz w:val="16"/>
                <w:szCs w:val="16"/>
                <w:color w:val="auto"/>
                <w:w w:val="99"/>
              </w:rPr>
              <w:t>(the minimum level of Achievement to</w:t>
            </w:r>
          </w:p>
        </w:tc>
        <w:tc>
          <w:tcPr>
            <w:tcW w:w="9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0" w:type="dxa"/>
            <w:vAlign w:val="bottom"/>
            <w:tcBorders>
              <w:right w:val="single" w:sz="8" w:color="00B05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0" w:type="dxa"/>
            <w:vAlign w:val="bottom"/>
            <w:tcBorders>
              <w:left w:val="single" w:sz="8" w:color="00B050"/>
            </w:tcBorders>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tcBorders>
              <w:right w:val="single" w:sz="8" w:color="auto"/>
            </w:tcBorders>
          </w:tcPr>
          <w:p>
            <w:pPr>
              <w:spacing w:after="0"/>
              <w:rPr>
                <w:sz w:val="16"/>
                <w:szCs w:val="16"/>
                <w:color w:val="auto"/>
              </w:rPr>
            </w:pPr>
          </w:p>
        </w:tc>
        <w:tc>
          <w:tcPr>
            <w:tcW w:w="5040" w:type="dxa"/>
            <w:vAlign w:val="bottom"/>
            <w:tcBorders>
              <w:right w:val="single" w:sz="8" w:color="auto"/>
            </w:tcBorders>
            <w:gridSpan w:val="4"/>
          </w:tcPr>
          <w:p>
            <w:pPr>
              <w:ind w:left="40"/>
              <w:spacing w:after="0"/>
              <w:rPr>
                <w:sz w:val="20"/>
                <w:szCs w:val="20"/>
                <w:color w:val="auto"/>
              </w:rPr>
            </w:pPr>
            <w:r>
              <w:rPr>
                <w:rFonts w:ascii="Arial" w:cs="Arial" w:eastAsia="Arial" w:hAnsi="Arial"/>
                <w:sz w:val="16"/>
                <w:szCs w:val="16"/>
                <w:color w:val="auto"/>
              </w:rPr>
              <w:t>qualify for any payout of the Adjusted Free Cash Flow half of your</w:t>
            </w:r>
          </w:p>
        </w:tc>
        <w:tc>
          <w:tcPr>
            <w:tcW w:w="13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20"/>
                <w:szCs w:val="20"/>
                <w:color w:val="auto"/>
              </w:rPr>
              <w:t>$5.496 billion</w:t>
            </w:r>
          </w:p>
        </w:tc>
        <w:tc>
          <w:tcPr>
            <w:tcW w:w="1080" w:type="dxa"/>
            <w:vAlign w:val="bottom"/>
            <w:vMerge w:val="restart"/>
          </w:tcPr>
          <w:p>
            <w:pPr>
              <w:jc w:val="center"/>
              <w:spacing w:after="0"/>
              <w:rPr>
                <w:sz w:val="20"/>
                <w:szCs w:val="20"/>
                <w:color w:val="auto"/>
              </w:rPr>
            </w:pPr>
            <w:r>
              <w:rPr>
                <w:rFonts w:ascii="Arial" w:cs="Arial" w:eastAsia="Arial" w:hAnsi="Arial"/>
                <w:sz w:val="20"/>
                <w:szCs w:val="20"/>
                <w:color w:val="auto"/>
                <w:w w:val="99"/>
              </w:rPr>
              <w:t>60%</w:t>
            </w:r>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00B050"/>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 w:type="dxa"/>
            <w:vAlign w:val="bottom"/>
            <w:tcBorders>
              <w:left w:val="single" w:sz="8" w:color="00B050"/>
            </w:tcBorders>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right w:val="single" w:sz="8" w:color="auto"/>
            </w:tcBorders>
          </w:tcPr>
          <w:p>
            <w:pPr>
              <w:spacing w:after="0"/>
              <w:rPr>
                <w:sz w:val="17"/>
                <w:szCs w:val="17"/>
                <w:color w:val="auto"/>
              </w:rPr>
            </w:pPr>
          </w:p>
        </w:tc>
        <w:tc>
          <w:tcPr>
            <w:tcW w:w="42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Target PSU Award.)</w:t>
            </w:r>
          </w:p>
        </w:tc>
        <w:tc>
          <w:tcPr>
            <w:tcW w:w="8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gridSpan w:val="2"/>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80" w:type="dxa"/>
            <w:vAlign w:val="bottom"/>
            <w:tcBorders>
              <w:right w:val="single" w:sz="8" w:color="00B050"/>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00B050"/>
            </w:tcBorders>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gridSpan w:val="4"/>
          </w:tcPr>
          <w:p>
            <w:pPr>
              <w:ind w:left="40"/>
              <w:spacing w:after="0"/>
              <w:rPr>
                <w:sz w:val="20"/>
                <w:szCs w:val="20"/>
                <w:color w:val="auto"/>
              </w:rPr>
            </w:pPr>
            <w:r>
              <w:rPr>
                <w:rFonts w:ascii="Arial" w:cs="Arial" w:eastAsia="Arial" w:hAnsi="Arial"/>
                <w:sz w:val="20"/>
                <w:szCs w:val="20"/>
                <w:b w:val="1"/>
                <w:bCs w:val="1"/>
                <w:i w:val="1"/>
                <w:iCs w:val="1"/>
                <w:color w:val="auto"/>
              </w:rPr>
              <w:t xml:space="preserve">Target Performance </w:t>
            </w:r>
            <w:r>
              <w:rPr>
                <w:rFonts w:ascii="Arial" w:cs="Arial" w:eastAsia="Arial" w:hAnsi="Arial"/>
                <w:sz w:val="16"/>
                <w:szCs w:val="16"/>
                <w:color w:val="auto"/>
              </w:rPr>
              <w:t>(the level of Achievement to qualify for</w:t>
            </w:r>
          </w:p>
        </w:tc>
        <w:tc>
          <w:tcPr>
            <w:tcW w:w="9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0" w:type="dxa"/>
            <w:vAlign w:val="bottom"/>
            <w:tcBorders>
              <w:right w:val="single" w:sz="8" w:color="00B05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0" w:type="dxa"/>
            <w:vAlign w:val="bottom"/>
            <w:tcBorders>
              <w:left w:val="single" w:sz="8" w:color="00B050"/>
            </w:tcBorders>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tcBorders>
              <w:right w:val="single" w:sz="8" w:color="auto"/>
            </w:tcBorders>
          </w:tcPr>
          <w:p>
            <w:pPr>
              <w:spacing w:after="0"/>
              <w:rPr>
                <w:sz w:val="16"/>
                <w:szCs w:val="16"/>
                <w:color w:val="auto"/>
              </w:rPr>
            </w:pPr>
          </w:p>
        </w:tc>
        <w:tc>
          <w:tcPr>
            <w:tcW w:w="5040" w:type="dxa"/>
            <w:vAlign w:val="bottom"/>
            <w:tcBorders>
              <w:right w:val="single" w:sz="8" w:color="auto"/>
            </w:tcBorders>
            <w:gridSpan w:val="4"/>
          </w:tcPr>
          <w:p>
            <w:pPr>
              <w:ind w:left="40"/>
              <w:spacing w:after="0"/>
              <w:rPr>
                <w:sz w:val="20"/>
                <w:szCs w:val="20"/>
                <w:color w:val="auto"/>
              </w:rPr>
            </w:pPr>
            <w:r>
              <w:rPr>
                <w:rFonts w:ascii="Arial" w:cs="Arial" w:eastAsia="Arial" w:hAnsi="Arial"/>
                <w:sz w:val="16"/>
                <w:szCs w:val="16"/>
                <w:color w:val="auto"/>
              </w:rPr>
              <w:t>100% payout of the Adjusted Free Cash Flow half of your Target</w:t>
            </w:r>
          </w:p>
        </w:tc>
        <w:tc>
          <w:tcPr>
            <w:tcW w:w="13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20"/>
                <w:szCs w:val="20"/>
                <w:color w:val="auto"/>
              </w:rPr>
              <w:t>$5.906 billion</w:t>
            </w:r>
          </w:p>
        </w:tc>
        <w:tc>
          <w:tcPr>
            <w:tcW w:w="1080" w:type="dxa"/>
            <w:vAlign w:val="bottom"/>
            <w:vMerge w:val="restart"/>
          </w:tcPr>
          <w:p>
            <w:pPr>
              <w:jc w:val="center"/>
              <w:spacing w:after="0"/>
              <w:rPr>
                <w:sz w:val="20"/>
                <w:szCs w:val="20"/>
                <w:color w:val="auto"/>
              </w:rPr>
            </w:pPr>
            <w:r>
              <w:rPr>
                <w:rFonts w:ascii="Arial" w:cs="Arial" w:eastAsia="Arial" w:hAnsi="Arial"/>
                <w:sz w:val="20"/>
                <w:szCs w:val="20"/>
                <w:color w:val="auto"/>
              </w:rPr>
              <w:t>100%</w:t>
            </w:r>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00B050"/>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 w:type="dxa"/>
            <w:vAlign w:val="bottom"/>
            <w:tcBorders>
              <w:left w:val="single" w:sz="8" w:color="00B050"/>
            </w:tcBorders>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right w:val="single" w:sz="8" w:color="auto"/>
            </w:tcBorders>
          </w:tcPr>
          <w:p>
            <w:pPr>
              <w:spacing w:after="0"/>
              <w:rPr>
                <w:sz w:val="17"/>
                <w:szCs w:val="17"/>
                <w:color w:val="auto"/>
              </w:rPr>
            </w:pPr>
          </w:p>
        </w:tc>
        <w:tc>
          <w:tcPr>
            <w:tcW w:w="42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PSU Award.)</w:t>
            </w:r>
          </w:p>
        </w:tc>
        <w:tc>
          <w:tcPr>
            <w:tcW w:w="8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gridSpan w:val="2"/>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80" w:type="dxa"/>
            <w:vAlign w:val="bottom"/>
            <w:tcBorders>
              <w:right w:val="single" w:sz="8" w:color="00B050"/>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00B050"/>
            </w:tcBorders>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gridSpan w:val="4"/>
          </w:tcPr>
          <w:p>
            <w:pPr>
              <w:ind w:left="40"/>
              <w:spacing w:after="0"/>
              <w:rPr>
                <w:sz w:val="20"/>
                <w:szCs w:val="20"/>
                <w:color w:val="auto"/>
              </w:rPr>
            </w:pPr>
            <w:r>
              <w:rPr>
                <w:rFonts w:ascii="Arial" w:cs="Arial" w:eastAsia="Arial" w:hAnsi="Arial"/>
                <w:sz w:val="20"/>
                <w:szCs w:val="20"/>
                <w:b w:val="1"/>
                <w:bCs w:val="1"/>
                <w:i w:val="1"/>
                <w:iCs w:val="1"/>
                <w:color w:val="auto"/>
              </w:rPr>
              <w:t xml:space="preserve">Maximum Performance </w:t>
            </w:r>
            <w:r>
              <w:rPr>
                <w:rFonts w:ascii="Arial" w:cs="Arial" w:eastAsia="Arial" w:hAnsi="Arial"/>
                <w:sz w:val="16"/>
                <w:szCs w:val="16"/>
                <w:color w:val="auto"/>
              </w:rPr>
              <w:t>(the maximum level of Achievement</w:t>
            </w:r>
          </w:p>
        </w:tc>
        <w:tc>
          <w:tcPr>
            <w:tcW w:w="9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0" w:type="dxa"/>
            <w:vAlign w:val="bottom"/>
            <w:tcBorders>
              <w:right w:val="single" w:sz="8" w:color="00B05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0" w:type="dxa"/>
            <w:vAlign w:val="bottom"/>
            <w:tcBorders>
              <w:left w:val="single" w:sz="8" w:color="00B050"/>
            </w:tcBorders>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tcBorders>
              <w:right w:val="single" w:sz="8" w:color="auto"/>
            </w:tcBorders>
          </w:tcPr>
          <w:p>
            <w:pPr>
              <w:spacing w:after="0"/>
              <w:rPr>
                <w:sz w:val="16"/>
                <w:szCs w:val="16"/>
                <w:color w:val="auto"/>
              </w:rPr>
            </w:pPr>
          </w:p>
        </w:tc>
        <w:tc>
          <w:tcPr>
            <w:tcW w:w="5040" w:type="dxa"/>
            <w:vAlign w:val="bottom"/>
            <w:tcBorders>
              <w:right w:val="single" w:sz="8" w:color="auto"/>
            </w:tcBorders>
            <w:gridSpan w:val="4"/>
          </w:tcPr>
          <w:p>
            <w:pPr>
              <w:ind w:left="40"/>
              <w:spacing w:after="0"/>
              <w:rPr>
                <w:sz w:val="20"/>
                <w:szCs w:val="20"/>
                <w:color w:val="auto"/>
              </w:rPr>
            </w:pPr>
            <w:r>
              <w:rPr>
                <w:rFonts w:ascii="Arial" w:cs="Arial" w:eastAsia="Arial" w:hAnsi="Arial"/>
                <w:sz w:val="16"/>
                <w:szCs w:val="16"/>
                <w:color w:val="auto"/>
              </w:rPr>
              <w:t>that results in an increased number of PSUs paid out under the</w:t>
            </w:r>
          </w:p>
        </w:tc>
        <w:tc>
          <w:tcPr>
            <w:tcW w:w="13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20"/>
                <w:szCs w:val="20"/>
                <w:color w:val="auto"/>
              </w:rPr>
              <w:t>$6.316 billion</w:t>
            </w:r>
          </w:p>
        </w:tc>
        <w:tc>
          <w:tcPr>
            <w:tcW w:w="1080" w:type="dxa"/>
            <w:vAlign w:val="bottom"/>
            <w:vMerge w:val="restart"/>
          </w:tcPr>
          <w:p>
            <w:pPr>
              <w:jc w:val="center"/>
              <w:spacing w:after="0"/>
              <w:rPr>
                <w:sz w:val="20"/>
                <w:szCs w:val="20"/>
                <w:color w:val="auto"/>
              </w:rPr>
            </w:pPr>
            <w:r>
              <w:rPr>
                <w:rFonts w:ascii="Arial" w:cs="Arial" w:eastAsia="Arial" w:hAnsi="Arial"/>
                <w:sz w:val="20"/>
                <w:szCs w:val="20"/>
                <w:color w:val="auto"/>
              </w:rPr>
              <w:t>200%</w:t>
            </w:r>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00B050"/>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 w:type="dxa"/>
            <w:vAlign w:val="bottom"/>
            <w:tcBorders>
              <w:left w:val="single" w:sz="8" w:color="00B050"/>
            </w:tcBorders>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right w:val="single" w:sz="8" w:color="auto"/>
            </w:tcBorders>
          </w:tcPr>
          <w:p>
            <w:pPr>
              <w:spacing w:after="0"/>
              <w:rPr>
                <w:sz w:val="17"/>
                <w:szCs w:val="17"/>
                <w:color w:val="auto"/>
              </w:rPr>
            </w:pPr>
          </w:p>
        </w:tc>
        <w:tc>
          <w:tcPr>
            <w:tcW w:w="42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Adjusted Free Cash Flow half of your Target PSU Award.)</w:t>
            </w:r>
          </w:p>
        </w:tc>
        <w:tc>
          <w:tcPr>
            <w:tcW w:w="84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gridSpan w:val="2"/>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80" w:type="dxa"/>
            <w:vAlign w:val="bottom"/>
            <w:tcBorders>
              <w:right w:val="single" w:sz="8" w:color="00B050"/>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8060" w:type="dxa"/>
            <w:vAlign w:val="bottom"/>
            <w:tcBorders>
              <w:left w:val="single" w:sz="8" w:color="00B050"/>
            </w:tcBorders>
            <w:gridSpan w:val="6"/>
          </w:tcPr>
          <w:p>
            <w:pPr>
              <w:ind w:left="300"/>
              <w:spacing w:after="0"/>
              <w:rPr>
                <w:sz w:val="20"/>
                <w:szCs w:val="20"/>
                <w:color w:val="auto"/>
              </w:rPr>
            </w:pPr>
            <w:r>
              <w:rPr>
                <w:rFonts w:ascii="Arial" w:cs="Arial" w:eastAsia="Arial" w:hAnsi="Arial"/>
                <w:sz w:val="20"/>
                <w:szCs w:val="20"/>
                <w:b w:val="1"/>
                <w:bCs w:val="1"/>
                <w:color w:val="auto"/>
              </w:rPr>
              <w:t>Achievement Levels and Corresponding Payouts for PSUs Dependent on TSR</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right w:val="single" w:sz="8" w:color="00B05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Borders>
              <w:left w:val="single" w:sz="8" w:color="00B050"/>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20" w:type="dxa"/>
            <w:vAlign w:val="bottom"/>
            <w:tcBorders>
              <w:top w:val="single" w:sz="8" w:color="auto"/>
              <w:bottom w:val="single" w:sz="8" w:color="auto"/>
            </w:tcBorders>
          </w:tcPr>
          <w:p>
            <w:pPr>
              <w:spacing w:after="0"/>
              <w:rPr>
                <w:sz w:val="18"/>
                <w:szCs w:val="18"/>
                <w:color w:val="auto"/>
              </w:rPr>
            </w:pPr>
          </w:p>
        </w:tc>
        <w:tc>
          <w:tcPr>
            <w:tcW w:w="37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right w:val="single" w:sz="8" w:color="00B05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Borders>
              <w:left w:val="single" w:sz="8" w:color="00B050"/>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380" w:type="dxa"/>
            <w:vAlign w:val="bottom"/>
            <w:tcBorders>
              <w:bottom w:val="single" w:sz="8" w:color="auto"/>
            </w:tcBorders>
            <w:gridSpan w:val="6"/>
          </w:tcPr>
          <w:p>
            <w:pPr>
              <w:ind w:left="1720"/>
              <w:spacing w:after="0" w:line="209" w:lineRule="exact"/>
              <w:rPr>
                <w:sz w:val="20"/>
                <w:szCs w:val="20"/>
                <w:color w:val="auto"/>
              </w:rPr>
            </w:pPr>
            <w:r>
              <w:rPr>
                <w:rFonts w:ascii="Arial" w:cs="Arial" w:eastAsia="Arial" w:hAnsi="Arial"/>
                <w:sz w:val="20"/>
                <w:szCs w:val="20"/>
                <w:b w:val="1"/>
                <w:bCs w:val="1"/>
                <w:color w:val="auto"/>
              </w:rPr>
              <w:t>Total Shareholder Return Relative to the S&amp;P 500 over the Performance Period</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right w:val="single" w:sz="8" w:color="00B05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Borders>
              <w:left w:val="single" w:sz="8" w:color="00B050"/>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7120" w:type="dxa"/>
            <w:vAlign w:val="bottom"/>
            <w:tcBorders>
              <w:right w:val="single" w:sz="8" w:color="auto"/>
            </w:tcBorders>
            <w:gridSpan w:val="2"/>
          </w:tcPr>
          <w:p>
            <w:pPr>
              <w:ind w:left="60"/>
              <w:spacing w:after="0" w:line="209" w:lineRule="exact"/>
              <w:rPr>
                <w:sz w:val="20"/>
                <w:szCs w:val="20"/>
                <w:color w:val="auto"/>
              </w:rPr>
            </w:pPr>
            <w:r>
              <w:rPr>
                <w:rFonts w:ascii="Arial" w:cs="Arial" w:eastAsia="Arial" w:hAnsi="Arial"/>
                <w:sz w:val="20"/>
                <w:szCs w:val="20"/>
                <w:b w:val="1"/>
                <w:bCs w:val="1"/>
                <w:color w:val="auto"/>
              </w:rPr>
              <w:t>Level of Achievement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Borders>
              <w:right w:val="single" w:sz="8" w:color="auto"/>
            </w:tcBorders>
            <w:gridSpan w:val="2"/>
          </w:tcPr>
          <w:p>
            <w:pPr>
              <w:jc w:val="center"/>
              <w:ind w:right="441"/>
              <w:spacing w:after="0" w:line="209" w:lineRule="exact"/>
              <w:rPr>
                <w:sz w:val="20"/>
                <w:szCs w:val="20"/>
                <w:color w:val="auto"/>
              </w:rPr>
            </w:pPr>
            <w:r>
              <w:rPr>
                <w:rFonts w:ascii="Arial" w:cs="Arial" w:eastAsia="Arial" w:hAnsi="Arial"/>
                <w:sz w:val="20"/>
                <w:szCs w:val="20"/>
                <w:b w:val="1"/>
                <w:bCs w:val="1"/>
                <w:color w:val="auto"/>
                <w:w w:val="99"/>
              </w:rPr>
              <w:t>Relative TSR</w:t>
            </w:r>
          </w:p>
        </w:tc>
        <w:tc>
          <w:tcPr>
            <w:tcW w:w="1460" w:type="dxa"/>
            <w:vAlign w:val="bottom"/>
            <w:tcBorders>
              <w:right w:val="single" w:sz="8" w:color="auto"/>
            </w:tcBorders>
            <w:gridSpan w:val="2"/>
          </w:tcPr>
          <w:p>
            <w:pPr>
              <w:ind w:left="60"/>
              <w:spacing w:after="0" w:line="209" w:lineRule="exact"/>
              <w:rPr>
                <w:sz w:val="20"/>
                <w:szCs w:val="20"/>
                <w:color w:val="auto"/>
              </w:rPr>
            </w:pPr>
            <w:r>
              <w:rPr>
                <w:rFonts w:ascii="Arial" w:cs="Arial" w:eastAsia="Arial" w:hAnsi="Arial"/>
                <w:sz w:val="20"/>
                <w:szCs w:val="20"/>
                <w:b w:val="1"/>
                <w:bCs w:val="1"/>
                <w:color w:val="auto"/>
              </w:rPr>
              <w:t>Payout</w:t>
            </w:r>
          </w:p>
        </w:tc>
        <w:tc>
          <w:tcPr>
            <w:tcW w:w="60" w:type="dxa"/>
            <w:vAlign w:val="bottom"/>
          </w:tcPr>
          <w:p>
            <w:pPr>
              <w:spacing w:after="0"/>
              <w:rPr>
                <w:sz w:val="18"/>
                <w:szCs w:val="18"/>
                <w:color w:val="auto"/>
              </w:rPr>
            </w:pPr>
          </w:p>
        </w:tc>
        <w:tc>
          <w:tcPr>
            <w:tcW w:w="80" w:type="dxa"/>
            <w:vAlign w:val="bottom"/>
            <w:tcBorders>
              <w:right w:val="single" w:sz="8" w:color="00B05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00B050"/>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Borders>
              <w:right w:val="single" w:sz="8" w:color="auto"/>
            </w:tcBorders>
            <w:gridSpan w:val="3"/>
          </w:tcPr>
          <w:p>
            <w:pPr>
              <w:jc w:val="center"/>
              <w:ind w:right="21"/>
              <w:spacing w:after="0" w:line="216" w:lineRule="exact"/>
              <w:rPr>
                <w:sz w:val="20"/>
                <w:szCs w:val="20"/>
                <w:color w:val="auto"/>
              </w:rPr>
            </w:pPr>
            <w:r>
              <w:rPr>
                <w:rFonts w:ascii="Arial" w:cs="Arial" w:eastAsia="Arial" w:hAnsi="Arial"/>
                <w:sz w:val="20"/>
                <w:szCs w:val="20"/>
                <w:b w:val="1"/>
                <w:bCs w:val="1"/>
                <w:color w:val="auto"/>
                <w:w w:val="99"/>
              </w:rPr>
              <w:t>Percentile Rank</w:t>
            </w:r>
          </w:p>
        </w:tc>
        <w:tc>
          <w:tcPr>
            <w:tcW w:w="1460" w:type="dxa"/>
            <w:vAlign w:val="bottom"/>
            <w:tcBorders>
              <w:right w:val="single" w:sz="8" w:color="auto"/>
            </w:tcBorders>
            <w:gridSpan w:val="2"/>
          </w:tcPr>
          <w:p>
            <w:pPr>
              <w:ind w:left="60"/>
              <w:spacing w:after="0" w:line="216" w:lineRule="exact"/>
              <w:rPr>
                <w:sz w:val="20"/>
                <w:szCs w:val="20"/>
                <w:color w:val="auto"/>
              </w:rPr>
            </w:pPr>
            <w:r>
              <w:rPr>
                <w:rFonts w:ascii="Arial" w:cs="Arial" w:eastAsia="Arial" w:hAnsi="Arial"/>
                <w:sz w:val="20"/>
                <w:szCs w:val="20"/>
                <w:b w:val="1"/>
                <w:bCs w:val="1"/>
                <w:color w:val="auto"/>
              </w:rPr>
              <w:t>Percentage</w:t>
            </w:r>
          </w:p>
        </w:tc>
        <w:tc>
          <w:tcPr>
            <w:tcW w:w="60" w:type="dxa"/>
            <w:vAlign w:val="bottom"/>
          </w:tcPr>
          <w:p>
            <w:pPr>
              <w:spacing w:after="0"/>
              <w:rPr>
                <w:sz w:val="18"/>
                <w:szCs w:val="18"/>
                <w:color w:val="auto"/>
              </w:rPr>
            </w:pPr>
          </w:p>
        </w:tc>
        <w:tc>
          <w:tcPr>
            <w:tcW w:w="80" w:type="dxa"/>
            <w:vAlign w:val="bottom"/>
            <w:tcBorders>
              <w:right w:val="single" w:sz="8" w:color="00B05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00B050"/>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gridSpan w:val="2"/>
          </w:tcPr>
          <w:p>
            <w:pPr>
              <w:ind w:left="60"/>
              <w:spacing w:after="0" w:line="216" w:lineRule="exact"/>
              <w:rPr>
                <w:sz w:val="20"/>
                <w:szCs w:val="20"/>
                <w:color w:val="auto"/>
              </w:rPr>
            </w:pPr>
            <w:r>
              <w:rPr>
                <w:rFonts w:ascii="Arial" w:cs="Arial" w:eastAsia="Arial" w:hAnsi="Arial"/>
                <w:sz w:val="20"/>
                <w:szCs w:val="20"/>
                <w:b w:val="1"/>
                <w:bCs w:val="1"/>
                <w:color w:val="auto"/>
              </w:rPr>
              <w:t>for the</w:t>
            </w:r>
          </w:p>
        </w:tc>
        <w:tc>
          <w:tcPr>
            <w:tcW w:w="60" w:type="dxa"/>
            <w:vAlign w:val="bottom"/>
          </w:tcPr>
          <w:p>
            <w:pPr>
              <w:spacing w:after="0"/>
              <w:rPr>
                <w:sz w:val="18"/>
                <w:szCs w:val="18"/>
                <w:color w:val="auto"/>
              </w:rPr>
            </w:pPr>
          </w:p>
        </w:tc>
        <w:tc>
          <w:tcPr>
            <w:tcW w:w="80" w:type="dxa"/>
            <w:vAlign w:val="bottom"/>
            <w:tcBorders>
              <w:right w:val="single" w:sz="8" w:color="00B05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00B050"/>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gridSpan w:val="2"/>
          </w:tcPr>
          <w:p>
            <w:pPr>
              <w:ind w:left="60"/>
              <w:spacing w:after="0" w:line="216" w:lineRule="exact"/>
              <w:rPr>
                <w:sz w:val="20"/>
                <w:szCs w:val="20"/>
                <w:color w:val="auto"/>
              </w:rPr>
            </w:pPr>
            <w:r>
              <w:rPr>
                <w:rFonts w:ascii="Arial" w:cs="Arial" w:eastAsia="Arial" w:hAnsi="Arial"/>
                <w:sz w:val="20"/>
                <w:szCs w:val="20"/>
                <w:b w:val="1"/>
                <w:bCs w:val="1"/>
                <w:color w:val="auto"/>
                <w:w w:val="97"/>
              </w:rPr>
              <w:t>applicable half</w:t>
            </w:r>
          </w:p>
        </w:tc>
        <w:tc>
          <w:tcPr>
            <w:tcW w:w="60" w:type="dxa"/>
            <w:vAlign w:val="bottom"/>
          </w:tcPr>
          <w:p>
            <w:pPr>
              <w:spacing w:after="0"/>
              <w:rPr>
                <w:sz w:val="18"/>
                <w:szCs w:val="18"/>
                <w:color w:val="auto"/>
              </w:rPr>
            </w:pPr>
          </w:p>
        </w:tc>
        <w:tc>
          <w:tcPr>
            <w:tcW w:w="80" w:type="dxa"/>
            <w:vAlign w:val="bottom"/>
            <w:tcBorders>
              <w:right w:val="single" w:sz="8" w:color="00B05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00B050"/>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gridSpan w:val="2"/>
          </w:tcPr>
          <w:p>
            <w:pPr>
              <w:ind w:left="60"/>
              <w:spacing w:after="0" w:line="216" w:lineRule="exact"/>
              <w:rPr>
                <w:sz w:val="20"/>
                <w:szCs w:val="20"/>
                <w:color w:val="auto"/>
              </w:rPr>
            </w:pPr>
            <w:r>
              <w:rPr>
                <w:rFonts w:ascii="Arial" w:cs="Arial" w:eastAsia="Arial" w:hAnsi="Arial"/>
                <w:sz w:val="20"/>
                <w:szCs w:val="20"/>
                <w:b w:val="1"/>
                <w:bCs w:val="1"/>
                <w:color w:val="auto"/>
              </w:rPr>
              <w:t>of your Target</w:t>
            </w:r>
          </w:p>
        </w:tc>
        <w:tc>
          <w:tcPr>
            <w:tcW w:w="60" w:type="dxa"/>
            <w:vAlign w:val="bottom"/>
          </w:tcPr>
          <w:p>
            <w:pPr>
              <w:spacing w:after="0"/>
              <w:rPr>
                <w:sz w:val="18"/>
                <w:szCs w:val="18"/>
                <w:color w:val="auto"/>
              </w:rPr>
            </w:pPr>
          </w:p>
        </w:tc>
        <w:tc>
          <w:tcPr>
            <w:tcW w:w="80" w:type="dxa"/>
            <w:vAlign w:val="bottom"/>
            <w:tcBorders>
              <w:right w:val="single" w:sz="8" w:color="00B05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0" w:type="dxa"/>
            <w:vAlign w:val="bottom"/>
            <w:tcBorders>
              <w:left w:val="single" w:sz="8" w:color="00B050"/>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b w:val="1"/>
                <w:bCs w:val="1"/>
                <w:color w:val="auto"/>
              </w:rPr>
              <w:t>PSU Award</w:t>
            </w:r>
          </w:p>
        </w:tc>
        <w:tc>
          <w:tcPr>
            <w:tcW w:w="60" w:type="dxa"/>
            <w:vAlign w:val="bottom"/>
          </w:tcPr>
          <w:p>
            <w:pPr>
              <w:spacing w:after="0"/>
              <w:rPr>
                <w:sz w:val="22"/>
                <w:szCs w:val="22"/>
                <w:color w:val="auto"/>
              </w:rPr>
            </w:pPr>
          </w:p>
        </w:tc>
        <w:tc>
          <w:tcPr>
            <w:tcW w:w="80" w:type="dxa"/>
            <w:vAlign w:val="bottom"/>
            <w:tcBorders>
              <w:right w:val="single" w:sz="8" w:color="00B050"/>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00B050"/>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71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b w:val="1"/>
                <w:bCs w:val="1"/>
                <w:i w:val="1"/>
                <w:iCs w:val="1"/>
                <w:color w:val="auto"/>
              </w:rPr>
              <w:t xml:space="preserve">Threshold Performance </w:t>
            </w:r>
            <w:r>
              <w:rPr>
                <w:rFonts w:ascii="Arial" w:cs="Arial" w:eastAsia="Arial" w:hAnsi="Arial"/>
                <w:sz w:val="16"/>
                <w:szCs w:val="16"/>
                <w:color w:val="auto"/>
              </w:rPr>
              <w:t>(the minimum level of Achievement to qualify for any payout of the</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Borders>
              <w:right w:val="single" w:sz="8" w:color="auto"/>
            </w:tcBorders>
            <w:gridSpan w:val="2"/>
            <w:vMerge w:val="restart"/>
          </w:tcPr>
          <w:p>
            <w:pPr>
              <w:jc w:val="center"/>
              <w:ind w:right="441"/>
              <w:spacing w:after="0"/>
              <w:rPr>
                <w:sz w:val="20"/>
                <w:szCs w:val="20"/>
                <w:color w:val="auto"/>
              </w:rPr>
            </w:pPr>
            <w:r>
              <w:rPr>
                <w:rFonts w:ascii="Arial" w:cs="Arial" w:eastAsia="Arial" w:hAnsi="Arial"/>
                <w:sz w:val="20"/>
                <w:szCs w:val="20"/>
                <w:color w:val="auto"/>
                <w:w w:val="97"/>
              </w:rPr>
              <w:t>25th</w:t>
            </w:r>
          </w:p>
        </w:tc>
        <w:tc>
          <w:tcPr>
            <w:tcW w:w="380" w:type="dxa"/>
            <w:vAlign w:val="bottom"/>
          </w:tcPr>
          <w:p>
            <w:pPr>
              <w:spacing w:after="0"/>
              <w:rPr>
                <w:sz w:val="20"/>
                <w:szCs w:val="2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Arial" w:cs="Arial" w:eastAsia="Arial" w:hAnsi="Arial"/>
                <w:sz w:val="20"/>
                <w:szCs w:val="20"/>
                <w:color w:val="auto"/>
              </w:rPr>
              <w:t>50%</w:t>
            </w:r>
          </w:p>
        </w:tc>
        <w:tc>
          <w:tcPr>
            <w:tcW w:w="60" w:type="dxa"/>
            <w:vAlign w:val="bottom"/>
          </w:tcPr>
          <w:p>
            <w:pPr>
              <w:spacing w:after="0"/>
              <w:rPr>
                <w:sz w:val="20"/>
                <w:szCs w:val="20"/>
                <w:color w:val="auto"/>
              </w:rPr>
            </w:pPr>
          </w:p>
        </w:tc>
        <w:tc>
          <w:tcPr>
            <w:tcW w:w="80" w:type="dxa"/>
            <w:vAlign w:val="bottom"/>
            <w:tcBorders>
              <w:right w:val="single" w:sz="8" w:color="00B05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00" w:type="dxa"/>
            <w:vAlign w:val="bottom"/>
            <w:tcBorders>
              <w:left w:val="single" w:sz="8" w:color="00B050"/>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71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TSR half of your Target PSU Award.)</w:t>
            </w: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right w:val="single" w:sz="8" w:color="auto"/>
            </w:tcBorders>
            <w:gridSpan w:val="2"/>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right w:val="single" w:sz="8" w:color="00B050"/>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7560" w:type="dxa"/>
            <w:vAlign w:val="bottom"/>
            <w:tcBorders>
              <w:left w:val="single" w:sz="8" w:color="00B050"/>
            </w:tcBorders>
            <w:gridSpan w:val="4"/>
          </w:tcPr>
          <w:p>
            <w:pPr>
              <w:jc w:val="right"/>
              <w:ind w:right="1713"/>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right w:val="single" w:sz="8" w:color="00B05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00" w:type="dxa"/>
            <w:vAlign w:val="bottom"/>
            <w:tcBorders>
              <w:left w:val="single" w:sz="8" w:color="00B050"/>
              <w:bottom w:val="single" w:sz="8" w:color="00B050"/>
            </w:tcBorders>
          </w:tcPr>
          <w:p>
            <w:pPr>
              <w:spacing w:after="0"/>
              <w:rPr>
                <w:sz w:val="17"/>
                <w:szCs w:val="17"/>
                <w:color w:val="auto"/>
              </w:rPr>
            </w:pPr>
          </w:p>
        </w:tc>
        <w:tc>
          <w:tcPr>
            <w:tcW w:w="140" w:type="dxa"/>
            <w:vAlign w:val="bottom"/>
            <w:tcBorders>
              <w:bottom w:val="single" w:sz="8" w:color="00B050"/>
            </w:tcBorders>
          </w:tcPr>
          <w:p>
            <w:pPr>
              <w:spacing w:after="0"/>
              <w:rPr>
                <w:sz w:val="17"/>
                <w:szCs w:val="17"/>
                <w:color w:val="auto"/>
              </w:rPr>
            </w:pPr>
          </w:p>
        </w:tc>
        <w:tc>
          <w:tcPr>
            <w:tcW w:w="3420" w:type="dxa"/>
            <w:vAlign w:val="bottom"/>
            <w:tcBorders>
              <w:bottom w:val="single" w:sz="8" w:color="00B050"/>
            </w:tcBorders>
          </w:tcPr>
          <w:p>
            <w:pPr>
              <w:spacing w:after="0"/>
              <w:rPr>
                <w:sz w:val="17"/>
                <w:szCs w:val="17"/>
                <w:color w:val="auto"/>
              </w:rPr>
            </w:pPr>
          </w:p>
        </w:tc>
        <w:tc>
          <w:tcPr>
            <w:tcW w:w="3700" w:type="dxa"/>
            <w:vAlign w:val="bottom"/>
            <w:tcBorders>
              <w:bottom w:val="single" w:sz="8" w:color="00B050"/>
            </w:tcBorders>
          </w:tcPr>
          <w:p>
            <w:pPr>
              <w:spacing w:after="0"/>
              <w:rPr>
                <w:sz w:val="17"/>
                <w:szCs w:val="17"/>
                <w:color w:val="auto"/>
              </w:rPr>
            </w:pPr>
          </w:p>
        </w:tc>
        <w:tc>
          <w:tcPr>
            <w:tcW w:w="80" w:type="dxa"/>
            <w:vAlign w:val="bottom"/>
            <w:tcBorders>
              <w:bottom w:val="single" w:sz="8" w:color="00B050"/>
            </w:tcBorders>
          </w:tcPr>
          <w:p>
            <w:pPr>
              <w:spacing w:after="0"/>
              <w:rPr>
                <w:sz w:val="17"/>
                <w:szCs w:val="17"/>
                <w:color w:val="auto"/>
              </w:rPr>
            </w:pPr>
          </w:p>
        </w:tc>
        <w:tc>
          <w:tcPr>
            <w:tcW w:w="420" w:type="dxa"/>
            <w:vAlign w:val="bottom"/>
            <w:tcBorders>
              <w:bottom w:val="single" w:sz="8" w:color="00B050"/>
            </w:tcBorders>
          </w:tcPr>
          <w:p>
            <w:pPr>
              <w:spacing w:after="0"/>
              <w:rPr>
                <w:sz w:val="17"/>
                <w:szCs w:val="17"/>
                <w:color w:val="auto"/>
              </w:rPr>
            </w:pPr>
          </w:p>
        </w:tc>
        <w:tc>
          <w:tcPr>
            <w:tcW w:w="840" w:type="dxa"/>
            <w:vAlign w:val="bottom"/>
            <w:tcBorders>
              <w:bottom w:val="single" w:sz="8" w:color="00B050"/>
            </w:tcBorders>
          </w:tcPr>
          <w:p>
            <w:pPr>
              <w:spacing w:after="0"/>
              <w:rPr>
                <w:sz w:val="17"/>
                <w:szCs w:val="17"/>
                <w:color w:val="auto"/>
              </w:rPr>
            </w:pPr>
          </w:p>
        </w:tc>
        <w:tc>
          <w:tcPr>
            <w:tcW w:w="920" w:type="dxa"/>
            <w:vAlign w:val="bottom"/>
            <w:tcBorders>
              <w:bottom w:val="single" w:sz="8" w:color="00B050"/>
            </w:tcBorders>
          </w:tcPr>
          <w:p>
            <w:pPr>
              <w:spacing w:after="0"/>
              <w:rPr>
                <w:sz w:val="17"/>
                <w:szCs w:val="17"/>
                <w:color w:val="auto"/>
              </w:rPr>
            </w:pPr>
          </w:p>
        </w:tc>
        <w:tc>
          <w:tcPr>
            <w:tcW w:w="380" w:type="dxa"/>
            <w:vAlign w:val="bottom"/>
            <w:tcBorders>
              <w:bottom w:val="single" w:sz="8" w:color="00B050"/>
            </w:tcBorders>
          </w:tcPr>
          <w:p>
            <w:pPr>
              <w:spacing w:after="0"/>
              <w:rPr>
                <w:sz w:val="17"/>
                <w:szCs w:val="17"/>
                <w:color w:val="auto"/>
              </w:rPr>
            </w:pPr>
          </w:p>
        </w:tc>
        <w:tc>
          <w:tcPr>
            <w:tcW w:w="1080" w:type="dxa"/>
            <w:vAlign w:val="bottom"/>
            <w:tcBorders>
              <w:bottom w:val="single" w:sz="8" w:color="00B050"/>
            </w:tcBorders>
          </w:tcPr>
          <w:p>
            <w:pPr>
              <w:spacing w:after="0"/>
              <w:rPr>
                <w:sz w:val="17"/>
                <w:szCs w:val="17"/>
                <w:color w:val="auto"/>
              </w:rPr>
            </w:pPr>
          </w:p>
        </w:tc>
        <w:tc>
          <w:tcPr>
            <w:tcW w:w="60" w:type="dxa"/>
            <w:vAlign w:val="bottom"/>
            <w:tcBorders>
              <w:bottom w:val="single" w:sz="8" w:color="00B050"/>
            </w:tcBorders>
          </w:tcPr>
          <w:p>
            <w:pPr>
              <w:spacing w:after="0"/>
              <w:rPr>
                <w:sz w:val="17"/>
                <w:szCs w:val="17"/>
                <w:color w:val="auto"/>
              </w:rPr>
            </w:pPr>
          </w:p>
        </w:tc>
        <w:tc>
          <w:tcPr>
            <w:tcW w:w="80" w:type="dxa"/>
            <w:vAlign w:val="bottom"/>
            <w:tcBorders>
              <w:bottom w:val="single" w:sz="8" w:color="00B050"/>
              <w:right w:val="single" w:sz="8" w:color="00B050"/>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3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267575" cy="5989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5989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20"/>
        <w:spacing w:after="0"/>
        <w:rPr>
          <w:sz w:val="20"/>
          <w:szCs w:val="20"/>
          <w:color w:val="auto"/>
        </w:rPr>
      </w:pPr>
      <w:r>
        <w:rPr>
          <w:rFonts w:ascii="Arial" w:cs="Arial" w:eastAsia="Arial" w:hAnsi="Arial"/>
          <w:sz w:val="20"/>
          <w:szCs w:val="20"/>
          <w:b w:val="1"/>
          <w:bCs w:val="1"/>
          <w:color w:val="auto"/>
        </w:rPr>
        <w:t>Total Shareholder Return Relative to the S&amp;P 500 over the Performance Period</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 xml:space="preserve">Target Performance </w:t>
      </w:r>
      <w:r>
        <w:rPr>
          <w:rFonts w:ascii="Arial" w:cs="Arial" w:eastAsia="Arial" w:hAnsi="Arial"/>
          <w:sz w:val="16"/>
          <w:szCs w:val="16"/>
          <w:color w:val="auto"/>
        </w:rPr>
        <w:t>(the level of Achievement to qualify for 100% payout of the TSR half of your</w:t>
      </w:r>
    </w:p>
    <w:tbl>
      <w:tblPr>
        <w:tblLayout w:type="fixed"/>
        <w:tblInd w:w="500" w:type="dxa"/>
        <w:tblCellMar>
          <w:top w:w="0" w:type="dxa"/>
          <w:left w:w="0" w:type="dxa"/>
          <w:bottom w:w="0" w:type="dxa"/>
          <w:right w:w="0" w:type="dxa"/>
        </w:tblCellMar>
      </w:tblPr>
      <w:tr>
        <w:trPr>
          <w:trHeight w:val="233"/>
        </w:trPr>
        <w:tc>
          <w:tcPr>
            <w:tcW w:w="80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Target PSU Award.)</w:t>
            </w:r>
          </w:p>
        </w:tc>
        <w:tc>
          <w:tcPr>
            <w:tcW w:w="1400" w:type="dxa"/>
            <w:vAlign w:val="bottom"/>
            <w:tcBorders>
              <w:bottom w:val="single" w:sz="8" w:color="auto"/>
            </w:tcBorders>
          </w:tcPr>
          <w:p>
            <w:pPr>
              <w:ind w:left="460"/>
              <w:spacing w:after="0"/>
              <w:rPr>
                <w:sz w:val="20"/>
                <w:szCs w:val="20"/>
                <w:color w:val="auto"/>
              </w:rPr>
            </w:pPr>
            <w:r>
              <w:rPr>
                <w:rFonts w:ascii="Arial" w:cs="Arial" w:eastAsia="Arial" w:hAnsi="Arial"/>
                <w:sz w:val="20"/>
                <w:szCs w:val="20"/>
                <w:color w:val="auto"/>
              </w:rPr>
              <w:t>50th</w:t>
            </w:r>
          </w:p>
        </w:tc>
        <w:tc>
          <w:tcPr>
            <w:tcW w:w="138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8"/>
        </w:trPr>
        <w:tc>
          <w:tcPr>
            <w:tcW w:w="8060" w:type="dxa"/>
            <w:vAlign w:val="bottom"/>
          </w:tcPr>
          <w:p>
            <w:pPr>
              <w:ind w:left="80"/>
              <w:spacing w:after="0"/>
              <w:rPr>
                <w:sz w:val="20"/>
                <w:szCs w:val="20"/>
                <w:color w:val="auto"/>
              </w:rPr>
            </w:pPr>
            <w:r>
              <w:rPr>
                <w:rFonts w:ascii="Arial" w:cs="Arial" w:eastAsia="Arial" w:hAnsi="Arial"/>
                <w:sz w:val="20"/>
                <w:szCs w:val="20"/>
                <w:b w:val="1"/>
                <w:bCs w:val="1"/>
                <w:i w:val="1"/>
                <w:iCs w:val="1"/>
                <w:color w:val="auto"/>
              </w:rPr>
              <w:t xml:space="preserve">Maximum Performance </w:t>
            </w:r>
            <w:r>
              <w:rPr>
                <w:rFonts w:ascii="Arial" w:cs="Arial" w:eastAsia="Arial" w:hAnsi="Arial"/>
                <w:sz w:val="16"/>
                <w:szCs w:val="16"/>
                <w:color w:val="auto"/>
              </w:rPr>
              <w:t>(the maximum level of Achievement that results in an increased number of</w:t>
            </w:r>
          </w:p>
        </w:tc>
        <w:tc>
          <w:tcPr>
            <w:tcW w:w="1400" w:type="dxa"/>
            <w:vAlign w:val="bottom"/>
            <w:vMerge w:val="restart"/>
          </w:tcPr>
          <w:p>
            <w:pPr>
              <w:ind w:left="460"/>
              <w:spacing w:after="0"/>
              <w:rPr>
                <w:sz w:val="20"/>
                <w:szCs w:val="20"/>
                <w:color w:val="auto"/>
              </w:rPr>
            </w:pPr>
            <w:r>
              <w:rPr>
                <w:rFonts w:ascii="Arial" w:cs="Arial" w:eastAsia="Arial" w:hAnsi="Arial"/>
                <w:sz w:val="20"/>
                <w:szCs w:val="20"/>
                <w:color w:val="auto"/>
              </w:rPr>
              <w:t>75th</w:t>
            </w:r>
          </w:p>
        </w:tc>
        <w:tc>
          <w:tcPr>
            <w:tcW w:w="1380" w:type="dxa"/>
            <w:vAlign w:val="bottom"/>
            <w:vMerge w:val="restart"/>
          </w:tcPr>
          <w:p>
            <w:pPr>
              <w:jc w:val="right"/>
              <w:ind w:right="221"/>
              <w:spacing w:after="0"/>
              <w:rPr>
                <w:sz w:val="20"/>
                <w:szCs w:val="20"/>
                <w:color w:val="auto"/>
              </w:rPr>
            </w:pPr>
            <w:r>
              <w:rPr>
                <w:rFonts w:ascii="Arial" w:cs="Arial" w:eastAsia="Arial" w:hAnsi="Arial"/>
                <w:sz w:val="20"/>
                <w:szCs w:val="20"/>
                <w:color w:val="auto"/>
              </w:rPr>
              <w:t>200%</w:t>
            </w:r>
          </w:p>
        </w:tc>
        <w:tc>
          <w:tcPr>
            <w:tcW w:w="0" w:type="dxa"/>
            <w:vAlign w:val="bottom"/>
          </w:tcPr>
          <w:p>
            <w:pPr>
              <w:spacing w:after="0"/>
              <w:rPr>
                <w:sz w:val="1"/>
                <w:szCs w:val="1"/>
                <w:color w:val="auto"/>
              </w:rPr>
            </w:pPr>
          </w:p>
        </w:tc>
      </w:tr>
      <w:tr>
        <w:trPr>
          <w:trHeight w:val="205"/>
        </w:trPr>
        <w:tc>
          <w:tcPr>
            <w:tcW w:w="8060" w:type="dxa"/>
            <w:vAlign w:val="bottom"/>
          </w:tcPr>
          <w:p>
            <w:pPr>
              <w:ind w:left="80"/>
              <w:spacing w:after="0"/>
              <w:rPr>
                <w:sz w:val="20"/>
                <w:szCs w:val="20"/>
                <w:color w:val="auto"/>
              </w:rPr>
            </w:pPr>
            <w:r>
              <w:rPr>
                <w:rFonts w:ascii="Arial" w:cs="Arial" w:eastAsia="Arial" w:hAnsi="Arial"/>
                <w:sz w:val="16"/>
                <w:szCs w:val="16"/>
                <w:color w:val="auto"/>
              </w:rPr>
              <w:t>PSUs paid out under the TSR half of your Target PSU Award.)</w:t>
            </w:r>
          </w:p>
        </w:tc>
        <w:tc>
          <w:tcPr>
            <w:tcW w:w="14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640" w:right="220" w:hanging="332"/>
        <w:spacing w:after="0" w:line="227" w:lineRule="auto"/>
        <w:tabs>
          <w:tab w:leader="none" w:pos="661"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Timing and Form of Payment of PSU Award</w:t>
      </w:r>
      <w:r>
        <w:rPr>
          <w:rFonts w:ascii="Arial" w:cs="Arial" w:eastAsia="Arial" w:hAnsi="Arial"/>
          <w:sz w:val="20"/>
          <w:szCs w:val="20"/>
          <w:color w:val="auto"/>
        </w:rPr>
        <w:t>. After the close of the Performance Period, the Committee will certify (with respect to each portion of your Target PSU Award relating to the separate Performance Goals) Achievement and determine the corresponding payout percentage of the PSU Award by multiplying the applicable half of the PSU Award by the applicable payout percentage. The results will sum to the total number of shares of Common Stock that you are entitled to receive (the “</w:t>
      </w:r>
      <w:r>
        <w:rPr>
          <w:rFonts w:ascii="Arial" w:cs="Arial" w:eastAsia="Arial" w:hAnsi="Arial"/>
          <w:sz w:val="20"/>
          <w:szCs w:val="20"/>
          <w:b w:val="1"/>
          <w:bCs w:val="1"/>
          <w:i w:val="1"/>
          <w:iCs w:val="1"/>
          <w:color w:val="auto"/>
        </w:rPr>
        <w:t>PSU Awarded Shares</w:t>
      </w:r>
      <w:r>
        <w:rPr>
          <w:rFonts w:ascii="Arial" w:cs="Arial" w:eastAsia="Arial" w:hAnsi="Arial"/>
          <w:sz w:val="20"/>
          <w:szCs w:val="20"/>
          <w:color w:val="auto"/>
        </w:rPr>
        <w:t>”). Unless you have a valid Deferral Election in place for your PSU Award (see paragraph 8 under “</w:t>
      </w:r>
      <w:r>
        <w:rPr>
          <w:rFonts w:ascii="Arial" w:cs="Arial" w:eastAsia="Arial" w:hAnsi="Arial"/>
          <w:sz w:val="20"/>
          <w:szCs w:val="20"/>
          <w:color w:val="00B050"/>
        </w:rPr>
        <w:t>Important Award Details</w:t>
      </w:r>
      <w:r>
        <w:rPr>
          <w:rFonts w:ascii="Arial" w:cs="Arial" w:eastAsia="Arial" w:hAnsi="Arial"/>
          <w:sz w:val="20"/>
          <w:szCs w:val="20"/>
          <w:color w:val="auto"/>
        </w:rPr>
        <w:t xml:space="preserve">” for further information on permitted deferrals), the Company will deliver the PSU Awarded Shares and payment of the corresponding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xml:space="preserve"> (as defined in paragraph 7 under “</w:t>
      </w:r>
      <w:r>
        <w:rPr>
          <w:rFonts w:ascii="Arial" w:cs="Arial" w:eastAsia="Arial" w:hAnsi="Arial"/>
          <w:sz w:val="20"/>
          <w:szCs w:val="20"/>
          <w:color w:val="00B050"/>
        </w:rPr>
        <w:t>Important Award Details</w:t>
      </w:r>
      <w:r>
        <w:rPr>
          <w:rFonts w:ascii="Arial" w:cs="Arial" w:eastAsia="Arial" w:hAnsi="Arial"/>
          <w:sz w:val="20"/>
          <w:szCs w:val="20"/>
          <w:color w:val="auto"/>
        </w:rPr>
        <w:t>”) as soon as administratively feasible (and no later than 74 days after the end of the Performance Period) after the Committee’s certification and determination.</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29"/>
          <w:szCs w:val="29"/>
          <w:b w:val="1"/>
          <w:bCs w:val="1"/>
          <w:color w:val="00B050"/>
        </w:rPr>
        <w:t>Stock Options</w:t>
      </w:r>
    </w:p>
    <w:p>
      <w:pPr>
        <w:spacing w:after="0" w:line="233" w:lineRule="exact"/>
        <w:rPr>
          <w:sz w:val="20"/>
          <w:szCs w:val="20"/>
          <w:color w:val="auto"/>
        </w:rPr>
      </w:pPr>
    </w:p>
    <w:p>
      <w:pPr>
        <w:ind w:left="640" w:right="320" w:hanging="332"/>
        <w:spacing w:after="0" w:line="237" w:lineRule="auto"/>
        <w:tabs>
          <w:tab w:leader="none" w:pos="661"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Stock Option Grant</w:t>
      </w:r>
      <w:r>
        <w:rPr>
          <w:rFonts w:ascii="Arial" w:cs="Arial" w:eastAsia="Arial" w:hAnsi="Arial"/>
          <w:sz w:val="20"/>
          <w:szCs w:val="20"/>
          <w:color w:val="auto"/>
        </w:rPr>
        <w:t>. The Company grants to Employee a stock option award (the “</w:t>
      </w:r>
      <w:r>
        <w:rPr>
          <w:rFonts w:ascii="Arial" w:cs="Arial" w:eastAsia="Arial" w:hAnsi="Arial"/>
          <w:sz w:val="20"/>
          <w:szCs w:val="20"/>
          <w:b w:val="1"/>
          <w:bCs w:val="1"/>
          <w:i w:val="1"/>
          <w:iCs w:val="1"/>
          <w:color w:val="auto"/>
        </w:rPr>
        <w:t>Stock Option Award</w:t>
      </w:r>
      <w:r>
        <w:rPr>
          <w:rFonts w:ascii="Arial" w:cs="Arial" w:eastAsia="Arial" w:hAnsi="Arial"/>
          <w:sz w:val="20"/>
          <w:szCs w:val="20"/>
          <w:color w:val="auto"/>
        </w:rPr>
        <w:t>”) for the number of shares (“</w:t>
      </w:r>
      <w:r>
        <w:rPr>
          <w:rFonts w:ascii="Arial" w:cs="Arial" w:eastAsia="Arial" w:hAnsi="Arial"/>
          <w:sz w:val="20"/>
          <w:szCs w:val="20"/>
          <w:b w:val="1"/>
          <w:bCs w:val="1"/>
          <w:i w:val="1"/>
          <w:iCs w:val="1"/>
          <w:color w:val="auto"/>
        </w:rPr>
        <w:t>Stock Options</w:t>
      </w:r>
      <w:r>
        <w:rPr>
          <w:rFonts w:ascii="Arial" w:cs="Arial" w:eastAsia="Arial" w:hAnsi="Arial"/>
          <w:sz w:val="20"/>
          <w:szCs w:val="20"/>
          <w:color w:val="auto"/>
        </w:rPr>
        <w:t>”) of Common Stock provided in the Notice. This Stock Option Award grants Employee the right to purchase shares of Common Stock at the Grant Price. The “</w:t>
      </w:r>
      <w:r>
        <w:rPr>
          <w:rFonts w:ascii="Arial" w:cs="Arial" w:eastAsia="Arial" w:hAnsi="Arial"/>
          <w:sz w:val="20"/>
          <w:szCs w:val="20"/>
          <w:b w:val="1"/>
          <w:bCs w:val="1"/>
          <w:i w:val="1"/>
          <w:iCs w:val="1"/>
          <w:color w:val="auto"/>
        </w:rPr>
        <w:t>Grant Price</w:t>
      </w:r>
      <w:r>
        <w:rPr>
          <w:rFonts w:ascii="Arial" w:cs="Arial" w:eastAsia="Arial" w:hAnsi="Arial"/>
          <w:sz w:val="20"/>
          <w:szCs w:val="20"/>
          <w:color w:val="auto"/>
        </w:rPr>
        <w:t>” is the Fair Market Value (as defined in the Plan) of a share of Common Stock on the Grant Date.</w:t>
      </w:r>
    </w:p>
    <w:p>
      <w:pPr>
        <w:spacing w:after="0" w:line="177" w:lineRule="exact"/>
        <w:rPr>
          <w:rFonts w:ascii="Arial" w:cs="Arial" w:eastAsia="Arial" w:hAnsi="Arial"/>
          <w:sz w:val="20"/>
          <w:szCs w:val="20"/>
          <w:color w:val="auto"/>
        </w:rPr>
      </w:pPr>
    </w:p>
    <w:p>
      <w:pPr>
        <w:ind w:left="660" w:hanging="352"/>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Notwithstanding any other provisions of this Agreement, the maximum term of the Stock Option Award is the</w:t>
      </w:r>
    </w:p>
    <w:p>
      <w:pPr>
        <w:ind w:left="640"/>
        <w:spacing w:after="0"/>
        <w:rPr>
          <w:sz w:val="20"/>
          <w:szCs w:val="20"/>
          <w:color w:val="auto"/>
        </w:rPr>
      </w:pPr>
      <w:r>
        <w:rPr>
          <w:rFonts w:ascii="Arial" w:cs="Arial" w:eastAsia="Arial" w:hAnsi="Arial"/>
          <w:sz w:val="20"/>
          <w:szCs w:val="20"/>
          <w:color w:val="auto"/>
        </w:rPr>
        <w:t>10</w:t>
      </w:r>
      <w:r>
        <w:rPr>
          <w:rFonts w:ascii="Arial" w:cs="Arial" w:eastAsia="Arial" w:hAnsi="Arial"/>
          <w:sz w:val="20"/>
          <w:szCs w:val="20"/>
          <w:color w:val="auto"/>
          <w:vertAlign w:val="superscript"/>
        </w:rPr>
        <w:t>th</w:t>
      </w:r>
      <w:r>
        <w:rPr>
          <w:rFonts w:ascii="Arial" w:cs="Arial" w:eastAsia="Arial" w:hAnsi="Arial"/>
          <w:sz w:val="20"/>
          <w:szCs w:val="20"/>
          <w:color w:val="auto"/>
        </w:rPr>
        <w:t xml:space="preserve"> anniversary of the Grant Date.</w:t>
      </w:r>
    </w:p>
    <w:p>
      <w:pPr>
        <w:spacing w:after="0" w:line="207" w:lineRule="exact"/>
        <w:rPr>
          <w:sz w:val="20"/>
          <w:szCs w:val="20"/>
          <w:color w:val="auto"/>
        </w:rPr>
      </w:pPr>
    </w:p>
    <w:p>
      <w:pPr>
        <w:ind w:left="640" w:right="220" w:hanging="332"/>
        <w:spacing w:after="0" w:line="236" w:lineRule="auto"/>
        <w:tabs>
          <w:tab w:leader="none" w:pos="661"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Right to Exercise</w:t>
      </w:r>
      <w:r>
        <w:rPr>
          <w:rFonts w:ascii="Arial" w:cs="Arial" w:eastAsia="Arial" w:hAnsi="Arial"/>
          <w:sz w:val="20"/>
          <w:szCs w:val="20"/>
          <w:color w:val="auto"/>
        </w:rPr>
        <w:t>. Provided Employee remains employed by WM continuously through the applicable exercise dates, the Stock Option Award is exercisable as follows:</w:t>
      </w:r>
    </w:p>
    <w:p>
      <w:pPr>
        <w:spacing w:after="0" w:line="220" w:lineRule="exact"/>
        <w:rPr>
          <w:sz w:val="20"/>
          <w:szCs w:val="20"/>
          <w:color w:val="auto"/>
        </w:rPr>
      </w:pPr>
    </w:p>
    <w:tbl>
      <w:tblPr>
        <w:tblLayout w:type="fixed"/>
        <w:tblInd w:w="4790" w:type="dxa"/>
        <w:tblCellMar>
          <w:top w:w="0" w:type="dxa"/>
          <w:left w:w="0" w:type="dxa"/>
          <w:bottom w:w="0" w:type="dxa"/>
          <w:right w:w="0" w:type="dxa"/>
        </w:tblCellMar>
      </w:tblPr>
      <w:tr>
        <w:trPr>
          <w:trHeight w:val="229"/>
        </w:trPr>
        <w:tc>
          <w:tcPr>
            <w:tcW w:w="53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i w:val="1"/>
                <w:iCs w:val="1"/>
                <w:color w:val="auto"/>
              </w:rPr>
              <w:t>Exercise Date</w:t>
            </w:r>
          </w:p>
        </w:tc>
        <w:tc>
          <w:tcPr>
            <w:tcW w:w="1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Cumulative</w:t>
            </w:r>
          </w:p>
        </w:tc>
      </w:tr>
      <w:tr>
        <w:trPr>
          <w:trHeight w:val="216"/>
        </w:trPr>
        <w:tc>
          <w:tcPr>
            <w:tcW w:w="536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0"/>
                <w:szCs w:val="20"/>
                <w:b w:val="1"/>
                <w:bCs w:val="1"/>
                <w:i w:val="1"/>
                <w:iCs w:val="1"/>
                <w:color w:val="auto"/>
              </w:rPr>
              <w:t>Percentage</w:t>
            </w:r>
          </w:p>
        </w:tc>
      </w:tr>
      <w:tr>
        <w:trPr>
          <w:trHeight w:val="216"/>
        </w:trPr>
        <w:tc>
          <w:tcPr>
            <w:tcW w:w="536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0"/>
                <w:szCs w:val="20"/>
                <w:b w:val="1"/>
                <w:bCs w:val="1"/>
                <w:i w:val="1"/>
                <w:iCs w:val="1"/>
                <w:color w:val="auto"/>
              </w:rPr>
              <w:t>of Stock</w:t>
            </w:r>
          </w:p>
        </w:tc>
      </w:tr>
      <w:tr>
        <w:trPr>
          <w:trHeight w:val="216"/>
        </w:trPr>
        <w:tc>
          <w:tcPr>
            <w:tcW w:w="536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0"/>
                <w:szCs w:val="20"/>
                <w:b w:val="1"/>
                <w:bCs w:val="1"/>
                <w:i w:val="1"/>
                <w:iCs w:val="1"/>
                <w:color w:val="auto"/>
              </w:rPr>
              <w:t>Option</w:t>
            </w:r>
          </w:p>
        </w:tc>
      </w:tr>
      <w:tr>
        <w:trPr>
          <w:trHeight w:val="216"/>
        </w:trPr>
        <w:tc>
          <w:tcPr>
            <w:tcW w:w="536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0"/>
                <w:szCs w:val="20"/>
                <w:b w:val="1"/>
                <w:bCs w:val="1"/>
                <w:i w:val="1"/>
                <w:iCs w:val="1"/>
                <w:color w:val="auto"/>
              </w:rPr>
              <w:t>Award</w:t>
            </w:r>
          </w:p>
        </w:tc>
      </w:tr>
      <w:tr>
        <w:trPr>
          <w:trHeight w:val="257"/>
        </w:trPr>
        <w:tc>
          <w:tcPr>
            <w:tcW w:w="5360" w:type="dxa"/>
            <w:vAlign w:val="bottom"/>
            <w:tcBorders>
              <w:left w:val="single" w:sz="8" w:color="auto"/>
              <w:bottom w:val="single" w:sz="8" w:color="auto"/>
              <w:right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w w:val="98"/>
              </w:rPr>
              <w:t>Exercisable</w:t>
            </w:r>
          </w:p>
        </w:tc>
      </w:tr>
      <w:tr>
        <w:trPr>
          <w:trHeight w:val="250"/>
        </w:trPr>
        <w:tc>
          <w:tcPr>
            <w:tcW w:w="53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Prior to the first anniversary of the Grant Date</w:t>
            </w:r>
          </w:p>
        </w:tc>
        <w:tc>
          <w:tcPr>
            <w:tcW w:w="1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0%</w:t>
            </w:r>
          </w:p>
        </w:tc>
      </w:tr>
      <w:tr>
        <w:trPr>
          <w:trHeight w:val="250"/>
        </w:trPr>
        <w:tc>
          <w:tcPr>
            <w:tcW w:w="53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On or after the first anniversary of the Grant Date</w:t>
            </w:r>
          </w:p>
        </w:tc>
        <w:tc>
          <w:tcPr>
            <w:tcW w:w="1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25%</w:t>
            </w:r>
          </w:p>
        </w:tc>
      </w:tr>
      <w:tr>
        <w:trPr>
          <w:trHeight w:val="185"/>
        </w:trPr>
        <w:tc>
          <w:tcPr>
            <w:tcW w:w="5360" w:type="dxa"/>
            <w:vAlign w:val="bottom"/>
            <w:tcBorders>
              <w:left w:val="single" w:sz="8" w:color="auto"/>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r>
    </w:tbl>
    <w:p>
      <w:pPr>
        <w:sectPr>
          <w:pgSz w:w="11900" w:h="16900" w:orient="portrait"/>
          <w:cols w:equalWidth="0" w:num="1">
            <w:col w:w="11460"/>
          </w:cols>
          <w:pgMar w:left="240" w:top="98" w:right="199" w:bottom="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8644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864485"/>
                    </a:xfrm>
                    <a:prstGeom prst="rect">
                      <a:avLst/>
                    </a:prstGeom>
                    <a:noFill/>
                  </pic:spPr>
                </pic:pic>
              </a:graphicData>
            </a:graphic>
          </wp:anchor>
        </w:drawing>
      </w:r>
    </w:p>
    <w:tbl>
      <w:tblPr>
        <w:tblLayout w:type="fixed"/>
        <w:tblInd w:w="4490" w:type="dxa"/>
        <w:tblCellMar>
          <w:top w:w="0" w:type="dxa"/>
          <w:left w:w="0" w:type="dxa"/>
          <w:bottom w:w="0" w:type="dxa"/>
          <w:right w:w="0" w:type="dxa"/>
        </w:tblCellMar>
      </w:tblPr>
      <w:tr>
        <w:trPr>
          <w:trHeight w:val="230"/>
        </w:trPr>
        <w:tc>
          <w:tcPr>
            <w:tcW w:w="53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On or after the second anniversary of the Grant Date</w:t>
            </w:r>
          </w:p>
        </w:tc>
        <w:tc>
          <w:tcPr>
            <w:tcW w:w="1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50%</w:t>
            </w:r>
          </w:p>
        </w:tc>
      </w:tr>
      <w:tr>
        <w:trPr>
          <w:trHeight w:val="250"/>
        </w:trPr>
        <w:tc>
          <w:tcPr>
            <w:tcW w:w="53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On or after the third anniversary of the Grant Date</w:t>
            </w:r>
          </w:p>
        </w:tc>
        <w:tc>
          <w:tcPr>
            <w:tcW w:w="1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100%</w:t>
            </w:r>
          </w:p>
        </w:tc>
      </w:tr>
    </w:tbl>
    <w:p>
      <w:pPr>
        <w:spacing w:after="0" w:line="77" w:lineRule="exact"/>
        <w:rPr>
          <w:sz w:val="20"/>
          <w:szCs w:val="20"/>
          <w:color w:val="auto"/>
        </w:rPr>
      </w:pPr>
    </w:p>
    <w:p>
      <w:pPr>
        <w:ind w:left="340" w:right="400" w:hanging="332"/>
        <w:spacing w:after="0" w:line="232" w:lineRule="auto"/>
        <w:tabs>
          <w:tab w:leader="none" w:pos="361"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Manner of Exercise</w:t>
      </w:r>
      <w:r>
        <w:rPr>
          <w:rFonts w:ascii="Arial" w:cs="Arial" w:eastAsia="Arial" w:hAnsi="Arial"/>
          <w:sz w:val="20"/>
          <w:szCs w:val="20"/>
          <w:color w:val="auto"/>
        </w:rPr>
        <w:t>. In order to exercise all or a portion of the Stock Option Award, Employee must contact (either by phone or online) the third-party stock plan administrator designated by the Company and follow the procedures established by the Company for exercising a Stock Option Award.</w:t>
      </w:r>
    </w:p>
    <w:p>
      <w:pPr>
        <w:spacing w:after="0" w:line="197" w:lineRule="exact"/>
        <w:rPr>
          <w:rFonts w:ascii="Arial" w:cs="Arial" w:eastAsia="Arial" w:hAnsi="Arial"/>
          <w:sz w:val="20"/>
          <w:szCs w:val="20"/>
          <w:color w:val="auto"/>
        </w:rPr>
      </w:pPr>
    </w:p>
    <w:p>
      <w:pPr>
        <w:ind w:left="340" w:right="140" w:hanging="332"/>
        <w:spacing w:after="0" w:line="227" w:lineRule="auto"/>
        <w:tabs>
          <w:tab w:leader="none" w:pos="361"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Payment of Grant Price</w:t>
      </w:r>
      <w:r>
        <w:rPr>
          <w:rFonts w:ascii="Arial" w:cs="Arial" w:eastAsia="Arial" w:hAnsi="Arial"/>
          <w:sz w:val="20"/>
          <w:szCs w:val="20"/>
          <w:color w:val="auto"/>
        </w:rPr>
        <w:t xml:space="preserve">. The Grant Price is payable in full to the Company either (a) in cash or its equivalent; (b) by tendering previously acquired shares of Common Stock held for at least six months and with an aggregate fair market value at the time of exercise equal to the aggregate Grant Price; (c) to the extent Employee is an executive officer at the time of exercise, by withholding shares of Common Stock that otherwise would be acquired pursuant to the Stock Option Award; or (d) any combination of the foregoing. The Grant Price may also be paid by cashless exercise through delivery of irrevocable instructions to a broker to promptly deliver to the Company the amount of proceeds from a sale of shares having fair market value equal to the Grant Price, provided that such instructions are delivered by no later than the close of the New York Stock Exchange on the last </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xml:space="preserve"> prior to the 10th anniversary of the Grant Date. Payment by cashless exercise shall not be considered to have occurred until the broker has issued confirmation of the transaction. For these purposes, </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xml:space="preserve"> means a day on which the New York Stock Exchange is open for trading for its regular trading sessions.</w:t>
      </w:r>
    </w:p>
    <w:p>
      <w:pPr>
        <w:spacing w:after="0" w:line="20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342900</wp:posOffset>
            </wp:positionV>
            <wp:extent cx="7267575" cy="74561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745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0"/>
        <w:spacing w:after="0"/>
        <w:rPr>
          <w:sz w:val="20"/>
          <w:szCs w:val="20"/>
          <w:color w:val="auto"/>
        </w:rPr>
      </w:pPr>
      <w:r>
        <w:rPr>
          <w:rFonts w:ascii="Arial" w:cs="Arial" w:eastAsia="Arial" w:hAnsi="Arial"/>
          <w:sz w:val="29"/>
          <w:szCs w:val="29"/>
          <w:b w:val="1"/>
          <w:bCs w:val="1"/>
          <w:color w:val="00B050"/>
        </w:rPr>
        <w:t>Important Award Details</w:t>
      </w:r>
    </w:p>
    <w:p>
      <w:pPr>
        <w:spacing w:after="0" w:line="257"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color w:val="auto"/>
        </w:rPr>
        <w:t>Your Awards under this Agreement are subject to important terms and conditions set forth below. Please read them carefully and seek advice from your own legal and tax advisors before executing this Agreement.</w:t>
      </w:r>
    </w:p>
    <w:p>
      <w:pPr>
        <w:spacing w:after="0" w:line="196" w:lineRule="exact"/>
        <w:rPr>
          <w:sz w:val="20"/>
          <w:szCs w:val="20"/>
          <w:color w:val="auto"/>
        </w:rPr>
      </w:pPr>
    </w:p>
    <w:p>
      <w:pPr>
        <w:ind w:left="340" w:right="340" w:hanging="332"/>
        <w:spacing w:after="0" w:line="231" w:lineRule="auto"/>
        <w:tabs>
          <w:tab w:leader="none" w:pos="361"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Upon Employee’s death or disability (as determined by the Committee and within the meaning of Section 409A of the Internal Revenue Code of 1986, as amended, and the Treasury Regulations issued thereunder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specifically Section 409A(a)(2)(C)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Employee (or in the case of Employee’s death, Employee’s beneficiary) shall, subject to paragraph 2.e below, be entitled to:</w:t>
      </w:r>
    </w:p>
    <w:p>
      <w:pPr>
        <w:spacing w:after="0" w:line="195" w:lineRule="exact"/>
        <w:rPr>
          <w:rFonts w:ascii="Arial" w:cs="Arial" w:eastAsia="Arial" w:hAnsi="Arial"/>
          <w:sz w:val="20"/>
          <w:szCs w:val="20"/>
          <w:color w:val="auto"/>
        </w:rPr>
      </w:pPr>
    </w:p>
    <w:p>
      <w:pPr>
        <w:ind w:left="720" w:right="360" w:hanging="388"/>
        <w:spacing w:after="0" w:line="231" w:lineRule="auto"/>
        <w:tabs>
          <w:tab w:leader="none" w:pos="751" w:val="left"/>
        </w:tabs>
        <w:numPr>
          <w:ilvl w:val="1"/>
          <w:numId w:val="24"/>
        </w:numPr>
        <w:rPr>
          <w:rFonts w:ascii="Arial" w:cs="Arial" w:eastAsia="Arial" w:hAnsi="Arial"/>
          <w:sz w:val="20"/>
          <w:szCs w:val="20"/>
          <w:color w:val="auto"/>
        </w:rPr>
      </w:pPr>
      <w:r>
        <w:rPr>
          <w:rFonts w:ascii="Arial" w:cs="Arial" w:eastAsia="Arial" w:hAnsi="Arial"/>
          <w:sz w:val="20"/>
          <w:szCs w:val="20"/>
          <w:color w:val="auto"/>
        </w:rPr>
        <w:t>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which shall be paid to no later than 74 days following the end of the Performance Period; and</w:t>
      </w:r>
    </w:p>
    <w:p>
      <w:pPr>
        <w:spacing w:after="0" w:line="195" w:lineRule="exact"/>
        <w:rPr>
          <w:rFonts w:ascii="Arial" w:cs="Arial" w:eastAsia="Arial" w:hAnsi="Arial"/>
          <w:sz w:val="20"/>
          <w:szCs w:val="20"/>
          <w:color w:val="auto"/>
        </w:rPr>
      </w:pPr>
    </w:p>
    <w:p>
      <w:pPr>
        <w:ind w:left="720" w:right="100" w:hanging="388"/>
        <w:spacing w:after="0" w:line="231" w:lineRule="auto"/>
        <w:tabs>
          <w:tab w:leader="none" w:pos="751" w:val="left"/>
        </w:tabs>
        <w:numPr>
          <w:ilvl w:val="1"/>
          <w:numId w:val="24"/>
        </w:numPr>
        <w:rPr>
          <w:rFonts w:ascii="Arial" w:cs="Arial" w:eastAsia="Arial" w:hAnsi="Arial"/>
          <w:sz w:val="20"/>
          <w:szCs w:val="20"/>
          <w:color w:val="auto"/>
        </w:rPr>
      </w:pPr>
      <w:r>
        <w:rPr>
          <w:rFonts w:ascii="Arial" w:cs="Arial" w:eastAsia="Arial" w:hAnsi="Arial"/>
          <w:sz w:val="20"/>
          <w:szCs w:val="20"/>
          <w:color w:val="auto"/>
        </w:rPr>
        <w:t xml:space="preserve">exercise all Stock Options outstanding under the Stock Option Award (whether or not previously exercisable) for one year following such event. Provided however, if Employee was eligible for </w:t>
      </w:r>
      <w:r>
        <w:rPr>
          <w:rFonts w:ascii="Arial" w:cs="Arial" w:eastAsia="Arial" w:hAnsi="Arial"/>
          <w:sz w:val="20"/>
          <w:szCs w:val="20"/>
          <w:b w:val="1"/>
          <w:bCs w:val="1"/>
          <w:i w:val="1"/>
          <w:iCs w:val="1"/>
          <w:color w:val="auto"/>
        </w:rPr>
        <w:t>Retirement</w:t>
      </w:r>
      <w:r>
        <w:rPr>
          <w:rFonts w:ascii="Arial" w:cs="Arial" w:eastAsia="Arial" w:hAnsi="Arial"/>
          <w:sz w:val="20"/>
          <w:szCs w:val="20"/>
          <w:color w:val="auto"/>
        </w:rPr>
        <w:t xml:space="preserve"> (as defined in paragraph 2.d.i. below) at the time of his death or Disability, the Stock Option Award will remain exercisable for three years following the date of such event.</w:t>
      </w:r>
    </w:p>
    <w:p>
      <w:pPr>
        <w:spacing w:after="0" w:line="195" w:lineRule="exact"/>
        <w:rPr>
          <w:rFonts w:ascii="Arial" w:cs="Arial" w:eastAsia="Arial" w:hAnsi="Arial"/>
          <w:sz w:val="20"/>
          <w:szCs w:val="20"/>
          <w:color w:val="auto"/>
        </w:rPr>
      </w:pPr>
    </w:p>
    <w:p>
      <w:pPr>
        <w:ind w:left="360" w:hanging="352"/>
        <w:spacing w:after="0"/>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Treatment of PSU Award Upon Retirement or Involuntary Termination of Employment Without Cause by WM</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720" w:right="240" w:hanging="388"/>
        <w:spacing w:after="0" w:line="228" w:lineRule="auto"/>
        <w:tabs>
          <w:tab w:leader="none" w:pos="751" w:val="left"/>
        </w:tabs>
        <w:numPr>
          <w:ilvl w:val="1"/>
          <w:numId w:val="24"/>
        </w:numPr>
        <w:rPr>
          <w:rFonts w:ascii="Arial" w:cs="Arial" w:eastAsia="Arial" w:hAnsi="Arial"/>
          <w:sz w:val="20"/>
          <w:szCs w:val="20"/>
          <w:color w:val="auto"/>
        </w:rPr>
      </w:pPr>
      <w:r>
        <w:rPr>
          <w:rFonts w:ascii="Arial" w:cs="Arial" w:eastAsia="Arial" w:hAnsi="Arial"/>
          <w:sz w:val="20"/>
          <w:szCs w:val="20"/>
          <w:color w:val="auto"/>
        </w:rPr>
        <w:t>Upon an involuntary Termination of Employment by WM without Cause (as defined in paragraph 6.d.iii. below), Employee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Performance Period and has as its denominator 1096 (which amount shall be issued and paid as soon as practicable and no later than 74 days following the end of the Performance Period).</w:t>
      </w:r>
    </w:p>
    <w:p>
      <w:pPr>
        <w:spacing w:after="0" w:line="196" w:lineRule="exact"/>
        <w:rPr>
          <w:rFonts w:ascii="Arial" w:cs="Arial" w:eastAsia="Arial" w:hAnsi="Arial"/>
          <w:sz w:val="20"/>
          <w:szCs w:val="20"/>
          <w:color w:val="auto"/>
        </w:rPr>
      </w:pPr>
    </w:p>
    <w:p>
      <w:pPr>
        <w:ind w:left="720" w:right="100" w:hanging="388"/>
        <w:spacing w:after="0" w:line="227" w:lineRule="auto"/>
        <w:tabs>
          <w:tab w:leader="none" w:pos="751" w:val="left"/>
        </w:tabs>
        <w:numPr>
          <w:ilvl w:val="1"/>
          <w:numId w:val="24"/>
        </w:numPr>
        <w:rPr>
          <w:rFonts w:ascii="Arial" w:cs="Arial" w:eastAsia="Arial" w:hAnsi="Arial"/>
          <w:sz w:val="20"/>
          <w:szCs w:val="20"/>
          <w:color w:val="auto"/>
        </w:rPr>
      </w:pPr>
      <w:r>
        <w:rPr>
          <w:rFonts w:ascii="Arial" w:cs="Arial" w:eastAsia="Arial" w:hAnsi="Arial"/>
          <w:sz w:val="20"/>
          <w:szCs w:val="20"/>
          <w:color w:val="auto"/>
        </w:rPr>
        <w:t>Upon Employee’s Retirement (as defined in paragraph 2.d.i below), Employee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first 12 months of the Performance Period and has as its denominator 365 (which amount shall be issued and paid as soon as practicable and no later than 74 days following the end of the Performance Period). To illustrate the application of the preceding sentence, if Employee’s Retirement is on or after December 31, 2018, subject to paragraph 2.e below, he or she shall be eligible to receive a full payout at the end of the Performance Period (based upon actual Achievement).</w:t>
      </w:r>
    </w:p>
    <w:p>
      <w:pPr>
        <w:spacing w:after="0" w:line="187" w:lineRule="exact"/>
        <w:rPr>
          <w:rFonts w:ascii="Arial" w:cs="Arial" w:eastAsia="Arial" w:hAnsi="Arial"/>
          <w:sz w:val="20"/>
          <w:szCs w:val="20"/>
          <w:color w:val="auto"/>
        </w:rPr>
      </w:pPr>
    </w:p>
    <w:p>
      <w:pPr>
        <w:ind w:left="740" w:hanging="408"/>
        <w:spacing w:after="0"/>
        <w:tabs>
          <w:tab w:leader="none" w:pos="7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In the event Employee is employed by a subsidiary of the Company that is sold by the Company in a transaction</w:t>
      </w:r>
    </w:p>
    <w:p>
      <w:pPr>
        <w:ind w:left="960" w:hanging="239"/>
        <w:spacing w:after="0" w:line="225" w:lineRule="auto"/>
        <w:tabs>
          <w:tab w:leader="none" w:pos="960" w:val="left"/>
        </w:tabs>
        <w:numPr>
          <w:ilvl w:val="2"/>
          <w:numId w:val="24"/>
        </w:numPr>
        <w:rPr>
          <w:rFonts w:ascii="Arial" w:cs="Arial" w:eastAsia="Arial" w:hAnsi="Arial"/>
          <w:sz w:val="20"/>
          <w:szCs w:val="20"/>
          <w:color w:val="auto"/>
        </w:rPr>
      </w:pPr>
      <w:r>
        <w:rPr>
          <w:rFonts w:ascii="Arial" w:cs="Arial" w:eastAsia="Arial" w:hAnsi="Arial"/>
          <w:sz w:val="20"/>
          <w:szCs w:val="20"/>
          <w:color w:val="auto"/>
        </w:rPr>
        <w:t>that would not constitute a Change in Control of the Company within the meaning of paragraph 6.c.i. below, but</w:t>
      </w:r>
    </w:p>
    <w:p>
      <w:pPr>
        <w:ind w:left="720" w:right="320" w:firstLine="1"/>
        <w:spacing w:after="0" w:line="231" w:lineRule="auto"/>
        <w:tabs>
          <w:tab w:leader="none" w:pos="995" w:val="left"/>
        </w:tabs>
        <w:numPr>
          <w:ilvl w:val="2"/>
          <w:numId w:val="24"/>
        </w:numPr>
        <w:rPr>
          <w:rFonts w:ascii="Arial" w:cs="Arial" w:eastAsia="Arial" w:hAnsi="Arial"/>
          <w:sz w:val="20"/>
          <w:szCs w:val="20"/>
          <w:color w:val="auto"/>
        </w:rPr>
      </w:pPr>
      <w:r>
        <w:rPr>
          <w:rFonts w:ascii="Arial" w:cs="Arial" w:eastAsia="Arial" w:hAnsi="Arial"/>
          <w:sz w:val="20"/>
          <w:szCs w:val="20"/>
          <w:color w:val="auto"/>
        </w:rPr>
        <w:t>that would constitute a Change in Control of the subsidiary within the meaning of paragraph 6.c.i. with the subsidiary substituted for Company thereunder, such transaction shall be deemed to constitute an involuntary Termination of Employment by WM without Cause for purposes of this paragraph 2 as of the effective date of such Transaction.</w:t>
      </w:r>
    </w:p>
    <w:p>
      <w:pPr>
        <w:sectPr>
          <w:pgSz w:w="11900" w:h="16838" w:orient="portrait"/>
          <w:cols w:equalWidth="0" w:num="1">
            <w:col w:w="11020"/>
          </w:cols>
          <w:pgMar w:left="540" w:top="139" w:right="339" w:bottom="0" w:gutter="0" w:footer="0" w:header="0"/>
        </w:sectPr>
      </w:pPr>
    </w:p>
    <w:bookmarkStart w:id="24" w:name="page25"/>
    <w:bookmarkEnd w:id="24"/>
    <w:p>
      <w:pPr>
        <w:spacing w:after="0" w:line="2" w:lineRule="exact"/>
        <w:rPr>
          <w:sz w:val="20"/>
          <w:szCs w:val="20"/>
          <w:color w:val="auto"/>
        </w:rPr>
      </w:pPr>
    </w:p>
    <w:p>
      <w:pPr>
        <w:ind w:left="5360" w:right="2100" w:hanging="5028"/>
        <w:spacing w:after="0" w:line="458" w:lineRule="auto"/>
        <w:tabs>
          <w:tab w:leader="none" w:pos="769"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following terms shall have the meanings set forth below for purposes of this Agreement: 5</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78" w:lineRule="exact"/>
        <w:rPr>
          <w:rFonts w:ascii="Arial" w:cs="Arial" w:eastAsia="Arial" w:hAnsi="Arial"/>
          <w:sz w:val="20"/>
          <w:szCs w:val="20"/>
          <w:color w:val="auto"/>
        </w:rPr>
      </w:pPr>
    </w:p>
    <w:p>
      <w:pPr>
        <w:ind w:left="1080" w:right="80" w:hanging="320"/>
        <w:spacing w:after="0" w:line="233" w:lineRule="auto"/>
        <w:tabs>
          <w:tab w:leader="none" w:pos="1110" w:val="left"/>
        </w:tabs>
        <w:numPr>
          <w:ilvl w:val="3"/>
          <w:numId w:val="2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Retirement </w:t>
      </w:r>
      <w:r>
        <w:rPr>
          <w:rFonts w:ascii="Arial" w:cs="Arial" w:eastAsia="Arial" w:hAnsi="Arial"/>
          <w:sz w:val="20"/>
          <w:szCs w:val="20"/>
          <w:color w:val="auto"/>
        </w:rPr>
        <w:t>means Termination of Employment due to the voluntary resignation of employment by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after Employee (1) has reached age 55 or greater; (2) has a sum of age plus years of Service (as defined in paragraph ii. below) with WM equal to 65 or greater; and (3) has completed at least 5 consecutive full years of Service with WM during the 5 year period immediately preceding the resignation; </w:t>
      </w:r>
      <w:r>
        <w:rPr>
          <w:rFonts w:ascii="Arial" w:cs="Arial" w:eastAsia="Arial" w:hAnsi="Arial"/>
          <w:sz w:val="20"/>
          <w:szCs w:val="20"/>
          <w:u w:val="single" w:color="auto"/>
          <w:color w:val="auto"/>
        </w:rPr>
        <w:t>provided</w:t>
      </w:r>
      <w:r>
        <w:rPr>
          <w:rFonts w:ascii="Arial" w:cs="Arial" w:eastAsia="Arial" w:hAnsi="Arial"/>
          <w:sz w:val="20"/>
          <w:szCs w:val="20"/>
          <w:color w:val="auto"/>
        </w:rPr>
        <w:t>, that Employee is not receiving severance benefits pursuant to the severance pay plans of WM in connection with such Termination of Employment.</w:t>
      </w:r>
    </w:p>
    <w:p>
      <w:pPr>
        <w:spacing w:after="0" w:line="172" w:lineRule="exact"/>
        <w:rPr>
          <w:rFonts w:ascii="Arial" w:cs="Arial" w:eastAsia="Arial" w:hAnsi="Arial"/>
          <w:sz w:val="20"/>
          <w:szCs w:val="20"/>
          <w:color w:val="auto"/>
        </w:rPr>
      </w:pPr>
    </w:p>
    <w:p>
      <w:pPr>
        <w:ind w:left="1080" w:right="40" w:hanging="320"/>
        <w:spacing w:after="0" w:line="246" w:lineRule="auto"/>
        <w:tabs>
          <w:tab w:leader="none" w:pos="1109" w:val="left"/>
        </w:tabs>
        <w:numPr>
          <w:ilvl w:val="3"/>
          <w:numId w:val="2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Service </w:t>
      </w:r>
      <w:r>
        <w:rPr>
          <w:rFonts w:ascii="Arial" w:cs="Arial" w:eastAsia="Arial" w:hAnsi="Arial"/>
          <w:sz w:val="19"/>
          <w:szCs w:val="19"/>
          <w:color w:val="auto"/>
        </w:rPr>
        <w:t>is measured from Employee’s original date of hire by WM, except as provided below. In the case of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break of employment 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192" w:lineRule="exact"/>
        <w:rPr>
          <w:rFonts w:ascii="Arial" w:cs="Arial" w:eastAsia="Arial" w:hAnsi="Arial"/>
          <w:sz w:val="19"/>
          <w:szCs w:val="19"/>
          <w:color w:val="auto"/>
        </w:rPr>
      </w:pPr>
    </w:p>
    <w:p>
      <w:pPr>
        <w:ind w:left="720" w:right="80" w:hanging="388"/>
        <w:spacing w:after="0" w:line="237" w:lineRule="auto"/>
        <w:tabs>
          <w:tab w:leader="none" w:pos="751" w:val="left"/>
        </w:tabs>
        <w:numPr>
          <w:ilvl w:val="1"/>
          <w:numId w:val="25"/>
        </w:numPr>
        <w:rPr>
          <w:rFonts w:ascii="Arial" w:cs="Arial" w:eastAsia="Arial" w:hAnsi="Arial"/>
          <w:sz w:val="19"/>
          <w:szCs w:val="19"/>
          <w:color w:val="auto"/>
        </w:rPr>
      </w:pPr>
      <w:r>
        <w:rPr>
          <w:rFonts w:ascii="Arial" w:cs="Arial" w:eastAsia="Arial" w:hAnsi="Arial"/>
          <w:sz w:val="19"/>
          <w:szCs w:val="19"/>
          <w:color w:val="auto"/>
        </w:rPr>
        <w:t>In order to receive any of the vesting or exercisability benefits upon termination described in paragraphs 1, 2.a, 2.b or 3.b, Employee (or, if applicable, Employee’s estate) must (x) to the extent requested by WM, execute and not revoke a general release of claims in favor of WM and its affiliates in a form that is acceptable to WM and which has become effective and irrevocable prior to the payment date set forth above (or such earlier deadline set by WM) and</w:t>
      </w:r>
    </w:p>
    <w:p>
      <w:pPr>
        <w:spacing w:after="0" w:line="1" w:lineRule="exact"/>
        <w:rPr>
          <w:rFonts w:ascii="Arial" w:cs="Arial" w:eastAsia="Arial" w:hAnsi="Arial"/>
          <w:sz w:val="19"/>
          <w:szCs w:val="19"/>
          <w:color w:val="auto"/>
        </w:rPr>
      </w:pPr>
    </w:p>
    <w:p>
      <w:pPr>
        <w:ind w:left="1000" w:hanging="279"/>
        <w:spacing w:after="0"/>
        <w:tabs>
          <w:tab w:leader="none" w:pos="1000" w:val="left"/>
        </w:tabs>
        <w:numPr>
          <w:ilvl w:val="2"/>
          <w:numId w:val="25"/>
        </w:numPr>
        <w:rPr>
          <w:rFonts w:ascii="Arial" w:cs="Arial" w:eastAsia="Arial" w:hAnsi="Arial"/>
          <w:sz w:val="20"/>
          <w:szCs w:val="20"/>
          <w:color w:val="auto"/>
        </w:rPr>
      </w:pPr>
      <w:r>
        <w:rPr>
          <w:rFonts w:ascii="Arial" w:cs="Arial" w:eastAsia="Arial" w:hAnsi="Arial"/>
          <w:sz w:val="20"/>
          <w:szCs w:val="20"/>
          <w:color w:val="auto"/>
        </w:rPr>
        <w:t>continue to abide by all ongoing obligations to WM under any restrictive covenant agreement.</w:t>
      </w:r>
    </w:p>
    <w:p>
      <w:pPr>
        <w:spacing w:after="0" w:line="202" w:lineRule="exact"/>
        <w:rPr>
          <w:rFonts w:ascii="Arial" w:cs="Arial" w:eastAsia="Arial" w:hAnsi="Arial"/>
          <w:sz w:val="20"/>
          <w:szCs w:val="20"/>
          <w:color w:val="auto"/>
        </w:rPr>
      </w:pPr>
    </w:p>
    <w:p>
      <w:pPr>
        <w:ind w:left="360" w:hanging="352"/>
        <w:spacing w:after="0"/>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Treatment of Stock Option Award upon Involuntary Termination; Resignation; Retirement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right="120" w:hanging="328"/>
        <w:spacing w:after="0" w:line="229" w:lineRule="auto"/>
        <w:tabs>
          <w:tab w:leader="none" w:pos="681"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Involuntary Termination of Employment Without Cause or Resignation by Employee</w:t>
      </w:r>
      <w:r>
        <w:rPr>
          <w:rFonts w:ascii="Arial" w:cs="Arial" w:eastAsia="Arial" w:hAnsi="Arial"/>
          <w:sz w:val="20"/>
          <w:szCs w:val="20"/>
          <w:color w:val="auto"/>
        </w:rPr>
        <w:t>. Upon an involuntary Termination of Employment without Cause by WM or a Termination of Employment due to a voluntary resignation by Employee that is accepted by WM that is not a Retirement (as defined above), for a period of 90 days following such Termination of Employment, Employee shall be entitled to exercise all of the Stock Options then outstanding and exercisable under the Stock Option Award. Any Stock Options that are not outstanding and exercisable shall be forfeited.</w:t>
      </w:r>
    </w:p>
    <w:p>
      <w:pPr>
        <w:spacing w:after="0" w:line="195" w:lineRule="exact"/>
        <w:rPr>
          <w:rFonts w:ascii="Arial" w:cs="Arial" w:eastAsia="Arial" w:hAnsi="Arial"/>
          <w:sz w:val="20"/>
          <w:szCs w:val="20"/>
          <w:color w:val="auto"/>
        </w:rPr>
      </w:pPr>
    </w:p>
    <w:p>
      <w:pPr>
        <w:ind w:left="660" w:hanging="328"/>
        <w:spacing w:after="0" w:line="232" w:lineRule="auto"/>
        <w:tabs>
          <w:tab w:leader="none" w:pos="681"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Upon Employee’s Retirement, the Stock Option Award shall, subject to paragraph 2.e above, continue to become exercisable under the applicable exercise schedule for three years following Employee’s Retirement and once exercisable shall remain exercisable for the three-year period following Employee’s Retirement.</w:t>
      </w:r>
    </w:p>
    <w:p>
      <w:pPr>
        <w:spacing w:after="0" w:line="197" w:lineRule="exact"/>
        <w:rPr>
          <w:rFonts w:ascii="Arial" w:cs="Arial" w:eastAsia="Arial" w:hAnsi="Arial"/>
          <w:sz w:val="20"/>
          <w:szCs w:val="20"/>
          <w:color w:val="auto"/>
        </w:rPr>
      </w:pPr>
    </w:p>
    <w:p>
      <w:pPr>
        <w:ind w:left="360" w:hanging="352"/>
        <w:spacing w:after="0"/>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for Other Reasons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hanging="328"/>
        <w:spacing w:after="0" w:line="228" w:lineRule="auto"/>
        <w:tabs>
          <w:tab w:leader="none" w:pos="681"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PSU Award in the Event of Involuntary Termination with Cause or Resignation by Employee</w:t>
      </w:r>
      <w:r>
        <w:rPr>
          <w:rFonts w:ascii="Arial" w:cs="Arial" w:eastAsia="Arial" w:hAnsi="Arial"/>
          <w:sz w:val="20"/>
          <w:szCs w:val="20"/>
          <w:color w:val="auto"/>
        </w:rPr>
        <w:t>. Except as provided in paragraphs 1 through 2 above and 6 below, Employee must be an employee of WM continuously from the Grant Date through the close of business on last day of the Performance Period to be entitled to receive payment of any PSU Award. Upon Termination of Employment on or before December 31, 2020, for any reason other than any termination that would qualify Employee for payout under paragraphs 1 through 2 above and 6 below, Employee shall immediately forfeit the PSU Award and any related Dividend Equivalents without payment of any consideration by WM.</w:t>
      </w:r>
    </w:p>
    <w:p>
      <w:pPr>
        <w:spacing w:after="0" w:line="199" w:lineRule="exact"/>
        <w:rPr>
          <w:rFonts w:ascii="Arial" w:cs="Arial" w:eastAsia="Arial" w:hAnsi="Arial"/>
          <w:sz w:val="20"/>
          <w:szCs w:val="20"/>
          <w:color w:val="auto"/>
        </w:rPr>
      </w:pPr>
    </w:p>
    <w:p>
      <w:pPr>
        <w:ind w:left="660" w:right="300" w:hanging="328"/>
        <w:spacing w:after="0" w:line="232" w:lineRule="auto"/>
        <w:tabs>
          <w:tab w:leader="none" w:pos="681"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Stock Option Award in the Event of Involuntary Termination with Cause</w:t>
      </w:r>
      <w:r>
        <w:rPr>
          <w:rFonts w:ascii="Arial" w:cs="Arial" w:eastAsia="Arial" w:hAnsi="Arial"/>
          <w:sz w:val="20"/>
          <w:szCs w:val="20"/>
          <w:color w:val="auto"/>
        </w:rPr>
        <w:t>. Upon Termination of Employment by WM with Cause, Employee shall forfeit all Stock Options under the Stock Option Award, whether or not exercisable, without the payment of any consideration by WM.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-7641590</wp:posOffset>
            </wp:positionV>
            <wp:extent cx="7267575" cy="8069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8069580"/>
                    </a:xfrm>
                    <a:prstGeom prst="rect">
                      <a:avLst/>
                    </a:prstGeom>
                    <a:noFill/>
                  </pic:spPr>
                </pic:pic>
              </a:graphicData>
            </a:graphic>
          </wp:anchor>
        </w:drawing>
      </w:r>
    </w:p>
    <w:p>
      <w:pPr>
        <w:spacing w:after="0" w:line="177"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360045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748030</wp:posOffset>
            </wp:positionV>
            <wp:extent cx="7246620" cy="18542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85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Repayment of Award in the Event of Misconduct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right="100" w:hanging="324"/>
        <w:spacing w:after="0" w:line="227" w:lineRule="auto"/>
        <w:rPr>
          <w:rFonts w:ascii="Arial" w:cs="Arial" w:eastAsia="Arial" w:hAnsi="Arial"/>
          <w:sz w:val="20"/>
          <w:szCs w:val="20"/>
          <w:color w:val="auto"/>
        </w:rPr>
      </w:pPr>
      <w:r>
        <w:rPr>
          <w:rFonts w:ascii="Arial" w:cs="Arial" w:eastAsia="Arial" w:hAnsi="Arial"/>
          <w:sz w:val="20"/>
          <w:szCs w:val="20"/>
          <w:color w:val="auto"/>
        </w:rPr>
        <w:t xml:space="preserve">a. 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20"/>
          <w:szCs w:val="20"/>
          <w:b w:val="1"/>
          <w:bCs w:val="1"/>
          <w:i w:val="1"/>
          <w:iCs w:val="1"/>
          <w:color w:val="auto"/>
        </w:rPr>
        <w:t>Misconduct</w:t>
      </w:r>
      <w:r>
        <w:rPr>
          <w:rFonts w:ascii="Arial" w:cs="Arial" w:eastAsia="Arial" w:hAnsi="Arial"/>
          <w:sz w:val="20"/>
          <w:szCs w:val="20"/>
          <w:color w:val="auto"/>
        </w:rPr>
        <w:t xml:space="preserve"> means any act or failure to act by any employee of WM that (i) caused or was intended to cause a violation of WM’s policies or the WM code of conduct, generally accepted accounting principles or any applicable laws in effect at the time of the act or failure to act in question and that (ii) 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20"/>
          <w:szCs w:val="20"/>
          <w:b w:val="1"/>
          <w:bCs w:val="1"/>
          <w:i w:val="1"/>
          <w:iCs w:val="1"/>
          <w:color w:val="auto"/>
        </w:rPr>
        <w:t>Independent Third Party</w:t>
      </w:r>
      <w:r>
        <w:rPr>
          <w:rFonts w:ascii="Arial" w:cs="Arial" w:eastAsia="Arial" w:hAnsi="Arial"/>
          <w:sz w:val="20"/>
          <w:szCs w:val="20"/>
          <w:color w:val="auto"/>
        </w:rPr>
        <w:t>) appointed by the Committee.</w:t>
      </w:r>
    </w:p>
    <w:p>
      <w:pPr>
        <w:sectPr>
          <w:pgSz w:w="11900" w:h="16841" w:orient="portrait"/>
          <w:cols w:equalWidth="0" w:num="1">
            <w:col w:w="10940"/>
          </w:cols>
          <w:pgMar w:left="540" w:top="135" w:right="419" w:bottom="0" w:gutter="0" w:footer="0" w:header="0"/>
        </w:sectPr>
      </w:pPr>
    </w:p>
    <w:bookmarkStart w:id="25" w:name="page26"/>
    <w:bookmarkEnd w:id="25"/>
    <w:p>
      <w:pPr>
        <w:ind w:left="660" w:right="500" w:hanging="328"/>
        <w:spacing w:after="0" w:line="231" w:lineRule="auto"/>
        <w:tabs>
          <w:tab w:leader="none" w:pos="681" w:val="left"/>
        </w:tabs>
        <w:numPr>
          <w:ilvl w:val="1"/>
          <w:numId w:val="28"/>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522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5522595"/>
                    </a:xfrm>
                    <a:prstGeom prst="rect">
                      <a:avLst/>
                    </a:prstGeom>
                    <a:noFill/>
                  </pic:spPr>
                </pic:pic>
              </a:graphicData>
            </a:graphic>
          </wp:anchor>
        </w:drawing>
        <w:t>Following a determination of Misconduct by Employee, Employee may dispute such determination pursuant to binding arbitration as set forth in paragraph 18 under “</w:t>
      </w:r>
      <w:r>
        <w:rPr>
          <w:rFonts w:ascii="Arial" w:cs="Arial" w:eastAsia="Arial" w:hAnsi="Arial"/>
          <w:sz w:val="20"/>
          <w:szCs w:val="20"/>
          <w:color w:val="00B050"/>
        </w:rPr>
        <w:t>General Terms</w:t>
      </w:r>
      <w:r>
        <w:rPr>
          <w:rFonts w:ascii="Arial" w:cs="Arial" w:eastAsia="Arial" w:hAnsi="Arial"/>
          <w:sz w:val="20"/>
          <w:szCs w:val="20"/>
          <w:color w:val="auto"/>
        </w:rPr>
        <w:t>” provided, however, that if Employee is determined to have benefited from, but not engaged in, Misconduct, Employee will have no right to dispute such determination and such determination shall be conclusive and binding.</w:t>
      </w:r>
    </w:p>
    <w:p>
      <w:pPr>
        <w:spacing w:after="0" w:line="195" w:lineRule="exact"/>
        <w:rPr>
          <w:rFonts w:ascii="Arial" w:cs="Arial" w:eastAsia="Arial" w:hAnsi="Arial"/>
          <w:sz w:val="20"/>
          <w:szCs w:val="20"/>
          <w:color w:val="auto"/>
        </w:rPr>
      </w:pPr>
    </w:p>
    <w:p>
      <w:pPr>
        <w:ind w:left="660" w:right="640" w:hanging="328"/>
        <w:spacing w:after="0" w:line="236" w:lineRule="auto"/>
        <w:tabs>
          <w:tab w:leader="none" w:pos="670" w:val="left"/>
        </w:tabs>
        <w:numPr>
          <w:ilvl w:val="1"/>
          <w:numId w:val="28"/>
        </w:numPr>
        <w:rPr>
          <w:rFonts w:ascii="Arial" w:cs="Arial" w:eastAsia="Arial" w:hAnsi="Arial"/>
          <w:sz w:val="20"/>
          <w:szCs w:val="20"/>
          <w:color w:val="auto"/>
        </w:rPr>
      </w:pPr>
      <w:r>
        <w:rPr>
          <w:rFonts w:ascii="Arial" w:cs="Arial" w:eastAsia="Arial" w:hAnsi="Arial"/>
          <w:sz w:val="20"/>
          <w:szCs w:val="20"/>
          <w:color w:val="auto"/>
        </w:rPr>
        <w:t>WM must initiate recovery pursuant to this paragraph 5 by the earliest of (i) one year after discovery of alleged Misconduct, or (ii) the second anniversary of Employee’s Termination of Employment.</w:t>
      </w:r>
    </w:p>
    <w:p>
      <w:pPr>
        <w:spacing w:after="0" w:line="195" w:lineRule="exact"/>
        <w:rPr>
          <w:rFonts w:ascii="Arial" w:cs="Arial" w:eastAsia="Arial" w:hAnsi="Arial"/>
          <w:sz w:val="20"/>
          <w:szCs w:val="20"/>
          <w:color w:val="auto"/>
        </w:rPr>
      </w:pPr>
    </w:p>
    <w:p>
      <w:pPr>
        <w:ind w:left="660" w:right="160" w:hanging="328"/>
        <w:spacing w:after="0" w:line="236" w:lineRule="auto"/>
        <w:tabs>
          <w:tab w:leader="none" w:pos="681"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provisions of this paragraph 5, without any implication as to any other provision of this Agreement, shall survive the expiration or termination of this Agreement and Employee’s employment.</w:t>
      </w:r>
    </w:p>
    <w:p>
      <w:pPr>
        <w:spacing w:after="0" w:line="195" w:lineRule="exact"/>
        <w:rPr>
          <w:rFonts w:ascii="Arial" w:cs="Arial" w:eastAsia="Arial" w:hAnsi="Arial"/>
          <w:sz w:val="20"/>
          <w:szCs w:val="20"/>
          <w:color w:val="auto"/>
        </w:rPr>
      </w:pPr>
    </w:p>
    <w:p>
      <w:pPr>
        <w:ind w:left="360" w:hanging="352"/>
        <w:spacing w:after="0"/>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Acceleration upon Change in Control</w:t>
      </w:r>
      <w:r>
        <w:rPr>
          <w:rFonts w:ascii="Arial" w:cs="Arial" w:eastAsia="Arial" w:hAnsi="Arial"/>
          <w:sz w:val="20"/>
          <w:szCs w:val="20"/>
          <w:color w:val="auto"/>
        </w:rPr>
        <w:t>. Overriding any other inconsistent terms of this Agreement:</w:t>
      </w:r>
    </w:p>
    <w:p>
      <w:pPr>
        <w:spacing w:after="0" w:line="178" w:lineRule="exact"/>
        <w:rPr>
          <w:rFonts w:ascii="Arial" w:cs="Arial" w:eastAsia="Arial" w:hAnsi="Arial"/>
          <w:sz w:val="20"/>
          <w:szCs w:val="20"/>
          <w:color w:val="auto"/>
        </w:rPr>
      </w:pPr>
    </w:p>
    <w:p>
      <w:pPr>
        <w:ind w:left="660" w:right="1000" w:hanging="328"/>
        <w:spacing w:after="0" w:line="258" w:lineRule="auto"/>
        <w:tabs>
          <w:tab w:leader="none" w:pos="681" w:val="left"/>
        </w:tabs>
        <w:numPr>
          <w:ilvl w:val="1"/>
          <w:numId w:val="29"/>
        </w:numPr>
        <w:rPr>
          <w:rFonts w:ascii="Arial" w:cs="Arial" w:eastAsia="Arial" w:hAnsi="Arial"/>
          <w:sz w:val="20"/>
          <w:szCs w:val="20"/>
          <w:color w:val="auto"/>
        </w:rPr>
      </w:pPr>
      <w:r>
        <w:rPr>
          <w:rFonts w:ascii="Arial" w:cs="Arial" w:eastAsia="Arial" w:hAnsi="Arial"/>
          <w:sz w:val="20"/>
          <w:szCs w:val="20"/>
          <w:u w:val="single" w:color="auto"/>
          <w:color w:val="auto"/>
        </w:rPr>
        <w:t>PSU Award</w:t>
      </w:r>
      <w:r>
        <w:rPr>
          <w:rFonts w:ascii="Arial" w:cs="Arial" w:eastAsia="Arial" w:hAnsi="Arial"/>
          <w:sz w:val="20"/>
          <w:szCs w:val="20"/>
          <w:color w:val="auto"/>
        </w:rPr>
        <w:t xml:space="preserve">. If there is a </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xml:space="preserve"> (as defined in paragraph 6.c.i. below) before the close of the Performance Period, Employee is entitled to receive both i. and ii., as follows:</w:t>
      </w:r>
    </w:p>
    <w:p>
      <w:pPr>
        <w:spacing w:after="0" w:line="177" w:lineRule="exact"/>
        <w:rPr>
          <w:rFonts w:ascii="Arial" w:cs="Arial" w:eastAsia="Arial" w:hAnsi="Arial"/>
          <w:sz w:val="20"/>
          <w:szCs w:val="20"/>
          <w:color w:val="auto"/>
        </w:rPr>
      </w:pPr>
    </w:p>
    <w:p>
      <w:pPr>
        <w:ind w:left="1260" w:hanging="345"/>
        <w:spacing w:after="0"/>
        <w:tabs>
          <w:tab w:leader="none" w:pos="1260" w:val="left"/>
        </w:tabs>
        <w:numPr>
          <w:ilvl w:val="2"/>
          <w:numId w:val="29"/>
        </w:numPr>
        <w:rPr>
          <w:rFonts w:ascii="Arial" w:cs="Arial" w:eastAsia="Arial" w:hAnsi="Arial"/>
          <w:sz w:val="20"/>
          <w:szCs w:val="20"/>
          <w:color w:val="auto"/>
        </w:rPr>
      </w:pPr>
      <w:r>
        <w:rPr>
          <w:rFonts w:ascii="Arial" w:cs="Arial" w:eastAsia="Arial" w:hAnsi="Arial"/>
          <w:sz w:val="20"/>
          <w:szCs w:val="20"/>
          <w:color w:val="auto"/>
        </w:rPr>
        <w:t>For each half of the PSU Award, the result of an equation with a numerator of</w:t>
      </w:r>
    </w:p>
    <w:p>
      <w:pPr>
        <w:spacing w:after="0" w:line="202" w:lineRule="exact"/>
        <w:rPr>
          <w:rFonts w:ascii="Arial" w:cs="Arial" w:eastAsia="Arial" w:hAnsi="Arial"/>
          <w:sz w:val="20"/>
          <w:szCs w:val="20"/>
          <w:color w:val="auto"/>
        </w:rPr>
      </w:pPr>
    </w:p>
    <w:p>
      <w:pPr>
        <w:ind w:left="1880" w:right="100" w:hanging="641"/>
        <w:spacing w:after="0" w:line="228" w:lineRule="auto"/>
        <w:tabs>
          <w:tab w:leader="none" w:pos="1903" w:val="left"/>
        </w:tabs>
        <w:numPr>
          <w:ilvl w:val="3"/>
          <w:numId w:val="29"/>
        </w:numPr>
        <w:rPr>
          <w:rFonts w:ascii="Arial" w:cs="Arial" w:eastAsia="Arial" w:hAnsi="Arial"/>
          <w:sz w:val="20"/>
          <w:szCs w:val="20"/>
          <w:color w:val="auto"/>
        </w:rPr>
      </w:pPr>
      <w:r>
        <w:rPr>
          <w:rFonts w:ascii="Arial" w:cs="Arial" w:eastAsia="Arial" w:hAnsi="Arial"/>
          <w:sz w:val="20"/>
          <w:szCs w:val="20"/>
          <w:color w:val="auto"/>
        </w:rPr>
        <w:t>the respective number of PSUs Employee would have otherwise received based upon achievement of the applicable Performance Goal after reducing the Performance Period so that it ends on the last day of the quarter preceding the Change in Control (the “</w:t>
      </w:r>
      <w:r>
        <w:rPr>
          <w:rFonts w:ascii="Arial" w:cs="Arial" w:eastAsia="Arial" w:hAnsi="Arial"/>
          <w:sz w:val="20"/>
          <w:szCs w:val="20"/>
          <w:b w:val="1"/>
          <w:bCs w:val="1"/>
          <w:i w:val="1"/>
          <w:iCs w:val="1"/>
          <w:color w:val="auto"/>
        </w:rPr>
        <w:t>Early Measurement Date</w:t>
      </w:r>
      <w:r>
        <w:rPr>
          <w:rFonts w:ascii="Arial" w:cs="Arial" w:eastAsia="Arial" w:hAnsi="Arial"/>
          <w:sz w:val="20"/>
          <w:szCs w:val="20"/>
          <w:color w:val="auto"/>
        </w:rPr>
        <w:t>”) and, for the Adjusted Free Cash Flow half of the PSU Award, after adjusting the Threshold, Target and Maximum Achievement Levels to reflect budgeted performance in the shorter Performance Period, multiplied by</w:t>
      </w:r>
    </w:p>
    <w:p>
      <w:pPr>
        <w:spacing w:after="0" w:line="1" w:lineRule="exact"/>
        <w:rPr>
          <w:rFonts w:ascii="Arial" w:cs="Arial" w:eastAsia="Arial" w:hAnsi="Arial"/>
          <w:sz w:val="20"/>
          <w:szCs w:val="20"/>
          <w:color w:val="auto"/>
        </w:rPr>
      </w:pPr>
    </w:p>
    <w:p>
      <w:pPr>
        <w:ind w:left="1880" w:right="120" w:hanging="641"/>
        <w:spacing w:after="0" w:line="257" w:lineRule="auto"/>
        <w:tabs>
          <w:tab w:leader="none" w:pos="1903" w:val="left"/>
        </w:tabs>
        <w:numPr>
          <w:ilvl w:val="3"/>
          <w:numId w:val="29"/>
        </w:numPr>
        <w:rPr>
          <w:rFonts w:ascii="Arial" w:cs="Arial" w:eastAsia="Arial" w:hAnsi="Arial"/>
          <w:sz w:val="19"/>
          <w:szCs w:val="19"/>
          <w:color w:val="auto"/>
        </w:rPr>
      </w:pPr>
      <w:r>
        <w:rPr>
          <w:rFonts w:ascii="Arial" w:cs="Arial" w:eastAsia="Arial" w:hAnsi="Arial"/>
          <w:sz w:val="19"/>
          <w:szCs w:val="19"/>
          <w:color w:val="auto"/>
        </w:rPr>
        <w:t>a fraction equal to (1) the number of days occurring between the beginning of the Performance Period and the Early Measurement Date (including the Early Measurement Date) divided by (2) 1096.</w:t>
      </w:r>
    </w:p>
    <w:p>
      <w:pPr>
        <w:spacing w:after="0" w:line="180" w:lineRule="exact"/>
        <w:rPr>
          <w:sz w:val="20"/>
          <w:szCs w:val="20"/>
          <w:color w:val="auto"/>
        </w:rPr>
      </w:pPr>
    </w:p>
    <w:p>
      <w:pPr>
        <w:ind w:left="1240"/>
        <w:spacing w:after="0" w:line="231" w:lineRule="auto"/>
        <w:rPr>
          <w:sz w:val="20"/>
          <w:szCs w:val="20"/>
          <w:color w:val="auto"/>
        </w:rPr>
      </w:pPr>
      <w:r>
        <w:rPr>
          <w:rFonts w:ascii="Arial" w:cs="Arial" w:eastAsia="Arial" w:hAnsi="Arial"/>
          <w:sz w:val="20"/>
          <w:szCs w:val="20"/>
          <w:color w:val="auto"/>
        </w:rPr>
        <w:t>Payout of the PSUs shall be an immediate cash payment (in all events paid within 74 days following the Change in Control) equal to the number of PSUs earned under this paragraph 6.a. multiplied by the closing stock price of the Common Stock on the Early Measurement Date and will be accompanied by a cash payment of the associated Dividend Equivalents through the Early Measurement Date; and</w:t>
      </w:r>
    </w:p>
    <w:p>
      <w:pPr>
        <w:spacing w:after="0" w:line="195" w:lineRule="exact"/>
        <w:rPr>
          <w:sz w:val="20"/>
          <w:szCs w:val="20"/>
          <w:color w:val="auto"/>
        </w:rPr>
      </w:pPr>
    </w:p>
    <w:p>
      <w:pPr>
        <w:ind w:left="1240" w:right="500" w:hanging="325"/>
        <w:spacing w:after="0" w:line="236" w:lineRule="auto"/>
        <w:tabs>
          <w:tab w:leader="none" w:pos="1269" w:val="left"/>
        </w:tabs>
        <w:numPr>
          <w:ilvl w:val="0"/>
          <w:numId w:val="30"/>
        </w:numPr>
        <w:rPr>
          <w:rFonts w:ascii="Arial" w:cs="Arial" w:eastAsia="Arial" w:hAnsi="Arial"/>
          <w:sz w:val="20"/>
          <w:szCs w:val="20"/>
          <w:color w:val="auto"/>
        </w:rPr>
      </w:pPr>
      <w:r>
        <w:rPr>
          <w:rFonts w:ascii="Arial" w:cs="Arial" w:eastAsia="Arial" w:hAnsi="Arial"/>
          <w:sz w:val="20"/>
          <w:szCs w:val="20"/>
          <w:color w:val="auto"/>
        </w:rPr>
        <w:t>As a substitute award for the lost opportunity to continue to earn PSUs for the entire length of the original Performance Period:</w:t>
      </w:r>
    </w:p>
    <w:p>
      <w:pPr>
        <w:spacing w:after="0" w:line="196" w:lineRule="exact"/>
        <w:rPr>
          <w:sz w:val="20"/>
          <w:szCs w:val="20"/>
          <w:color w:val="auto"/>
        </w:rPr>
      </w:pPr>
    </w:p>
    <w:p>
      <w:pPr>
        <w:ind w:left="1560" w:right="680" w:hanging="321"/>
        <w:spacing w:after="0" w:line="257" w:lineRule="auto"/>
        <w:tabs>
          <w:tab w:leader="none" w:pos="1581" w:val="left"/>
        </w:tabs>
        <w:numPr>
          <w:ilvl w:val="0"/>
          <w:numId w:val="31"/>
        </w:numPr>
        <w:rPr>
          <w:rFonts w:ascii="Arial" w:cs="Arial" w:eastAsia="Arial" w:hAnsi="Arial"/>
          <w:sz w:val="19"/>
          <w:szCs w:val="19"/>
          <w:color w:val="auto"/>
        </w:rPr>
      </w:pPr>
      <w:r>
        <w:rPr>
          <w:rFonts w:ascii="Arial" w:cs="Arial" w:eastAsia="Arial" w:hAnsi="Arial"/>
          <w:sz w:val="19"/>
          <w:szCs w:val="19"/>
          <w:color w:val="auto"/>
        </w:rPr>
        <w:t>If the successor entity is a publicly traded company as of the Early Measurement Date, an award of restricted stock units in the successor entity equal to the number of shares of common stock of the</w:t>
      </w:r>
    </w:p>
    <w:p>
      <w:pPr>
        <w:spacing w:after="0" w:line="180"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360045</wp:posOffset>
            </wp:positionV>
            <wp:extent cx="7267575" cy="47891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4789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40" w:right="180"/>
        <w:spacing w:after="0" w:line="236" w:lineRule="auto"/>
        <w:rPr>
          <w:sz w:val="20"/>
          <w:szCs w:val="20"/>
          <w:color w:val="auto"/>
        </w:rPr>
      </w:pPr>
      <w:r>
        <w:rPr>
          <w:rFonts w:ascii="Arial" w:cs="Arial" w:eastAsia="Arial" w:hAnsi="Arial"/>
          <w:sz w:val="20"/>
          <w:szCs w:val="20"/>
          <w:color w:val="auto"/>
        </w:rPr>
        <w:t>successor entity that could have been purchased on the Early Measurement Date with an amount of cash equal to the quotient obtained from the following equation:</w:t>
      </w:r>
    </w:p>
    <w:p>
      <w:pPr>
        <w:spacing w:after="0" w:line="172" w:lineRule="exact"/>
        <w:rPr>
          <w:sz w:val="20"/>
          <w:szCs w:val="20"/>
          <w:color w:val="auto"/>
        </w:rPr>
      </w:pPr>
    </w:p>
    <w:p>
      <w:pPr>
        <w:ind w:left="5240"/>
        <w:spacing w:after="0"/>
        <w:rPr>
          <w:sz w:val="20"/>
          <w:szCs w:val="20"/>
          <w:color w:val="auto"/>
        </w:rPr>
      </w:pPr>
      <w:r>
        <w:rPr>
          <w:rFonts w:ascii="Arial" w:cs="Arial" w:eastAsia="Arial" w:hAnsi="Arial"/>
          <w:sz w:val="20"/>
          <w:szCs w:val="20"/>
          <w:b w:val="1"/>
          <w:bCs w:val="1"/>
          <w:u w:val="single" w:color="auto"/>
          <w:color w:val="auto"/>
        </w:rPr>
        <w:t>TAP X (1096 – EMD) x CP</w:t>
      </w:r>
    </w:p>
    <w:p>
      <w:pPr>
        <w:ind w:left="6140"/>
        <w:spacing w:after="0" w:line="236" w:lineRule="auto"/>
        <w:rPr>
          <w:sz w:val="20"/>
          <w:szCs w:val="20"/>
          <w:color w:val="auto"/>
        </w:rPr>
      </w:pPr>
      <w:r>
        <w:rPr>
          <w:rFonts w:ascii="Arial" w:cs="Arial" w:eastAsia="Arial" w:hAnsi="Arial"/>
          <w:sz w:val="20"/>
          <w:szCs w:val="20"/>
          <w:b w:val="1"/>
          <w:bCs w:val="1"/>
          <w:color w:val="auto"/>
        </w:rPr>
        <w:t>1096</w:t>
      </w:r>
    </w:p>
    <w:p>
      <w:pPr>
        <w:ind w:left="1820"/>
        <w:spacing w:after="0" w:line="225" w:lineRule="auto"/>
        <w:rPr>
          <w:sz w:val="20"/>
          <w:szCs w:val="20"/>
          <w:color w:val="auto"/>
        </w:rPr>
      </w:pPr>
      <w:r>
        <w:rPr>
          <w:rFonts w:ascii="Arial" w:cs="Arial" w:eastAsia="Arial" w:hAnsi="Arial"/>
          <w:sz w:val="20"/>
          <w:szCs w:val="20"/>
          <w:color w:val="auto"/>
        </w:rPr>
        <w:t>where</w:t>
      </w:r>
    </w:p>
    <w:p>
      <w:pPr>
        <w:ind w:left="2840"/>
        <w:spacing w:after="0"/>
        <w:rPr>
          <w:sz w:val="20"/>
          <w:szCs w:val="20"/>
          <w:color w:val="auto"/>
        </w:rPr>
      </w:pPr>
      <w:r>
        <w:rPr>
          <w:rFonts w:ascii="Arial" w:cs="Arial" w:eastAsia="Arial" w:hAnsi="Arial"/>
          <w:sz w:val="20"/>
          <w:szCs w:val="20"/>
          <w:b w:val="1"/>
          <w:bCs w:val="1"/>
          <w:color w:val="auto"/>
        </w:rPr>
        <w:t xml:space="preserve">TAP </w:t>
      </w:r>
      <w:r>
        <w:rPr>
          <w:rFonts w:ascii="Arial" w:cs="Arial" w:eastAsia="Arial" w:hAnsi="Arial"/>
          <w:sz w:val="20"/>
          <w:szCs w:val="20"/>
          <w:color w:val="auto"/>
        </w:rPr>
        <w:t>is the number of PSUs represented by the Target PSU Award;</w:t>
      </w:r>
    </w:p>
    <w:p>
      <w:pPr>
        <w:ind w:left="1540" w:right="820" w:firstLine="1296"/>
        <w:spacing w:after="0" w:line="232" w:lineRule="auto"/>
        <w:rPr>
          <w:sz w:val="20"/>
          <w:szCs w:val="20"/>
          <w:color w:val="auto"/>
        </w:rPr>
      </w:pPr>
      <w:r>
        <w:rPr>
          <w:rFonts w:ascii="Arial" w:cs="Arial" w:eastAsia="Arial" w:hAnsi="Arial"/>
          <w:sz w:val="20"/>
          <w:szCs w:val="20"/>
          <w:b w:val="1"/>
          <w:bCs w:val="1"/>
          <w:color w:val="auto"/>
        </w:rPr>
        <w:t xml:space="preserve">EMD </w:t>
      </w:r>
      <w:r>
        <w:rPr>
          <w:rFonts w:ascii="Arial" w:cs="Arial" w:eastAsia="Arial" w:hAnsi="Arial"/>
          <w:sz w:val="20"/>
          <w:szCs w:val="20"/>
          <w:color w:val="auto"/>
        </w:rPr>
        <w:t>is the number of days during the Performance Period which occur prior to and</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Early Measurement Date; and</w:t>
      </w:r>
    </w:p>
    <w:p>
      <w:pPr>
        <w:spacing w:after="0" w:line="1" w:lineRule="exact"/>
        <w:rPr>
          <w:sz w:val="20"/>
          <w:szCs w:val="20"/>
          <w:color w:val="auto"/>
        </w:rPr>
      </w:pPr>
    </w:p>
    <w:p>
      <w:pPr>
        <w:ind w:left="1540" w:right="1020" w:firstLine="1296"/>
        <w:spacing w:after="0" w:line="236" w:lineRule="auto"/>
        <w:rPr>
          <w:sz w:val="20"/>
          <w:szCs w:val="20"/>
          <w:color w:val="auto"/>
        </w:rPr>
      </w:pPr>
      <w:r>
        <w:rPr>
          <w:rFonts w:ascii="Arial" w:cs="Arial" w:eastAsia="Arial" w:hAnsi="Arial"/>
          <w:sz w:val="20"/>
          <w:szCs w:val="20"/>
          <w:b w:val="1"/>
          <w:bCs w:val="1"/>
          <w:color w:val="auto"/>
        </w:rPr>
        <w:t xml:space="preserve">CP </w:t>
      </w:r>
      <w:r>
        <w:rPr>
          <w:rFonts w:ascii="Arial" w:cs="Arial" w:eastAsia="Arial" w:hAnsi="Arial"/>
          <w:sz w:val="20"/>
          <w:szCs w:val="20"/>
          <w:color w:val="auto"/>
        </w:rPr>
        <w:t>is the closing price of a share of Common Stock of the Company on the Early</w:t>
      </w:r>
      <w:r>
        <w:rPr>
          <w:rFonts w:ascii="Arial" w:cs="Arial" w:eastAsia="Arial" w:hAnsi="Arial"/>
          <w:sz w:val="20"/>
          <w:szCs w:val="20"/>
          <w:b w:val="1"/>
          <w:bCs w:val="1"/>
          <w:color w:val="auto"/>
        </w:rPr>
        <w:t xml:space="preserve"> </w:t>
      </w:r>
      <w:r>
        <w:rPr>
          <w:rFonts w:ascii="Arial" w:cs="Arial" w:eastAsia="Arial" w:hAnsi="Arial"/>
          <w:sz w:val="20"/>
          <w:szCs w:val="20"/>
          <w:color w:val="auto"/>
        </w:rPr>
        <w:t>Measurement Date.</w:t>
      </w:r>
    </w:p>
    <w:p>
      <w:pPr>
        <w:spacing w:after="0" w:line="196" w:lineRule="exact"/>
        <w:rPr>
          <w:sz w:val="20"/>
          <w:szCs w:val="20"/>
          <w:color w:val="auto"/>
        </w:rPr>
      </w:pPr>
    </w:p>
    <w:p>
      <w:pPr>
        <w:ind w:left="1540" w:right="40"/>
        <w:spacing w:after="0"/>
        <w:rPr>
          <w:sz w:val="20"/>
          <w:szCs w:val="20"/>
          <w:color w:val="auto"/>
        </w:rPr>
      </w:pPr>
      <w:r>
        <w:rPr>
          <w:rFonts w:ascii="Arial" w:cs="Arial" w:eastAsia="Arial" w:hAnsi="Arial"/>
          <w:sz w:val="19"/>
          <w:szCs w:val="19"/>
          <w:color w:val="auto"/>
        </w:rPr>
        <w:t xml:space="preserve">Any restricted stock units in the successor entity awarded under this paragraph 6.a.ii.1. will vest completely on December 31, 2020 (and be paid within 74 days thereof), provided that Employee remains continuously employed with the successor entity until then. Provided however, in the event of Employee’s involuntary Termination of Employment without Cause during the </w:t>
      </w:r>
      <w:r>
        <w:rPr>
          <w:rFonts w:ascii="Arial" w:cs="Arial" w:eastAsia="Arial" w:hAnsi="Arial"/>
          <w:sz w:val="19"/>
          <w:szCs w:val="19"/>
          <w:b w:val="1"/>
          <w:bCs w:val="1"/>
          <w:i w:val="1"/>
          <w:iCs w:val="1"/>
          <w:color w:val="auto"/>
        </w:rPr>
        <w:t>Window Period</w:t>
      </w:r>
      <w:r>
        <w:rPr>
          <w:rFonts w:ascii="Arial" w:cs="Arial" w:eastAsia="Arial" w:hAnsi="Arial"/>
          <w:sz w:val="19"/>
          <w:szCs w:val="19"/>
          <w:color w:val="auto"/>
        </w:rPr>
        <w:t xml:space="preserve"> (as defined in paragraph c.iv. below) or upon Employee’s Retirement, death or Disability, Employee shall become immediately vested in full in the restricted stock units in the successor entity awarded pursuant to this paragraph 6.a.ii.1 and paid (i) in the case of death or Disability, within 74 days of such time or (ii) in the case of Retirement or involuntary Termination of Employment without Cause, within 74 days following December 31, 2020.</w:t>
      </w:r>
    </w:p>
    <w:p>
      <w:pPr>
        <w:spacing w:after="0" w:line="197" w:lineRule="exact"/>
        <w:rPr>
          <w:sz w:val="20"/>
          <w:szCs w:val="20"/>
          <w:color w:val="auto"/>
        </w:rPr>
      </w:pPr>
    </w:p>
    <w:p>
      <w:pPr>
        <w:ind w:left="1560" w:right="240" w:hanging="321"/>
        <w:spacing w:after="0" w:line="236" w:lineRule="auto"/>
        <w:tabs>
          <w:tab w:leader="none" w:pos="1581" w:val="left"/>
        </w:tabs>
        <w:numPr>
          <w:ilvl w:val="0"/>
          <w:numId w:val="32"/>
        </w:numPr>
        <w:rPr>
          <w:rFonts w:ascii="Arial" w:cs="Arial" w:eastAsia="Arial" w:hAnsi="Arial"/>
          <w:sz w:val="20"/>
          <w:szCs w:val="20"/>
          <w:color w:val="auto"/>
        </w:rPr>
      </w:pPr>
      <w:r>
        <w:rPr>
          <w:rFonts w:ascii="Arial" w:cs="Arial" w:eastAsia="Arial" w:hAnsi="Arial"/>
          <w:sz w:val="20"/>
          <w:szCs w:val="20"/>
          <w:color w:val="auto"/>
        </w:rPr>
        <w:t>If the successor entity is not a publicly traded company as of the Early Measurement Date, an amount of cash equal to the quotient obtained from the equation in paragraph 6.a.ii.1. above.</w:t>
      </w:r>
    </w:p>
    <w:p>
      <w:pPr>
        <w:spacing w:after="0" w:line="196" w:lineRule="exact"/>
        <w:rPr>
          <w:sz w:val="20"/>
          <w:szCs w:val="20"/>
          <w:color w:val="auto"/>
        </w:rPr>
      </w:pPr>
    </w:p>
    <w:p>
      <w:pPr>
        <w:ind w:left="1540"/>
        <w:spacing w:after="0" w:line="241" w:lineRule="auto"/>
        <w:rPr>
          <w:sz w:val="20"/>
          <w:szCs w:val="20"/>
          <w:color w:val="auto"/>
        </w:rPr>
      </w:pPr>
      <w:r>
        <w:rPr>
          <w:rFonts w:ascii="Arial" w:cs="Arial" w:eastAsia="Arial" w:hAnsi="Arial"/>
          <w:sz w:val="19"/>
          <w:szCs w:val="19"/>
          <w:color w:val="auto"/>
        </w:rPr>
        <w:t>Any cash payment awarded under this paragraph 6.a.ii.2. will be paid to Employee as soon as administratively feasible (and no later than 74 days) following December 31, 2020, provided that Employee remains continuously employed with the successor entity until such date. Provided however, in the event of Employee’s involuntary Termination of Employment without Cause during the Window Period or upon Employee’s Retirement, death or Disability, Employee shall become vested and be paid such cash payment by the successor entity (i) in the case of death or Disability, within 74 days of such time or (ii) in the case of</w:t>
      </w:r>
    </w:p>
    <w:p>
      <w:pPr>
        <w:sectPr>
          <w:pgSz w:w="11900" w:h="16838" w:orient="portrait"/>
          <w:cols w:equalWidth="0" w:num="1">
            <w:col w:w="10940"/>
          </w:cols>
          <w:pgMar w:left="540" w:top="352" w:right="419" w:bottom="0" w:gutter="0" w:footer="0" w:header="0"/>
        </w:sectPr>
      </w:pPr>
    </w:p>
    <w:bookmarkStart w:id="26" w:name="page27"/>
    <w:bookmarkEnd w:id="26"/>
    <w:p>
      <w:pPr>
        <w:spacing w:after="0" w:line="88" w:lineRule="exact"/>
        <w:rPr>
          <w:sz w:val="20"/>
          <w:szCs w:val="20"/>
          <w:color w:val="auto"/>
        </w:rPr>
      </w:pPr>
    </w:p>
    <w:p>
      <w:pPr>
        <w:ind w:left="1540" w:right="1300"/>
        <w:spacing w:after="0" w:line="236" w:lineRule="auto"/>
        <w:rPr>
          <w:sz w:val="20"/>
          <w:szCs w:val="20"/>
          <w:color w:val="auto"/>
        </w:rPr>
      </w:pPr>
      <w:r>
        <w:rPr>
          <w:rFonts w:ascii="Arial" w:cs="Arial" w:eastAsia="Arial" w:hAnsi="Arial"/>
          <w:sz w:val="20"/>
          <w:szCs w:val="20"/>
          <w:color w:val="auto"/>
        </w:rPr>
        <w:t>Retirement or involuntary Termination of Employment without Cause, within 74 days following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-283845</wp:posOffset>
            </wp:positionV>
            <wp:extent cx="7246620" cy="3319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319145"/>
                    </a:xfrm>
                    <a:prstGeom prst="rect">
                      <a:avLst/>
                    </a:prstGeom>
                    <a:noFill/>
                  </pic:spPr>
                </pic:pic>
              </a:graphicData>
            </a:graphic>
          </wp:anchor>
        </w:drawing>
      </w:r>
    </w:p>
    <w:p>
      <w:pPr>
        <w:spacing w:after="0" w:line="176" w:lineRule="exact"/>
        <w:rPr>
          <w:sz w:val="20"/>
          <w:szCs w:val="20"/>
          <w:color w:val="auto"/>
        </w:rPr>
      </w:pPr>
    </w:p>
    <w:p>
      <w:pPr>
        <w:ind w:left="660" w:right="60" w:hanging="328"/>
        <w:spacing w:after="0" w:line="227" w:lineRule="auto"/>
        <w:tabs>
          <w:tab w:leader="none" w:pos="681"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Stock Option Award</w:t>
      </w:r>
      <w:r>
        <w:rPr>
          <w:rFonts w:ascii="Arial" w:cs="Arial" w:eastAsia="Arial" w:hAnsi="Arial"/>
          <w:sz w:val="20"/>
          <w:szCs w:val="20"/>
          <w:color w:val="auto"/>
        </w:rPr>
        <w:t>. In the event of Employee’s involuntary Termination of Employment without Cause or Termination of Employment due to a resignation by Employee for Good Reason that, in either case, occurs on or before the second anniversary of a Change in Control, the Stock Option Award shall become exercisable immediately (whether or not previously exercisable) and shall remain exercisable for the three year period following such Termination of Employment. For this purpose, “</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has the same meaning determined by Employee’s written employment agreement in effect on the Grant Date. In the event there is no such agreement or definition, then Good Reason means the initial existence of one or more of the following conditions, arising without the consent of the Employee: (1) a material diminution in Employee’s base compensation; (2) a material diminution in Employee’s authority, duties, or responsibilities, so as to effectively cause Employee to no longer be performing the duties of his position; (3) a material diminution in the authority, duties, or responsibilities of the supervisor to whom Employee is required to report.</w:t>
      </w:r>
    </w:p>
    <w:p>
      <w:pPr>
        <w:spacing w:after="0" w:line="200" w:lineRule="exact"/>
        <w:rPr>
          <w:rFonts w:ascii="Arial" w:cs="Arial" w:eastAsia="Arial" w:hAnsi="Arial"/>
          <w:sz w:val="20"/>
          <w:szCs w:val="20"/>
          <w:color w:val="auto"/>
        </w:rPr>
      </w:pPr>
    </w:p>
    <w:p>
      <w:pPr>
        <w:ind w:left="780" w:right="2260" w:hanging="448"/>
        <w:spacing w:after="0" w:line="451"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The following terms shall have the meanings set forth below for purposes of this Agreement: i. </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xml:space="preserve"> means the first to occur of any of the following:</w:t>
      </w:r>
    </w:p>
    <w:p>
      <w:pPr>
        <w:ind w:left="1560" w:right="660" w:hanging="321"/>
        <w:spacing w:after="0" w:line="257" w:lineRule="auto"/>
        <w:tabs>
          <w:tab w:leader="none" w:pos="1581"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Person, or Persons acting as a group (within the meaning of Section 409A), acquires, directly or indirectly, including by purchase, merger, consolidation or otherwise, ownership of securities of the</w:t>
      </w:r>
    </w:p>
    <w:p>
      <w:pPr>
        <w:spacing w:after="0" w:line="18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360045</wp:posOffset>
            </wp:positionV>
            <wp:extent cx="7267575" cy="6993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699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40" w:right="300"/>
        <w:spacing w:after="0" w:line="257" w:lineRule="auto"/>
        <w:rPr>
          <w:sz w:val="20"/>
          <w:szCs w:val="20"/>
          <w:color w:val="auto"/>
        </w:rPr>
      </w:pPr>
      <w:r>
        <w:rPr>
          <w:rFonts w:ascii="Arial" w:cs="Arial" w:eastAsia="Arial" w:hAnsi="Arial"/>
          <w:sz w:val="19"/>
          <w:szCs w:val="19"/>
          <w:color w:val="auto"/>
        </w:rPr>
        <w:t>Company that, together with securities held by such Person or Persons, represents fifty percent (50%) or more of the total voting power or total fair market value of the Company’s then outstanding securities;</w:t>
      </w:r>
    </w:p>
    <w:p>
      <w:pPr>
        <w:spacing w:after="0" w:line="180" w:lineRule="exact"/>
        <w:rPr>
          <w:sz w:val="20"/>
          <w:szCs w:val="20"/>
          <w:color w:val="auto"/>
        </w:rPr>
      </w:pPr>
    </w:p>
    <w:p>
      <w:pPr>
        <w:ind w:left="1560" w:right="140" w:hanging="321"/>
        <w:spacing w:after="0" w:line="229" w:lineRule="auto"/>
        <w:tabs>
          <w:tab w:leader="none" w:pos="1581"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199" w:lineRule="exact"/>
        <w:rPr>
          <w:rFonts w:ascii="Arial" w:cs="Arial" w:eastAsia="Arial" w:hAnsi="Arial"/>
          <w:sz w:val="20"/>
          <w:szCs w:val="20"/>
          <w:color w:val="auto"/>
        </w:rPr>
      </w:pPr>
    </w:p>
    <w:p>
      <w:pPr>
        <w:ind w:left="1560" w:right="80" w:hanging="321"/>
        <w:spacing w:after="0" w:line="228" w:lineRule="auto"/>
        <w:tabs>
          <w:tab w:leader="none" w:pos="1581"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following individuals cease for any reason to constitute a majority of the number of directors then serving: individuals who, at the Grant Date, constitute the Board of Directors of the Company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196" w:lineRule="exact"/>
        <w:rPr>
          <w:rFonts w:ascii="Arial" w:cs="Arial" w:eastAsia="Arial" w:hAnsi="Arial"/>
          <w:sz w:val="20"/>
          <w:szCs w:val="20"/>
          <w:color w:val="auto"/>
        </w:rPr>
      </w:pPr>
    </w:p>
    <w:p>
      <w:pPr>
        <w:ind w:left="1560" w:right="120" w:hanging="321"/>
        <w:spacing w:after="0" w:line="227" w:lineRule="auto"/>
        <w:tabs>
          <w:tab w:leader="none" w:pos="1581"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202" w:lineRule="exact"/>
        <w:rPr>
          <w:sz w:val="20"/>
          <w:szCs w:val="20"/>
          <w:color w:val="auto"/>
        </w:rPr>
      </w:pPr>
    </w:p>
    <w:p>
      <w:pPr>
        <w:spacing w:after="0" w:line="24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in each of cases 1 through 4, that in the event the award or portion of the award is determined to constitute a non-exempt “deferral of compensation” pursuant to Section 409A, to the extent necessary to avoid the imposition of any penalties or additional tax under Section 409A, with respect to such award or portion of award the Change of Control event must also constitute a “change in the ownership of a corporation,” a “change in the effective control of a corporation,” or a “change in the ownership of a substantial portion of a corporation’s assets,” in each case, within the meaning of Section 409A.</w:t>
      </w:r>
    </w:p>
    <w:p>
      <w:pPr>
        <w:spacing w:after="0" w:line="195"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For purposes of this definition, the following terms shall have the following meanings:</w:t>
      </w:r>
    </w:p>
    <w:p>
      <w:pPr>
        <w:spacing w:after="0" w:line="178" w:lineRule="exact"/>
        <w:rPr>
          <w:sz w:val="20"/>
          <w:szCs w:val="20"/>
          <w:color w:val="auto"/>
        </w:rPr>
      </w:pPr>
    </w:p>
    <w:p>
      <w:pPr>
        <w:ind w:left="3420" w:hanging="754"/>
        <w:spacing w:after="0"/>
        <w:tabs>
          <w:tab w:leader="none" w:pos="34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Securities and Exchange Act of 1934, as amended from</w:t>
      </w:r>
    </w:p>
    <w:p>
      <w:pPr>
        <w:spacing w:after="0" w:line="10" w:lineRule="exact"/>
        <w:rPr>
          <w:rFonts w:ascii="Arial" w:cs="Arial" w:eastAsia="Arial" w:hAnsi="Arial"/>
          <w:sz w:val="20"/>
          <w:szCs w:val="20"/>
          <w:color w:val="auto"/>
        </w:rPr>
      </w:pPr>
    </w:p>
    <w:p>
      <w:pPr>
        <w:ind w:left="1700"/>
        <w:spacing w:after="0"/>
        <w:rPr>
          <w:rFonts w:ascii="Arial" w:cs="Arial" w:eastAsia="Arial" w:hAnsi="Arial"/>
          <w:sz w:val="20"/>
          <w:szCs w:val="20"/>
          <w:color w:val="auto"/>
        </w:rPr>
      </w:pPr>
      <w:r>
        <w:rPr>
          <w:rFonts w:ascii="Arial" w:cs="Arial" w:eastAsia="Arial" w:hAnsi="Arial"/>
          <w:sz w:val="20"/>
          <w:szCs w:val="20"/>
          <w:color w:val="auto"/>
        </w:rPr>
        <w:t>time to time; and</w:t>
      </w:r>
    </w:p>
    <w:p>
      <w:pPr>
        <w:spacing w:after="0" w:line="178" w:lineRule="exact"/>
        <w:rPr>
          <w:rFonts w:ascii="Arial" w:cs="Arial" w:eastAsia="Arial" w:hAnsi="Arial"/>
          <w:sz w:val="20"/>
          <w:szCs w:val="20"/>
          <w:color w:val="auto"/>
        </w:rPr>
      </w:pPr>
    </w:p>
    <w:p>
      <w:pPr>
        <w:ind w:left="1700" w:right="120" w:firstLine="966"/>
        <w:spacing w:after="0" w:line="232" w:lineRule="auto"/>
        <w:tabs>
          <w:tab w:leader="none" w:pos="3431" w:val="left"/>
        </w:tabs>
        <w:numPr>
          <w:ilvl w:val="0"/>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ectPr>
          <w:pgSz w:w="11900" w:h="16927" w:orient="portrait"/>
          <w:cols w:equalWidth="0" w:num="1">
            <w:col w:w="11000"/>
          </w:cols>
          <w:pgMar w:left="540" w:top="135" w:right="359" w:bottom="0" w:gutter="0" w:footer="0" w:header="0"/>
        </w:sectPr>
      </w:pPr>
    </w:p>
    <w:bookmarkStart w:id="27" w:name="page28"/>
    <w:bookmarkEnd w:id="27"/>
    <w:p>
      <w:pPr>
        <w:jc w:val="center"/>
        <w:ind w:right="1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7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37515"/>
                    </a:xfrm>
                    <a:prstGeom prst="rect">
                      <a:avLst/>
                    </a:prstGeom>
                    <a:noFill/>
                  </pic:spPr>
                </pic:pic>
              </a:graphicData>
            </a:graphic>
          </wp:anchor>
        </w:drawing>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360045</wp:posOffset>
            </wp:positionV>
            <wp:extent cx="7267575" cy="7849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784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80" w:right="80" w:hanging="315"/>
        <w:spacing w:after="0" w:line="233" w:lineRule="auto"/>
        <w:tabs>
          <w:tab w:leader="none" w:pos="909" w:val="left"/>
        </w:tabs>
        <w:numPr>
          <w:ilvl w:val="2"/>
          <w:numId w:val="3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Termination of Employment </w:t>
      </w:r>
      <w:r>
        <w:rPr>
          <w:rFonts w:ascii="Arial" w:cs="Arial" w:eastAsia="Arial" w:hAnsi="Arial"/>
          <w:sz w:val="20"/>
          <w:szCs w:val="20"/>
          <w:color w:val="auto"/>
        </w:rPr>
        <w:t>means the termination of Employee’s employment or other service relationship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WM as determined by 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172" w:lineRule="exact"/>
        <w:rPr>
          <w:rFonts w:ascii="Arial" w:cs="Arial" w:eastAsia="Arial" w:hAnsi="Arial"/>
          <w:sz w:val="20"/>
          <w:szCs w:val="20"/>
          <w:color w:val="auto"/>
        </w:rPr>
      </w:pPr>
    </w:p>
    <w:p>
      <w:pPr>
        <w:ind w:left="880" w:right="20" w:hanging="315"/>
        <w:spacing w:after="0" w:line="241" w:lineRule="auto"/>
        <w:tabs>
          <w:tab w:leader="none" w:pos="908" w:val="left"/>
        </w:tabs>
        <w:numPr>
          <w:ilvl w:val="2"/>
          <w:numId w:val="3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Cause </w:t>
      </w:r>
      <w:r>
        <w:rPr>
          <w:rFonts w:ascii="Arial" w:cs="Arial" w:eastAsia="Arial" w:hAnsi="Arial"/>
          <w:sz w:val="19"/>
          <w:szCs w:val="19"/>
          <w:color w:val="auto"/>
        </w:rPr>
        <w:t>means any of the following: (1) willful or deliberate and continual refusal to materially perform Employee’s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duties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19"/>
          <w:szCs w:val="19"/>
          <w:i w:val="1"/>
          <w:iCs w:val="1"/>
          <w:color w:val="auto"/>
        </w:rPr>
        <w:t>nolo contendre</w:t>
      </w:r>
      <w:r>
        <w:rPr>
          <w:rFonts w:ascii="Arial" w:cs="Arial" w:eastAsia="Arial" w:hAnsi="Arial"/>
          <w:sz w:val="19"/>
          <w:szCs w:val="19"/>
          <w:color w:val="auto"/>
        </w:rPr>
        <w:t xml:space="preserve"> to, any felony; (4) Employee willfully or intentionally caused material injury to WM, its property, or its assets;</w:t>
      </w:r>
    </w:p>
    <w:p>
      <w:pPr>
        <w:spacing w:after="0" w:line="4" w:lineRule="exact"/>
        <w:rPr>
          <w:rFonts w:ascii="Arial" w:cs="Arial" w:eastAsia="Arial" w:hAnsi="Arial"/>
          <w:sz w:val="19"/>
          <w:szCs w:val="19"/>
          <w:color w:val="auto"/>
        </w:rPr>
      </w:pPr>
    </w:p>
    <w:p>
      <w:pPr>
        <w:ind w:left="880"/>
        <w:spacing w:after="0" w:line="231" w:lineRule="auto"/>
        <w:rPr>
          <w:rFonts w:ascii="Arial" w:cs="Arial" w:eastAsia="Arial" w:hAnsi="Arial"/>
          <w:sz w:val="19"/>
          <w:szCs w:val="19"/>
          <w:color w:val="auto"/>
        </w:rPr>
      </w:pPr>
      <w:r>
        <w:rPr>
          <w:rFonts w:ascii="Arial" w:cs="Arial" w:eastAsia="Arial" w:hAnsi="Arial"/>
          <w:sz w:val="20"/>
          <w:szCs w:val="20"/>
          <w:color w:val="auto"/>
        </w:rPr>
        <w:t>(5) Employee disclosed to unauthorized person(s) proprietary or confidential information of WM that causes a material injury to WM; or (6) any material violation or a repeated and willful violation of WM’s policies or procedures, including but not limited to, WM’s Code of Business Conduct and Ethics (or any successor policy) then in effect.</w:t>
      </w:r>
    </w:p>
    <w:p>
      <w:pPr>
        <w:spacing w:after="0" w:line="171" w:lineRule="exact"/>
        <w:rPr>
          <w:rFonts w:ascii="Arial" w:cs="Arial" w:eastAsia="Arial" w:hAnsi="Arial"/>
          <w:sz w:val="19"/>
          <w:szCs w:val="19"/>
          <w:color w:val="auto"/>
        </w:rPr>
      </w:pPr>
    </w:p>
    <w:p>
      <w:pPr>
        <w:ind w:left="880" w:right="100" w:hanging="315"/>
        <w:spacing w:after="0" w:line="241" w:lineRule="auto"/>
        <w:tabs>
          <w:tab w:leader="none" w:pos="874" w:val="left"/>
        </w:tabs>
        <w:numPr>
          <w:ilvl w:val="2"/>
          <w:numId w:val="3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Window Period </w:t>
      </w:r>
      <w:r>
        <w:rPr>
          <w:rFonts w:ascii="Arial" w:cs="Arial" w:eastAsia="Arial" w:hAnsi="Arial"/>
          <w:sz w:val="20"/>
          <w:szCs w:val="20"/>
          <w:color w:val="auto"/>
        </w:rPr>
        <w:t>means the period beginning on the date occurring six (6) months immediately prior to the date 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which a Change in Control first occurs and ending on the second anniversary of the date on which a Change in Control occurs.</w:t>
      </w:r>
    </w:p>
    <w:p>
      <w:pPr>
        <w:spacing w:after="0" w:line="171" w:lineRule="exact"/>
        <w:rPr>
          <w:rFonts w:ascii="Arial" w:cs="Arial" w:eastAsia="Arial" w:hAnsi="Arial"/>
          <w:sz w:val="20"/>
          <w:szCs w:val="20"/>
          <w:color w:val="auto"/>
        </w:rPr>
      </w:pPr>
    </w:p>
    <w:p>
      <w:pPr>
        <w:ind w:left="340" w:right="100" w:hanging="332"/>
        <w:spacing w:after="0" w:line="229" w:lineRule="auto"/>
        <w:tabs>
          <w:tab w:leader="none" w:pos="361"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Dividend Equivalents on PSUs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xml:space="preserve"> mean an amount of cash equal to all dividends and distributions (or their economic equivalent) that are payable by the Company on one share of Common Stock to the stockholders of record. The Company will pay Dividend Equivalents with respect to the PSUs when (i) the Performance Period has ended; (ii) Employee has vested in the Award; and (iii) the PSU Awarded Shares have been certified by the Committee based on actual Achievement during the Performance Period (or otherwise determined pursuant to paragraph 6.a.i. above). As soon as administratively feasible after these events (and no later than 74 days following the end of the Performance Period), the Company will pay Employee a lump-sum cash amount for PSU Award Dividend Equivalents based on the number of PSU Awarded Shares multiplied by the per share quarterly dividend payments made to stockholders of the Company’s Common Stock during the Performance Period (without any interest or compounding). Any accumulated and unpaid Dividend Equivalents attributable to PSUs that are cancelled or forfeited will not be paid and are immediately forfeited upon cancellation of the PSUs.</w:t>
      </w:r>
    </w:p>
    <w:p>
      <w:pPr>
        <w:spacing w:after="0" w:line="203" w:lineRule="exact"/>
        <w:rPr>
          <w:rFonts w:ascii="Arial" w:cs="Arial" w:eastAsia="Arial" w:hAnsi="Arial"/>
          <w:sz w:val="20"/>
          <w:szCs w:val="20"/>
          <w:color w:val="auto"/>
        </w:rPr>
      </w:pPr>
    </w:p>
    <w:p>
      <w:pPr>
        <w:ind w:left="360" w:hanging="352"/>
        <w:spacing w:after="0"/>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Deferral Elections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hanging="328"/>
        <w:spacing w:after="0" w:line="227" w:lineRule="auto"/>
        <w:tabs>
          <w:tab w:leader="none" w:pos="681"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Committee may establish procedures for Employee to elect to defer, until a time or times later than the vesting of PSU Awards, receipt of all or a portion of the shares of Common Stock deliverable under the Awards. Any such deferral election (“</w:t>
      </w:r>
      <w:r>
        <w:rPr>
          <w:rFonts w:ascii="Arial" w:cs="Arial" w:eastAsia="Arial" w:hAnsi="Arial"/>
          <w:sz w:val="20"/>
          <w:szCs w:val="20"/>
          <w:b w:val="1"/>
          <w:bCs w:val="1"/>
          <w:i w:val="1"/>
          <w:iCs w:val="1"/>
          <w:color w:val="auto"/>
        </w:rPr>
        <w:t>Deferral Election</w:t>
      </w:r>
      <w:r>
        <w:rPr>
          <w:rFonts w:ascii="Arial" w:cs="Arial" w:eastAsia="Arial" w:hAnsi="Arial"/>
          <w:sz w:val="20"/>
          <w:szCs w:val="20"/>
          <w:i w:val="1"/>
          <w:iCs w:val="1"/>
          <w:color w:val="auto"/>
        </w:rPr>
        <w:t>”)</w:t>
      </w:r>
      <w:r>
        <w:rPr>
          <w:rFonts w:ascii="Arial" w:cs="Arial" w:eastAsia="Arial" w:hAnsi="Arial"/>
          <w:sz w:val="20"/>
          <w:szCs w:val="20"/>
          <w:color w:val="auto"/>
        </w:rPr>
        <w:t xml:space="preserve"> must be under the terms and conditions determined in the sole discretion of the Committee (or its designee) and the Waste Management, Inc. 409A Deferral Savings Plan, As Amended and Restated Effective January 1, 2014 and as further amended, restated or supplemented from time to time (the “</w:t>
      </w:r>
      <w:r>
        <w:rPr>
          <w:rFonts w:ascii="Arial" w:cs="Arial" w:eastAsia="Arial" w:hAnsi="Arial"/>
          <w:sz w:val="20"/>
          <w:szCs w:val="20"/>
          <w:b w:val="1"/>
          <w:bCs w:val="1"/>
          <w:i w:val="1"/>
          <w:iCs w:val="1"/>
          <w:color w:val="auto"/>
        </w:rPr>
        <w:t>WM</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409A Plan</w:t>
      </w:r>
      <w:r>
        <w:rPr>
          <w:rFonts w:ascii="Arial" w:cs="Arial" w:eastAsia="Arial" w:hAnsi="Arial"/>
          <w:sz w:val="20"/>
          <w:szCs w:val="20"/>
          <w:color w:val="auto"/>
        </w:rPr>
        <w:t>”). The Committee further retains the authority and discretion to modify and/or terminate existing Deferral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Elections, procedures and distribution options. Common Stock subject to a Deferral Election does not confer any shareholder rights to Employee unless and until the date the deferral expires and certificates representing such shares are delivered to Employee.</w:t>
      </w:r>
    </w:p>
    <w:p>
      <w:pPr>
        <w:spacing w:after="0" w:line="203" w:lineRule="exact"/>
        <w:rPr>
          <w:rFonts w:ascii="Arial" w:cs="Arial" w:eastAsia="Arial" w:hAnsi="Arial"/>
          <w:sz w:val="20"/>
          <w:szCs w:val="20"/>
          <w:color w:val="auto"/>
        </w:rPr>
      </w:pPr>
    </w:p>
    <w:p>
      <w:pPr>
        <w:ind w:left="660" w:right="160" w:hanging="328"/>
        <w:spacing w:after="0" w:line="231" w:lineRule="auto"/>
        <w:tabs>
          <w:tab w:leader="none" w:pos="681" w:val="left"/>
        </w:tabs>
        <w:numPr>
          <w:ilvl w:val="1"/>
          <w:numId w:val="38"/>
        </w:numPr>
        <w:rPr>
          <w:rFonts w:ascii="Arial" w:cs="Arial" w:eastAsia="Arial" w:hAnsi="Arial"/>
          <w:sz w:val="20"/>
          <w:szCs w:val="20"/>
          <w:color w:val="auto"/>
        </w:rPr>
      </w:pPr>
      <w:r>
        <w:rPr>
          <w:rFonts w:ascii="Arial" w:cs="Arial" w:eastAsia="Arial" w:hAnsi="Arial"/>
          <w:sz w:val="20"/>
          <w:szCs w:val="20"/>
          <w:color w:val="auto"/>
        </w:rPr>
        <w:t>No deferrals of Dividend Equivalents are permitted. In the event shares of Common Stock received upon vesting of PSU Awards are deferred pursuant to a valid Deferral Election, then the Company will pay Dividend Equivalents to Employee in cash on such deferred shares of Common Stock, as soon as administratively feasible following the payment of such dividends to stockholders of record.</w:t>
      </w:r>
    </w:p>
    <w:p>
      <w:pPr>
        <w:spacing w:after="0" w:line="19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360045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748030</wp:posOffset>
            </wp:positionV>
            <wp:extent cx="7246620" cy="1433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43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right="20" w:hanging="328"/>
        <w:spacing w:after="0" w:line="228" w:lineRule="auto"/>
        <w:tabs>
          <w:tab w:leader="none" w:pos="67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If the Committee permits deferral of the PSU Awards under this Agreement, then each provision of this Agreement shall be interpreted to permit deferral only (i) in accordance with the terms of the WM 409A Plan and (ii) as allowed in compliance with Section 409A. Any provision that would conflict with such requirements is not valid or enforceable. Employee acknowledges, without limitation, and consents that the application of Section 409A to this Agreement may require additional delay of payments otherwise payable under this Agreement or the WM 409A Plan. Employee and the Company agree to execute any instruments and take any action as reasonably may be necessary to comply with Section 409A.</w:t>
      </w:r>
    </w:p>
    <w:p>
      <w:pPr>
        <w:sectPr>
          <w:pgSz w:w="11900" w:h="16838" w:orient="portrait"/>
          <w:cols w:equalWidth="0" w:num="1">
            <w:col w:w="10940"/>
          </w:cols>
          <w:pgMar w:left="540" w:top="352" w:right="419" w:bottom="50" w:gutter="0" w:footer="0" w:header="0"/>
        </w:sectPr>
      </w:pPr>
    </w:p>
    <w:bookmarkStart w:id="28" w:name="page29"/>
    <w:bookmarkEnd w:id="28"/>
    <w:p>
      <w:pPr>
        <w:jc w:val="center"/>
        <w:ind w:right="120"/>
        <w:spacing w:after="0"/>
        <w:rPr>
          <w:sz w:val="20"/>
          <w:szCs w:val="20"/>
          <w:color w:val="auto"/>
        </w:rPr>
      </w:pPr>
      <w:r>
        <w:rPr>
          <w:rFonts w:ascii="Arial" w:cs="Arial" w:eastAsia="Arial" w:hAnsi="Arial"/>
          <w:sz w:val="29"/>
          <w:szCs w:val="29"/>
          <w:b w:val="1"/>
          <w:bCs w:val="1"/>
          <w:color w:val="00B050"/>
        </w:rPr>
        <w:t>General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-185420</wp:posOffset>
            </wp:positionV>
            <wp:extent cx="7246620" cy="5728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5728335"/>
                    </a:xfrm>
                    <a:prstGeom prst="rect">
                      <a:avLst/>
                    </a:prstGeom>
                    <a:noFill/>
                  </pic:spPr>
                </pic:pic>
              </a:graphicData>
            </a:graphic>
          </wp:anchor>
        </w:drawing>
      </w:r>
    </w:p>
    <w:p>
      <w:pPr>
        <w:spacing w:after="0" w:line="237"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right="120" w:hanging="328"/>
        <w:spacing w:after="0" w:line="231" w:lineRule="auto"/>
        <w:tabs>
          <w:tab w:leader="none" w:pos="681" w:val="left"/>
        </w:tabs>
        <w:numPr>
          <w:ilvl w:val="1"/>
          <w:numId w:val="40"/>
        </w:numPr>
        <w:rPr>
          <w:rFonts w:ascii="Arial" w:cs="Arial" w:eastAsia="Arial" w:hAnsi="Arial"/>
          <w:sz w:val="20"/>
          <w:szCs w:val="20"/>
          <w:color w:val="auto"/>
        </w:rPr>
      </w:pPr>
      <w:r>
        <w:rPr>
          <w:rFonts w:ascii="Arial" w:cs="Arial" w:eastAsia="Arial" w:hAnsi="Arial"/>
          <w:sz w:val="20"/>
          <w:szCs w:val="20"/>
          <w:color w:val="auto"/>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p>
      <w:pPr>
        <w:spacing w:after="0" w:line="195" w:lineRule="exact"/>
        <w:rPr>
          <w:rFonts w:ascii="Arial" w:cs="Arial" w:eastAsia="Arial" w:hAnsi="Arial"/>
          <w:sz w:val="20"/>
          <w:szCs w:val="20"/>
          <w:color w:val="auto"/>
        </w:rPr>
      </w:pPr>
    </w:p>
    <w:p>
      <w:pPr>
        <w:ind w:left="660" w:right="100" w:hanging="328"/>
        <w:spacing w:after="0" w:line="227" w:lineRule="auto"/>
        <w:tabs>
          <w:tab w:leader="none" w:pos="681" w:val="left"/>
        </w:tabs>
        <w:numPr>
          <w:ilvl w:val="1"/>
          <w:numId w:val="40"/>
        </w:numPr>
        <w:rPr>
          <w:rFonts w:ascii="Arial" w:cs="Arial" w:eastAsia="Arial" w:hAnsi="Arial"/>
          <w:sz w:val="20"/>
          <w:szCs w:val="20"/>
          <w:color w:val="auto"/>
        </w:rPr>
      </w:pPr>
      <w:r>
        <w:rPr>
          <w:rFonts w:ascii="Arial" w:cs="Arial" w:eastAsia="Arial" w:hAnsi="Arial"/>
          <w:sz w:val="20"/>
          <w:szCs w:val="20"/>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203" w:lineRule="exact"/>
        <w:rPr>
          <w:rFonts w:ascii="Arial" w:cs="Arial" w:eastAsia="Arial" w:hAnsi="Arial"/>
          <w:sz w:val="20"/>
          <w:szCs w:val="20"/>
          <w:color w:val="auto"/>
        </w:rPr>
      </w:pPr>
    </w:p>
    <w:p>
      <w:pPr>
        <w:ind w:left="360" w:hanging="352"/>
        <w:spacing w:after="0"/>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Fractional Shares</w:t>
      </w:r>
      <w:r>
        <w:rPr>
          <w:rFonts w:ascii="Arial" w:cs="Arial" w:eastAsia="Arial" w:hAnsi="Arial"/>
          <w:sz w:val="20"/>
          <w:szCs w:val="20"/>
          <w:color w:val="auto"/>
        </w:rPr>
        <w:t>. No fractional shares of Common Stock will be issued under the Plan or this Agreement.</w:t>
      </w:r>
    </w:p>
    <w:p>
      <w:pPr>
        <w:spacing w:after="0" w:line="202" w:lineRule="exact"/>
        <w:rPr>
          <w:rFonts w:ascii="Arial" w:cs="Arial" w:eastAsia="Arial" w:hAnsi="Arial"/>
          <w:sz w:val="20"/>
          <w:szCs w:val="20"/>
          <w:color w:val="auto"/>
        </w:rPr>
      </w:pPr>
    </w:p>
    <w:p>
      <w:pPr>
        <w:ind w:left="340" w:hanging="332"/>
        <w:spacing w:after="0" w:line="227" w:lineRule="auto"/>
        <w:tabs>
          <w:tab w:leader="none" w:pos="361"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Withholding Tax</w:t>
      </w:r>
      <w:r>
        <w:rPr>
          <w:rFonts w:ascii="Arial" w:cs="Arial" w:eastAsia="Arial" w:hAnsi="Arial"/>
          <w:sz w:val="20"/>
          <w:szCs w:val="20"/>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(or, otherwise, with WM’s approval),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203" w:lineRule="exact"/>
        <w:rPr>
          <w:rFonts w:ascii="Arial" w:cs="Arial" w:eastAsia="Arial" w:hAnsi="Arial"/>
          <w:sz w:val="20"/>
          <w:szCs w:val="20"/>
          <w:color w:val="auto"/>
        </w:rPr>
      </w:pPr>
    </w:p>
    <w:p>
      <w:pPr>
        <w:ind w:left="340" w:right="40" w:hanging="332"/>
        <w:spacing w:after="0"/>
        <w:tabs>
          <w:tab w:leader="none" w:pos="361"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Compliance with Securities Laws.</w:t>
      </w:r>
      <w:r>
        <w:rPr>
          <w:rFonts w:ascii="Arial" w:cs="Arial" w:eastAsia="Arial" w:hAnsi="Arial"/>
          <w:sz w:val="19"/>
          <w:szCs w:val="19"/>
          <w:color w:val="auto"/>
        </w:rPr>
        <w:t xml:space="preserve"> WM is not required to deliver any shares of Common Stock under this Agreement, if, in the opinion of counsel for the Company, such issuance would violate the Securities Act of 1933 or any other applicable federal or state securities laws or regulations.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199"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360045</wp:posOffset>
            </wp:positionV>
            <wp:extent cx="7267575" cy="4583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458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right="80"/>
        <w:spacing w:after="0" w:line="229" w:lineRule="auto"/>
        <w:rPr>
          <w:sz w:val="20"/>
          <w:szCs w:val="20"/>
          <w:color w:val="auto"/>
        </w:rPr>
      </w:pPr>
      <w:r>
        <w:rPr>
          <w:rFonts w:ascii="Arial" w:cs="Arial" w:eastAsia="Arial" w:hAnsi="Arial"/>
          <w:sz w:val="20"/>
          <w:szCs w:val="20"/>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 (c) establishment of Employee’s compliance with any necessary representations or terms and conditions of the Plan or this Agreement, or (d) compliance with any federal, state, or local tax withholding obligations.</w:t>
      </w:r>
    </w:p>
    <w:p>
      <w:pPr>
        <w:spacing w:after="0" w:line="196" w:lineRule="exact"/>
        <w:rPr>
          <w:sz w:val="20"/>
          <w:szCs w:val="20"/>
          <w:color w:val="auto"/>
        </w:rPr>
      </w:pPr>
    </w:p>
    <w:p>
      <w:pPr>
        <w:ind w:left="340" w:right="80" w:hanging="332"/>
        <w:spacing w:after="0" w:line="229" w:lineRule="auto"/>
        <w:tabs>
          <w:tab w:leader="none" w:pos="361"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Employee to Have no Rights as a Stockholder.</w:t>
      </w:r>
      <w:r>
        <w:rPr>
          <w:rFonts w:ascii="Arial" w:cs="Arial" w:eastAsia="Arial" w:hAnsi="Arial"/>
          <w:sz w:val="20"/>
          <w:szCs w:val="20"/>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7 under “</w:t>
      </w:r>
      <w:r>
        <w:rPr>
          <w:rFonts w:ascii="Arial" w:cs="Arial" w:eastAsia="Arial" w:hAnsi="Arial"/>
          <w:sz w:val="20"/>
          <w:szCs w:val="20"/>
          <w:color w:val="00B050"/>
        </w:rPr>
        <w:t>Important Award Details</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left="340" w:hanging="332"/>
        <w:spacing w:after="0" w:line="228" w:lineRule="auto"/>
        <w:tabs>
          <w:tab w:leader="none" w:pos="361"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6.b. under “</w:t>
      </w:r>
      <w:r>
        <w:rPr>
          <w:rFonts w:ascii="Arial" w:cs="Arial" w:eastAsia="Arial" w:hAnsi="Arial"/>
          <w:sz w:val="20"/>
          <w:szCs w:val="20"/>
          <w:color w:val="00B050"/>
        </w:rPr>
        <w:t>Important</w:t>
      </w:r>
      <w:r>
        <w:rPr>
          <w:rFonts w:ascii="Arial" w:cs="Arial" w:eastAsia="Arial" w:hAnsi="Arial"/>
          <w:sz w:val="20"/>
          <w:szCs w:val="20"/>
          <w:color w:val="auto"/>
        </w:rPr>
        <w:t xml:space="preserve"> </w:t>
      </w:r>
      <w:r>
        <w:rPr>
          <w:rFonts w:ascii="Arial" w:cs="Arial" w:eastAsia="Arial" w:hAnsi="Arial"/>
          <w:sz w:val="20"/>
          <w:szCs w:val="20"/>
          <w:color w:val="00B050"/>
        </w:rPr>
        <w:t>Award Details</w:t>
      </w:r>
      <w:r>
        <w:rPr>
          <w:rFonts w:ascii="Arial" w:cs="Arial" w:eastAsia="Arial" w:hAnsi="Arial"/>
          <w:sz w:val="20"/>
          <w:szCs w:val="20"/>
          <w:color w:val="000000"/>
        </w:rPr>
        <w:t>.”</w:t>
      </w:r>
    </w:p>
    <w:p>
      <w:pPr>
        <w:spacing w:after="0" w:line="196" w:lineRule="exact"/>
        <w:rPr>
          <w:rFonts w:ascii="Arial" w:cs="Arial" w:eastAsia="Arial" w:hAnsi="Arial"/>
          <w:sz w:val="20"/>
          <w:szCs w:val="20"/>
          <w:color w:val="auto"/>
        </w:rPr>
      </w:pPr>
    </w:p>
    <w:p>
      <w:pPr>
        <w:ind w:left="360" w:hanging="352"/>
        <w:spacing w:after="0"/>
        <w:tabs>
          <w:tab w:leader="none" w:pos="36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202" w:lineRule="exact"/>
        <w:rPr>
          <w:rFonts w:ascii="Arial" w:cs="Arial" w:eastAsia="Arial" w:hAnsi="Arial"/>
          <w:sz w:val="20"/>
          <w:szCs w:val="20"/>
          <w:color w:val="auto"/>
        </w:rPr>
      </w:pPr>
    </w:p>
    <w:p>
      <w:pPr>
        <w:ind w:left="760" w:hanging="428"/>
        <w:spacing w:after="0"/>
        <w:tabs>
          <w:tab w:leader="none" w:pos="760" w:val="left"/>
        </w:tabs>
        <w:numPr>
          <w:ilvl w:val="1"/>
          <w:numId w:val="41"/>
        </w:numPr>
        <w:rPr>
          <w:rFonts w:ascii="Arial" w:cs="Arial" w:eastAsia="Arial" w:hAnsi="Arial"/>
          <w:sz w:val="20"/>
          <w:szCs w:val="20"/>
          <w:color w:val="auto"/>
        </w:rPr>
      </w:pPr>
      <w:r>
        <w:rPr>
          <w:rFonts w:ascii="Arial" w:cs="Arial" w:eastAsia="Arial" w:hAnsi="Arial"/>
          <w:sz w:val="20"/>
          <w:szCs w:val="20"/>
          <w:color w:val="auto"/>
        </w:rPr>
        <w:t>give Employee any right to be awarded any further Awards other than in the sole discretion of the Committee;</w:t>
      </w:r>
    </w:p>
    <w:p>
      <w:pPr>
        <w:spacing w:after="0" w:line="202" w:lineRule="exact"/>
        <w:rPr>
          <w:rFonts w:ascii="Arial" w:cs="Arial" w:eastAsia="Arial" w:hAnsi="Arial"/>
          <w:sz w:val="20"/>
          <w:szCs w:val="20"/>
          <w:color w:val="auto"/>
        </w:rPr>
      </w:pPr>
    </w:p>
    <w:p>
      <w:pPr>
        <w:ind w:left="720" w:right="20" w:hanging="388"/>
        <w:spacing w:after="0" w:line="232" w:lineRule="auto"/>
        <w:tabs>
          <w:tab w:leader="none" w:pos="751" w:val="left"/>
        </w:tabs>
        <w:numPr>
          <w:ilvl w:val="1"/>
          <w:numId w:val="41"/>
        </w:numPr>
        <w:rPr>
          <w:rFonts w:ascii="Arial" w:cs="Arial" w:eastAsia="Arial" w:hAnsi="Arial"/>
          <w:sz w:val="20"/>
          <w:szCs w:val="20"/>
          <w:color w:val="auto"/>
        </w:rPr>
      </w:pPr>
      <w:r>
        <w:rPr>
          <w:rFonts w:ascii="Arial" w:cs="Arial" w:eastAsia="Arial" w:hAnsi="Arial"/>
          <w:sz w:val="20"/>
          <w:szCs w:val="20"/>
          <w:color w:val="auto"/>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ectPr>
          <w:pgSz w:w="11900" w:h="16838" w:orient="portrait"/>
          <w:cols w:equalWidth="0" w:num="1">
            <w:col w:w="10940"/>
          </w:cols>
          <w:pgMar w:left="540" w:top="100" w:right="419" w:bottom="0" w:gutter="0" w:footer="0" w:header="0"/>
        </w:sectPr>
      </w:pPr>
    </w:p>
    <w:bookmarkStart w:id="29" w:name="page30"/>
    <w:bookmarkEnd w:id="29"/>
    <w:p>
      <w:pPr>
        <w:ind w:left="740" w:hanging="408"/>
        <w:spacing w:after="0"/>
        <w:tabs>
          <w:tab w:leader="none" w:pos="740" w:val="left"/>
        </w:tabs>
        <w:numPr>
          <w:ilvl w:val="1"/>
          <w:numId w:val="42"/>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593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593465"/>
                    </a:xfrm>
                    <a:prstGeom prst="rect">
                      <a:avLst/>
                    </a:prstGeom>
                    <a:noFill/>
                  </pic:spPr>
                </pic:pic>
              </a:graphicData>
            </a:graphic>
          </wp:anchor>
        </w:drawing>
        <w:t>confer upon Employee the right to continue in the employment or service of WM.</w:t>
      </w:r>
    </w:p>
    <w:p>
      <w:pPr>
        <w:spacing w:after="0" w:line="202" w:lineRule="exact"/>
        <w:rPr>
          <w:rFonts w:ascii="Arial" w:cs="Arial" w:eastAsia="Arial" w:hAnsi="Arial"/>
          <w:sz w:val="20"/>
          <w:szCs w:val="20"/>
          <w:color w:val="auto"/>
        </w:rPr>
      </w:pPr>
    </w:p>
    <w:p>
      <w:pPr>
        <w:ind w:left="340" w:right="20" w:hanging="332"/>
        <w:spacing w:after="0" w:line="236" w:lineRule="auto"/>
        <w:tabs>
          <w:tab w:leader="none" w:pos="361"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internal laws of the State of Texas, without reference to principles of conflict of laws.</w:t>
      </w:r>
    </w:p>
    <w:p>
      <w:pPr>
        <w:spacing w:after="0" w:line="195" w:lineRule="exact"/>
        <w:rPr>
          <w:rFonts w:ascii="Arial" w:cs="Arial" w:eastAsia="Arial" w:hAnsi="Arial"/>
          <w:sz w:val="20"/>
          <w:szCs w:val="20"/>
          <w:color w:val="auto"/>
        </w:rPr>
      </w:pPr>
    </w:p>
    <w:p>
      <w:pPr>
        <w:ind w:left="340" w:right="320" w:hanging="332"/>
        <w:spacing w:after="0" w:line="236" w:lineRule="auto"/>
        <w:tabs>
          <w:tab w:leader="none" w:pos="291"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Severability/Entire Agreement</w:t>
      </w:r>
      <w:r>
        <w:rPr>
          <w:rFonts w:ascii="Arial" w:cs="Arial" w:eastAsia="Arial" w:hAnsi="Arial"/>
          <w:sz w:val="20"/>
          <w:szCs w:val="20"/>
          <w:color w:val="auto"/>
        </w:rPr>
        <w:t>. The invalidity or unenforceability of any provision of this Agreement shall not affect the validity or enforceability of any other provision of this Agreement.</w:t>
      </w:r>
    </w:p>
    <w:p>
      <w:pPr>
        <w:spacing w:after="0" w:line="195" w:lineRule="exact"/>
        <w:rPr>
          <w:rFonts w:ascii="Arial" w:cs="Arial" w:eastAsia="Arial" w:hAnsi="Arial"/>
          <w:sz w:val="20"/>
          <w:szCs w:val="20"/>
          <w:color w:val="auto"/>
        </w:rPr>
      </w:pPr>
    </w:p>
    <w:p>
      <w:pPr>
        <w:ind w:left="720" w:right="20" w:hanging="388"/>
        <w:spacing w:after="0" w:line="227" w:lineRule="auto"/>
        <w:tabs>
          <w:tab w:leader="none" w:pos="716" w:val="left"/>
        </w:tabs>
        <w:numPr>
          <w:ilvl w:val="1"/>
          <w:numId w:val="43"/>
        </w:numPr>
        <w:rPr>
          <w:rFonts w:ascii="Arial" w:cs="Arial" w:eastAsia="Arial" w:hAnsi="Arial"/>
          <w:sz w:val="20"/>
          <w:szCs w:val="20"/>
          <w:color w:val="auto"/>
        </w:rPr>
      </w:pPr>
      <w:r>
        <w:rPr>
          <w:rFonts w:ascii="Arial" w:cs="Arial" w:eastAsia="Arial" w:hAnsi="Arial"/>
          <w:sz w:val="20"/>
          <w:szCs w:val="20"/>
          <w:color w:val="auto"/>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p>
      <w:pPr>
        <w:spacing w:after="0" w:line="201" w:lineRule="exact"/>
        <w:rPr>
          <w:rFonts w:ascii="Arial" w:cs="Arial" w:eastAsia="Arial" w:hAnsi="Arial"/>
          <w:sz w:val="20"/>
          <w:szCs w:val="20"/>
          <w:color w:val="auto"/>
        </w:rPr>
      </w:pPr>
    </w:p>
    <w:p>
      <w:pPr>
        <w:ind w:left="720" w:right="300" w:hanging="388"/>
        <w:spacing w:after="0" w:line="232" w:lineRule="auto"/>
        <w:tabs>
          <w:tab w:leader="none" w:pos="716" w:val="left"/>
        </w:tabs>
        <w:numPr>
          <w:ilvl w:val="1"/>
          <w:numId w:val="43"/>
        </w:numPr>
        <w:rPr>
          <w:rFonts w:ascii="Arial" w:cs="Arial" w:eastAsia="Arial" w:hAnsi="Arial"/>
          <w:sz w:val="20"/>
          <w:szCs w:val="20"/>
          <w:color w:val="auto"/>
        </w:rPr>
      </w:pPr>
      <w:r>
        <w:rPr>
          <w:rFonts w:ascii="Arial" w:cs="Arial" w:eastAsia="Arial" w:hAnsi="Arial"/>
          <w:sz w:val="20"/>
          <w:szCs w:val="20"/>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360045</wp:posOffset>
            </wp:positionV>
            <wp:extent cx="7267575" cy="6718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671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20" w:right="420" w:hanging="388"/>
        <w:spacing w:after="0" w:line="247" w:lineRule="auto"/>
        <w:tabs>
          <w:tab w:leader="none" w:pos="705" w:val="left"/>
        </w:tabs>
        <w:numPr>
          <w:ilvl w:val="1"/>
          <w:numId w:val="44"/>
        </w:numPr>
        <w:rPr>
          <w:rFonts w:ascii="Arial" w:cs="Arial" w:eastAsia="Arial" w:hAnsi="Arial"/>
          <w:sz w:val="19"/>
          <w:szCs w:val="19"/>
          <w:color w:val="auto"/>
        </w:rPr>
      </w:pPr>
      <w:r>
        <w:rPr>
          <w:rFonts w:ascii="Arial" w:cs="Arial" w:eastAsia="Arial" w:hAnsi="Arial"/>
          <w:sz w:val="19"/>
          <w:szCs w:val="19"/>
          <w:color w:val="auto"/>
        </w:rPr>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189" w:lineRule="exact"/>
        <w:rPr>
          <w:rFonts w:ascii="Arial" w:cs="Arial" w:eastAsia="Arial" w:hAnsi="Arial"/>
          <w:sz w:val="19"/>
          <w:szCs w:val="19"/>
          <w:color w:val="auto"/>
        </w:rPr>
      </w:pPr>
    </w:p>
    <w:p>
      <w:pPr>
        <w:ind w:left="340" w:right="280" w:hanging="332"/>
        <w:spacing w:after="0" w:line="257" w:lineRule="auto"/>
        <w:tabs>
          <w:tab w:leader="none" w:pos="351"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180" w:lineRule="exact"/>
        <w:rPr>
          <w:rFonts w:ascii="Arial" w:cs="Arial" w:eastAsia="Arial" w:hAnsi="Arial"/>
          <w:sz w:val="19"/>
          <w:szCs w:val="19"/>
          <w:color w:val="auto"/>
        </w:rPr>
      </w:pPr>
    </w:p>
    <w:p>
      <w:pPr>
        <w:ind w:left="340" w:right="80" w:hanging="332"/>
        <w:spacing w:after="0" w:line="231" w:lineRule="auto"/>
        <w:tabs>
          <w:tab w:leader="none" w:pos="351"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Covenant Requirement Essential Part of Award</w:t>
      </w:r>
      <w:r>
        <w:rPr>
          <w:rFonts w:ascii="Arial" w:cs="Arial" w:eastAsia="Arial" w:hAnsi="Arial"/>
          <w:sz w:val="20"/>
          <w:szCs w:val="20"/>
          <w:color w:val="auto"/>
        </w:rPr>
        <w:t>. An overriding condition (even if any other provision of the Plan and this Agreement are conflicting) for Employee to receive any benefit from or payment of any Award under this Agreement, is that Employee must also have entered into an agreement containing restrictive covenants concerning limitations on Employee’s behavior following termination of employment that is satisfactory to WM.</w:t>
      </w:r>
    </w:p>
    <w:p>
      <w:pPr>
        <w:spacing w:after="0" w:line="195" w:lineRule="exact"/>
        <w:rPr>
          <w:rFonts w:ascii="Arial" w:cs="Arial" w:eastAsia="Arial" w:hAnsi="Arial"/>
          <w:sz w:val="20"/>
          <w:szCs w:val="20"/>
          <w:color w:val="auto"/>
        </w:rPr>
      </w:pPr>
    </w:p>
    <w:p>
      <w:pPr>
        <w:ind w:left="340" w:hanging="332"/>
        <w:spacing w:after="0"/>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If not defined in this Agreement, capitalized terms have the meanings set forth in the Plan.</w:t>
      </w:r>
    </w:p>
    <w:p>
      <w:pPr>
        <w:spacing w:after="0" w:line="202" w:lineRule="exact"/>
        <w:rPr>
          <w:rFonts w:ascii="Arial" w:cs="Arial" w:eastAsia="Arial" w:hAnsi="Arial"/>
          <w:sz w:val="20"/>
          <w:szCs w:val="20"/>
          <w:color w:val="auto"/>
        </w:rPr>
      </w:pPr>
    </w:p>
    <w:p>
      <w:pPr>
        <w:ind w:left="340" w:hanging="332"/>
        <w:spacing w:after="0" w:line="226" w:lineRule="auto"/>
        <w:tabs>
          <w:tab w:leader="none" w:pos="351"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 Both WM and Employee intend that this Agreement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not be subject to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206" w:lineRule="exact"/>
        <w:rPr>
          <w:rFonts w:ascii="Arial" w:cs="Arial" w:eastAsia="Arial" w:hAnsi="Arial"/>
          <w:sz w:val="20"/>
          <w:szCs w:val="20"/>
          <w:color w:val="auto"/>
        </w:rPr>
      </w:pPr>
    </w:p>
    <w:p>
      <w:pPr>
        <w:ind w:left="340" w:right="20" w:hanging="332"/>
        <w:spacing w:after="0" w:line="239" w:lineRule="auto"/>
        <w:tabs>
          <w:tab w:leader="none" w:pos="351"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Use of Personal Data</w:t>
      </w:r>
      <w:r>
        <w:rPr>
          <w:rFonts w:ascii="Arial" w:cs="Arial" w:eastAsia="Arial" w:hAnsi="Arial"/>
          <w:sz w:val="19"/>
          <w:szCs w:val="19"/>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(“Data”),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w:t>
      </w:r>
    </w:p>
    <w:p>
      <w:pPr>
        <w:sectPr>
          <w:pgSz w:w="11900" w:h="16838" w:orient="portrait"/>
          <w:cols w:equalWidth="0" w:num="1">
            <w:col w:w="10920"/>
          </w:cols>
          <w:pgMar w:left="540" w:top="352" w:right="439" w:bottom="0" w:gutter="0" w:footer="0" w:header="0"/>
        </w:sectPr>
      </w:pPr>
    </w:p>
    <w:bookmarkStart w:id="30" w:name="page31"/>
    <w:bookmarkEnd w:id="30"/>
    <w:p>
      <w:pPr>
        <w:ind w:left="340" w:right="440"/>
        <w:spacing w:after="0" w:line="236" w:lineRule="auto"/>
        <w:rPr>
          <w:sz w:val="20"/>
          <w:szCs w:val="20"/>
          <w:color w:val="auto"/>
        </w:rPr>
      </w:pPr>
      <w:r>
        <w:rPr>
          <w:rFonts w:ascii="Arial" w:cs="Arial" w:eastAsia="Arial" w:hAnsi="Arial"/>
          <w:sz w:val="20"/>
          <w:szCs w:val="20"/>
          <w:color w:val="auto"/>
        </w:rPr>
        <w:t>notifying WM in writing (according to the provisions of paragraph 15 below); however, Employee understands that by withdrawing his or her consent to use Data, Employee may affect his or her ability to participate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-283845</wp:posOffset>
            </wp:positionV>
            <wp:extent cx="7246620" cy="11233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123315"/>
                    </a:xfrm>
                    <a:prstGeom prst="rect">
                      <a:avLst/>
                    </a:prstGeom>
                    <a:noFill/>
                  </pic:spPr>
                </pic:pic>
              </a:graphicData>
            </a:graphic>
          </wp:anchor>
        </w:drawing>
      </w:r>
    </w:p>
    <w:p>
      <w:pPr>
        <w:spacing w:after="0" w:line="176" w:lineRule="exact"/>
        <w:rPr>
          <w:sz w:val="20"/>
          <w:szCs w:val="20"/>
          <w:color w:val="auto"/>
        </w:rPr>
      </w:pPr>
    </w:p>
    <w:p>
      <w:pPr>
        <w:ind w:left="340" w:right="660" w:hanging="332"/>
        <w:spacing w:after="0" w:line="257" w:lineRule="auto"/>
        <w:tabs>
          <w:tab w:leader="none" w:pos="351"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given by one party under this Agreement to the other shall be in writing and may be delivered personally or by mail, postage prepaid, addressed to the Secretary of the Company, at its then corporate</w:t>
      </w:r>
    </w:p>
    <w:p>
      <w:pPr>
        <w:spacing w:after="0" w:line="180"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360045</wp:posOffset>
            </wp:positionV>
            <wp:extent cx="7267575" cy="8809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880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right="80"/>
        <w:spacing w:after="0" w:line="236" w:lineRule="auto"/>
        <w:rPr>
          <w:sz w:val="20"/>
          <w:szCs w:val="20"/>
          <w:color w:val="auto"/>
        </w:rPr>
      </w:pPr>
      <w:r>
        <w:rPr>
          <w:rFonts w:ascii="Arial" w:cs="Arial" w:eastAsia="Arial" w:hAnsi="Arial"/>
          <w:sz w:val="20"/>
          <w:szCs w:val="20"/>
          <w:color w:val="auto"/>
        </w:rPr>
        <w:t>headquarters, and Employee at Employee’s address as shown on WM’s records, or to such other address as Employee, by notice to the Company, may designate in writing from time to time.</w:t>
      </w:r>
    </w:p>
    <w:p>
      <w:pPr>
        <w:spacing w:after="0" w:line="196" w:lineRule="exact"/>
        <w:rPr>
          <w:sz w:val="20"/>
          <w:szCs w:val="20"/>
          <w:color w:val="auto"/>
        </w:rPr>
      </w:pPr>
    </w:p>
    <w:p>
      <w:pPr>
        <w:ind w:left="340" w:right="120" w:hanging="332"/>
        <w:spacing w:after="0" w:line="229" w:lineRule="auto"/>
        <w:tabs>
          <w:tab w:leader="none" w:pos="351"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199" w:lineRule="exact"/>
        <w:rPr>
          <w:rFonts w:ascii="Arial" w:cs="Arial" w:eastAsia="Arial" w:hAnsi="Arial"/>
          <w:sz w:val="20"/>
          <w:szCs w:val="20"/>
          <w:color w:val="auto"/>
        </w:rPr>
      </w:pPr>
    </w:p>
    <w:p>
      <w:pPr>
        <w:ind w:left="340" w:hanging="332"/>
        <w:spacing w:after="0" w:line="229" w:lineRule="auto"/>
        <w:tabs>
          <w:tab w:leader="none" w:pos="351"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Clawback</w:t>
      </w:r>
      <w:r>
        <w:rPr>
          <w:rFonts w:ascii="Arial" w:cs="Arial" w:eastAsia="Arial" w:hAnsi="Arial"/>
          <w:sz w:val="20"/>
          <w:szCs w:val="20"/>
          <w:color w:val="auto"/>
        </w:rPr>
        <w:t>. Notwithstanding any provisions in the Plan or this Agreement to the contrary, any portion of the payments and benefits provided under this Agreement or the sale of any shares of Common Stock issued hereunder shall be subject to any clawback or other recovery policy adopted by the Committee from time to time, including, without limitation, any such policy adopted in accordance with the requirements of the Dodd-Frank Wall Street Reform and Consumer Protection Act of 2010 or any SEC rule.</w:t>
      </w:r>
    </w:p>
    <w:p>
      <w:pPr>
        <w:spacing w:after="0" w:line="199" w:lineRule="exact"/>
        <w:rPr>
          <w:rFonts w:ascii="Arial" w:cs="Arial" w:eastAsia="Arial" w:hAnsi="Arial"/>
          <w:sz w:val="20"/>
          <w:szCs w:val="20"/>
          <w:color w:val="auto"/>
        </w:rPr>
      </w:pPr>
    </w:p>
    <w:p>
      <w:pPr>
        <w:ind w:left="340" w:right="40" w:hanging="332"/>
        <w:spacing w:after="0" w:line="227" w:lineRule="auto"/>
        <w:tabs>
          <w:tab w:leader="none" w:pos="351"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Binding Arbitration</w:t>
      </w:r>
      <w:r>
        <w:rPr>
          <w:rFonts w:ascii="Arial" w:cs="Arial" w:eastAsia="Arial" w:hAnsi="Arial"/>
          <w:sz w:val="20"/>
          <w:szCs w:val="20"/>
          <w:color w:val="auto"/>
        </w:rPr>
        <w:t>.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5 under “</w:t>
      </w:r>
      <w:r>
        <w:rPr>
          <w:rFonts w:ascii="Arial" w:cs="Arial" w:eastAsia="Arial" w:hAnsi="Arial"/>
          <w:sz w:val="20"/>
          <w:szCs w:val="20"/>
          <w:color w:val="00B050"/>
        </w:rPr>
        <w:t>Important</w:t>
      </w:r>
      <w:r>
        <w:rPr>
          <w:rFonts w:ascii="Arial" w:cs="Arial" w:eastAsia="Arial" w:hAnsi="Arial"/>
          <w:sz w:val="20"/>
          <w:szCs w:val="20"/>
          <w:color w:val="auto"/>
        </w:rPr>
        <w:t xml:space="preserve"> </w:t>
      </w:r>
      <w:r>
        <w:rPr>
          <w:rFonts w:ascii="Arial" w:cs="Arial" w:eastAsia="Arial" w:hAnsi="Arial"/>
          <w:sz w:val="20"/>
          <w:szCs w:val="20"/>
          <w:color w:val="00B050"/>
        </w:rPr>
        <w:t>Award Details</w:t>
      </w:r>
      <w:r>
        <w:rPr>
          <w:rFonts w:ascii="Arial" w:cs="Arial" w:eastAsia="Arial" w:hAnsi="Arial"/>
          <w:sz w:val="20"/>
          <w:szCs w:val="20"/>
          <w:color w:val="000000"/>
        </w:rPr>
        <w:t>”), the Company and Employee agree that such dispute shall be settled exclusively by final and binding</w:t>
      </w:r>
      <w:r>
        <w:rPr>
          <w:rFonts w:ascii="Arial" w:cs="Arial" w:eastAsia="Arial" w:hAnsi="Arial"/>
          <w:sz w:val="20"/>
          <w:szCs w:val="20"/>
          <w:color w:val="00B050"/>
        </w:rPr>
        <w:t xml:space="preserve"> </w:t>
      </w:r>
      <w:r>
        <w:rPr>
          <w:rFonts w:ascii="Arial" w:cs="Arial" w:eastAsia="Arial" w:hAnsi="Arial"/>
          <w:sz w:val="20"/>
          <w:szCs w:val="20"/>
          <w:color w:val="000000"/>
        </w:rPr>
        <w:t xml:space="preserve">arbitration, as governed by the Federal Arbitration Act (9 U.S.C. 1 </w:t>
      </w:r>
      <w:r>
        <w:rPr>
          <w:rFonts w:ascii="Arial" w:cs="Arial" w:eastAsia="Arial" w:hAnsi="Arial"/>
          <w:sz w:val="20"/>
          <w:szCs w:val="20"/>
          <w:i w:val="1"/>
          <w:iCs w:val="1"/>
          <w:color w:val="000000"/>
        </w:rPr>
        <w:t>et seq.).</w:t>
      </w:r>
      <w:r>
        <w:rPr>
          <w:rFonts w:ascii="Arial" w:cs="Arial" w:eastAsia="Arial" w:hAnsi="Arial"/>
          <w:sz w:val="20"/>
          <w:szCs w:val="20"/>
          <w:color w:val="000000"/>
        </w:rPr>
        <w:t xml:space="preserve"> The arbitration proceeding, including the rendering of an award, if any, shall be administered by JAMS pursuant to its Employment Arbitration Rules and Procedures, which may be found on the JAMS Website </w:t>
      </w:r>
      <w:r>
        <w:rPr>
          <w:rFonts w:ascii="Arial" w:cs="Arial" w:eastAsia="Arial" w:hAnsi="Arial"/>
          <w:sz w:val="20"/>
          <w:szCs w:val="20"/>
          <w:b w:val="1"/>
          <w:bCs w:val="1"/>
          <w:color w:val="00009A"/>
        </w:rPr>
        <w:t>www.jamsadr.com</w:t>
      </w:r>
      <w:r>
        <w:rPr>
          <w:rFonts w:ascii="Arial" w:cs="Arial" w:eastAsia="Arial" w:hAnsi="Arial"/>
          <w:sz w:val="20"/>
          <w:szCs w:val="20"/>
          <w:color w:val="000000"/>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201" w:lineRule="exact"/>
        <w:rPr>
          <w:rFonts w:ascii="Arial" w:cs="Arial" w:eastAsia="Arial" w:hAnsi="Arial"/>
          <w:sz w:val="20"/>
          <w:szCs w:val="20"/>
          <w:color w:val="auto"/>
        </w:rPr>
      </w:pPr>
    </w:p>
    <w:p>
      <w:pPr>
        <w:ind w:left="340" w:right="560" w:hanging="332"/>
        <w:spacing w:after="0" w:line="236" w:lineRule="auto"/>
        <w:tabs>
          <w:tab w:leader="none" w:pos="351"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which together shall constitute one and the same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360045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540" w:top="135" w:right="419" w:bottom="417" w:gutter="0" w:footer="0" w:header="0"/>
        </w:sectPr>
      </w:pPr>
    </w:p>
    <w:bookmarkStart w:id="31" w:name="page32"/>
    <w:bookmarkEnd w:id="31"/>
    <w:p>
      <w:pPr>
        <w:jc w:val="center"/>
        <w:ind w:right="-99"/>
        <w:spacing w:after="0"/>
        <w:rPr>
          <w:sz w:val="20"/>
          <w:szCs w:val="20"/>
          <w:color w:val="auto"/>
        </w:rPr>
      </w:pPr>
      <w:r>
        <w:rPr>
          <w:rFonts w:ascii="Arial" w:cs="Arial" w:eastAsia="Arial" w:hAnsi="Arial"/>
          <w:sz w:val="29"/>
          <w:szCs w:val="29"/>
          <w:b w:val="1"/>
          <w:bCs w:val="1"/>
          <w:color w:val="00B050"/>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9193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9193530"/>
                    </a:xfrm>
                    <a:prstGeom prst="rect">
                      <a:avLst/>
                    </a:prstGeom>
                    <a:noFill/>
                  </pic:spPr>
                </pic:pic>
              </a:graphicData>
            </a:graphic>
          </wp:anchor>
        </w:drawing>
        <w:t>Execution</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one of its officers thereunto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and Employee has executed this Agreement, effective as of February 20, 2018.</w:t>
      </w:r>
    </w:p>
    <w:p>
      <w:pPr>
        <w:spacing w:after="0" w:line="200" w:lineRule="exact"/>
        <w:rPr>
          <w:sz w:val="20"/>
          <w:szCs w:val="20"/>
          <w:color w:val="auto"/>
        </w:rPr>
      </w:pPr>
    </w:p>
    <w:p>
      <w:pPr>
        <w:spacing w:after="0" w:line="386" w:lineRule="exact"/>
        <w:rPr>
          <w:sz w:val="20"/>
          <w:szCs w:val="20"/>
          <w:color w:val="auto"/>
        </w:rPr>
      </w:pPr>
    </w:p>
    <w:tbl>
      <w:tblPr>
        <w:tblLayout w:type="fixed"/>
        <w:tblInd w:w="460" w:type="dxa"/>
        <w:tblCellMar>
          <w:top w:w="0" w:type="dxa"/>
          <w:left w:w="0" w:type="dxa"/>
          <w:bottom w:w="0" w:type="dxa"/>
          <w:right w:w="0" w:type="dxa"/>
        </w:tblCellMar>
      </w:tblPr>
      <w:tr>
        <w:trPr>
          <w:trHeight w:val="261"/>
        </w:trPr>
        <w:tc>
          <w:tcPr>
            <w:tcW w:w="4600" w:type="dxa"/>
            <w:vAlign w:val="bottom"/>
          </w:tcPr>
          <w:p>
            <w:pPr>
              <w:spacing w:after="0"/>
              <w:rPr>
                <w:sz w:val="20"/>
                <w:szCs w:val="20"/>
                <w:color w:val="auto"/>
              </w:rPr>
            </w:pPr>
            <w:r>
              <w:rPr>
                <w:rFonts w:ascii="Arial" w:cs="Arial" w:eastAsia="Arial" w:hAnsi="Arial"/>
                <w:sz w:val="20"/>
                <w:szCs w:val="20"/>
                <w:b w:val="1"/>
                <w:bCs w:val="1"/>
                <w:color w:val="auto"/>
              </w:rPr>
              <w:t>WASTE MANAGEMENT, INC.</w:t>
            </w:r>
          </w:p>
        </w:tc>
        <w:tc>
          <w:tcPr>
            <w:tcW w:w="3620" w:type="dxa"/>
            <w:vAlign w:val="bottom"/>
          </w:tcPr>
          <w:p>
            <w:pPr>
              <w:ind w:left="720"/>
              <w:spacing w:after="0"/>
              <w:rPr>
                <w:sz w:val="20"/>
                <w:szCs w:val="20"/>
                <w:color w:val="auto"/>
              </w:rPr>
            </w:pPr>
            <w:r>
              <w:rPr>
                <w:rFonts w:ascii="Arial" w:cs="Arial" w:eastAsia="Arial" w:hAnsi="Arial"/>
                <w:sz w:val="20"/>
                <w:szCs w:val="20"/>
                <w:b w:val="1"/>
                <w:bCs w:val="1"/>
                <w:color w:val="auto"/>
              </w:rPr>
              <w:t>Employee</w:t>
            </w:r>
          </w:p>
        </w:tc>
        <w:tc>
          <w:tcPr>
            <w:tcW w:w="0" w:type="dxa"/>
            <w:vAlign w:val="bottom"/>
          </w:tcPr>
          <w:p>
            <w:pPr>
              <w:spacing w:after="0"/>
              <w:rPr>
                <w:sz w:val="1"/>
                <w:szCs w:val="1"/>
                <w:color w:val="auto"/>
              </w:rPr>
            </w:pPr>
          </w:p>
        </w:tc>
      </w:tr>
      <w:tr>
        <w:trPr>
          <w:trHeight w:val="415"/>
        </w:trPr>
        <w:tc>
          <w:tcPr>
            <w:tcW w:w="4600" w:type="dxa"/>
            <w:vAlign w:val="bottom"/>
            <w:tcBorders>
              <w:bottom w:val="single" w:sz="8" w:color="auto"/>
            </w:tcBorders>
          </w:tcPr>
          <w:p>
            <w:pPr>
              <w:spacing w:after="0"/>
              <w:rPr>
                <w:sz w:val="24"/>
                <w:szCs w:val="24"/>
                <w:color w:val="auto"/>
              </w:rPr>
            </w:pPr>
          </w:p>
        </w:tc>
        <w:tc>
          <w:tcPr>
            <w:tcW w:w="3620" w:type="dxa"/>
            <w:vAlign w:val="bottom"/>
            <w:vMerge w:val="restart"/>
          </w:tcPr>
          <w:p>
            <w:pPr>
              <w:ind w:left="720"/>
              <w:spacing w:after="0"/>
              <w:rPr>
                <w:sz w:val="20"/>
                <w:szCs w:val="20"/>
                <w:color w:val="auto"/>
              </w:rPr>
            </w:pPr>
            <w:r>
              <w:rPr>
                <w:rFonts w:ascii="Arial" w:cs="Arial" w:eastAsia="Arial" w:hAnsi="Arial"/>
                <w:sz w:val="20"/>
                <w:szCs w:val="20"/>
                <w:i w:val="1"/>
                <w:iCs w:val="1"/>
                <w:color w:val="auto"/>
                <w:w w:val="97"/>
              </w:rPr>
              <w:t>Accepted by electronic signature.</w:t>
            </w:r>
          </w:p>
        </w:tc>
        <w:tc>
          <w:tcPr>
            <w:tcW w:w="0" w:type="dxa"/>
            <w:vAlign w:val="bottom"/>
          </w:tcPr>
          <w:p>
            <w:pPr>
              <w:spacing w:after="0"/>
              <w:rPr>
                <w:sz w:val="1"/>
                <w:szCs w:val="1"/>
                <w:color w:val="auto"/>
              </w:rPr>
            </w:pPr>
          </w:p>
        </w:tc>
      </w:tr>
      <w:tr>
        <w:trPr>
          <w:trHeight w:val="255"/>
        </w:trPr>
        <w:tc>
          <w:tcPr>
            <w:tcW w:w="4600" w:type="dxa"/>
            <w:vAlign w:val="bottom"/>
          </w:tcPr>
          <w:p>
            <w:pPr>
              <w:spacing w:after="0"/>
              <w:rPr>
                <w:sz w:val="20"/>
                <w:szCs w:val="20"/>
                <w:color w:val="auto"/>
              </w:rPr>
            </w:pPr>
            <w:r>
              <w:rPr>
                <w:rFonts w:ascii="Arial" w:cs="Arial" w:eastAsia="Arial" w:hAnsi="Arial"/>
                <w:sz w:val="20"/>
                <w:szCs w:val="20"/>
                <w:b w:val="1"/>
                <w:bCs w:val="1"/>
                <w:color w:val="auto"/>
              </w:rPr>
              <w:t>James E. Trevathan, Jr.</w:t>
            </w:r>
          </w:p>
        </w:tc>
        <w:tc>
          <w:tcPr>
            <w:tcW w:w="3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4600" w:type="dxa"/>
            <w:vAlign w:val="bottom"/>
          </w:tcPr>
          <w:p>
            <w:pPr>
              <w:spacing w:after="0"/>
              <w:rPr>
                <w:sz w:val="20"/>
                <w:szCs w:val="20"/>
                <w:color w:val="auto"/>
              </w:rPr>
            </w:pPr>
            <w:r>
              <w:rPr>
                <w:rFonts w:ascii="Arial" w:cs="Arial" w:eastAsia="Arial" w:hAnsi="Arial"/>
                <w:sz w:val="20"/>
                <w:szCs w:val="20"/>
                <w:color w:val="auto"/>
              </w:rPr>
              <w:t>Date: February 20, 2018</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360045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860"/>
      </w:cols>
      <w:pgMar w:left="540" w:top="124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o"/>
      <w:numFmt w:val="bullet"/>
      <w:start w:val="1"/>
    </w:lvl>
  </w:abstractNum>
  <w:abstractNum w:abstractNumId="1">
    <w:nsid w:val="8EDBDAB"/>
    <w:multiLevelType w:val="hybridMultilevel"/>
    <w:lvl w:ilvl="0">
      <w:lvlJc w:val="left"/>
      <w:lvlText w:val="\emdash "/>
      <w:numFmt w:val="bullet"/>
      <w:start w:val="1"/>
    </w:lvl>
  </w:abstractNum>
  <w:abstractNum w:abstractNumId="2">
    <w:nsid w:val="79838CB2"/>
    <w:multiLevelType w:val="hybridMultilevel"/>
    <w:lvl w:ilvl="0">
      <w:lvlJc w:val="left"/>
      <w:lvlText w:val="(%1)"/>
      <w:numFmt w:val="lowerLetter"/>
      <w:start w:val="1"/>
    </w:lvl>
  </w:abstractNum>
  <w:abstractNum w:abstractNumId="3">
    <w:nsid w:val="4353D0CD"/>
    <w:multiLevelType w:val="hybridMultilevel"/>
    <w:lvl w:ilvl="0">
      <w:lvlJc w:val="left"/>
      <w:lvlText w:val="%1"/>
      <w:numFmt w:val="upperLetter"/>
      <w:start w:val="1"/>
    </w:lvl>
    <w:lvl w:ilvl="1">
      <w:lvlJc w:val="left"/>
      <w:lvlText w:val="(%2)"/>
      <w:numFmt w:val="lowerLetter"/>
      <w:start w:val="2"/>
    </w:lvl>
  </w:abstractNum>
  <w:abstractNum w:abstractNumId="4">
    <w:nsid w:val="B03E0C6"/>
    <w:multiLevelType w:val="hybridMultilevel"/>
    <w:lvl w:ilvl="0">
      <w:lvlJc w:val="left"/>
      <w:lvlText w:val="(%1)"/>
      <w:numFmt w:val="upperLetter"/>
      <w:start w:val="5"/>
    </w:lvl>
    <w:lvl w:ilvl="1">
      <w:lvlJc w:val="left"/>
      <w:lvlText w:val="%2"/>
      <w:numFmt w:val="lowerLetter"/>
      <w:start w:val="1"/>
    </w:lvl>
  </w:abstractNum>
  <w:abstractNum w:abstractNumId="5">
    <w:nsid w:val="189A769B"/>
    <w:multiLevelType w:val="hybridMultilevel"/>
    <w:lvl w:ilvl="0">
      <w:lvlJc w:val="left"/>
      <w:lvlText w:val="%1"/>
      <w:numFmt w:val="decimal"/>
      <w:start w:val="1"/>
    </w:lvl>
    <w:lvl w:ilvl="1">
      <w:lvlJc w:val="left"/>
      <w:lvlText w:val="(%2)"/>
      <w:numFmt w:val="lowerLetter"/>
      <w:start w:val="4"/>
    </w:lvl>
  </w:abstractNum>
  <w:abstractNum w:abstractNumId="6">
    <w:nsid w:val="54E49EB4"/>
    <w:multiLevelType w:val="hybridMultilevel"/>
    <w:lvl w:ilvl="0">
      <w:lvlJc w:val="left"/>
      <w:lvlText w:val="(%1)"/>
      <w:numFmt w:val="decimal"/>
      <w:start w:val="10"/>
    </w:lvl>
    <w:lvl w:ilvl="1">
      <w:lvlJc w:val="left"/>
      <w:lvlText w:val="(%2)"/>
      <w:numFmt w:val="lowerLetter"/>
      <w:start w:val="5"/>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lowerLetter"/>
      <w:start w:val="1"/>
    </w:lvl>
  </w:abstractNum>
  <w:abstractNum w:abstractNumId="9">
    <w:nsid w:val="836C40E"/>
    <w:multiLevelType w:val="hybridMultilevel"/>
    <w:lvl w:ilvl="0">
      <w:lvlJc w:val="left"/>
      <w:lvlText w:val="(%1)"/>
      <w:numFmt w:val="lowerLetter"/>
      <w:start w:val="1"/>
    </w:lvl>
  </w:abstractNum>
  <w:abstractNum w:abstractNumId="10">
    <w:nsid w:val="2901D82"/>
    <w:multiLevelType w:val="hybridMultilevel"/>
    <w:lvl w:ilvl="0">
      <w:lvlJc w:val="left"/>
      <w:lvlText w:val="(%1)"/>
      <w:numFmt w:val="lowerLetter"/>
      <w:start w:val="3"/>
    </w:lvl>
  </w:abstractNum>
  <w:abstractNum w:abstractNumId="11">
    <w:nsid w:val="3A95F874"/>
    <w:multiLevelType w:val="hybridMultilevel"/>
    <w:lvl w:ilvl="0">
      <w:lvlJc w:val="left"/>
      <w:lvlText w:val="(%1)"/>
      <w:numFmt w:val="decimal"/>
      <w:start w:val="2"/>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2"/>
    </w:lvl>
    <w:lvl w:ilvl="1">
      <w:lvlJc w:val="left"/>
      <w:lvlText w:val="%2."/>
      <w:numFmt w:val="lowerLetter"/>
      <w:start w:val="1"/>
    </w:lvl>
  </w:abstractNum>
  <w:abstractNum w:abstractNumId="14">
    <w:nsid w:val="7C3DBD3D"/>
    <w:multiLevelType w:val="hybridMultilevel"/>
    <w:lvl w:ilvl="0">
      <w:lvlJc w:val="left"/>
      <w:lvlText w:val="%1."/>
      <w:numFmt w:val="lowerLetter"/>
      <w:start w:val="3"/>
    </w:lvl>
    <w:lvl w:ilvl="1">
      <w:lvlJc w:val="left"/>
      <w:lvlText w:val="%2."/>
      <w:numFmt w:val="lowerRoman"/>
      <w:start w:val="1"/>
    </w:lvl>
  </w:abstractNum>
  <w:abstractNum w:abstractNumId="15">
    <w:nsid w:val="737B8DD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6">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17">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18">
    <w:nsid w:val="4516DDE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19">
    <w:nsid w:val="3006C83E"/>
    <w:multiLevelType w:val="hybridMultilevel"/>
    <w:lvl w:ilvl="0">
      <w:lvlJc w:val="left"/>
      <w:lvlText w:val="%1."/>
      <w:numFmt w:val="decimal"/>
      <w:start w:val="4"/>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3"/>
    </w:lvl>
  </w:abstractNum>
  <w:abstractNum w:abstractNumId="22">
    <w:nsid w:val="5577F8E1"/>
    <w:multiLevelType w:val="hybridMultilevel"/>
    <w:lvl w:ilvl="0">
      <w:lvlJc w:val="left"/>
      <w:lvlText w:val="%1."/>
      <w:numFmt w:val="decimal"/>
      <w:start w:val="4"/>
    </w:lvl>
  </w:abstractNum>
  <w:abstractNum w:abstractNumId="23">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
    <w:nsid w:val="5072367"/>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25"/>
    </w:lvl>
    <w:lvl w:ilvl="3">
      <w:lvlJc w:val="left"/>
      <w:lvlText w:val="%4."/>
      <w:numFmt w:val="lowerRoman"/>
      <w:start w:val="1"/>
    </w:lvl>
  </w:abstractNum>
  <w:abstractNum w:abstractNumId="25">
    <w:nsid w:val="3804823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6">
    <w:nsid w:val="77465F01"/>
    <w:multiLevelType w:val="hybridMultilevel"/>
    <w:lvl w:ilvl="0">
      <w:lvlJc w:val="left"/>
      <w:lvlText w:val="%1."/>
      <w:numFmt w:val="decimal"/>
      <w:start w:val="5"/>
    </w:lvl>
    <w:lvl w:ilvl="1">
      <w:lvlJc w:val="left"/>
      <w:lvlText w:val="%2"/>
      <w:numFmt w:val="lowerLetter"/>
      <w:start w:val="1"/>
    </w:lvl>
  </w:abstractNum>
  <w:abstractNum w:abstractNumId="27">
    <w:nsid w:val="7724C67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28">
    <w:nsid w:val="5C482A9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29">
    <w:nsid w:val="2463B9EA"/>
    <w:multiLevelType w:val="hybridMultilevel"/>
    <w:lvl w:ilvl="0">
      <w:lvlJc w:val="left"/>
      <w:lvlText w:val="%1."/>
      <w:numFmt w:val="lowerRoman"/>
      <w:start w:val="2"/>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2"/>
    </w:lvl>
  </w:abstractNum>
  <w:abstractNum w:abstractNumId="32">
    <w:nsid w:val="2D517796"/>
    <w:multiLevelType w:val="hybridMultilevel"/>
    <w:lvl w:ilvl="0">
      <w:lvlJc w:val="left"/>
      <w:lvlText w:val="%1."/>
      <w:numFmt w:val="lowerLetter"/>
      <w:start w:val="2"/>
    </w:lvl>
    <w:lvl w:ilvl="1">
      <w:lvlJc w:val="left"/>
      <w:lvlText w:val="%2"/>
      <w:numFmt w:val="lowerLetter"/>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2"/>
    </w:lvl>
  </w:abstractNum>
  <w:abstractNum w:abstractNumId="35">
    <w:nsid w:val="3855585C"/>
    <w:multiLevelType w:val="hybridMultilevel"/>
    <w:lvl w:ilvl="0">
      <w:lvlJc w:val="left"/>
      <w:lvlText w:val="(%1)"/>
      <w:numFmt w:val="upperLetter"/>
      <w:start w:val="1"/>
    </w:lvl>
  </w:abstractNum>
  <w:abstractNum w:abstractNumId="36">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7">
    <w:nsid w:val="6A2342E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8">
    <w:nsid w:val="2A487CB0"/>
    <w:multiLevelType w:val="hybridMultilevel"/>
    <w:lvl w:ilvl="0">
      <w:lvlJc w:val="left"/>
      <w:lvlText w:val="%1."/>
      <w:numFmt w:val="lowerLetter"/>
      <w:start w:val="3"/>
    </w:lvl>
  </w:abstractNum>
  <w:abstractNum w:abstractNumId="39">
    <w:nsid w:val="1D4ED43B"/>
    <w:multiLevelType w:val="hybridMultilevel"/>
    <w:lvl w:ilvl="0">
      <w:lvlJc w:val="left"/>
      <w:lvlText w:val="%1."/>
      <w:numFmt w:val="decimal"/>
      <w:start w:val="1"/>
    </w:lvl>
    <w:lvl w:ilvl="1">
      <w:lvlJc w:val="left"/>
      <w:lvlText w:val="%2."/>
      <w:numFmt w:val="lowerLetter"/>
      <w:start w:val="1"/>
    </w:lvl>
  </w:abstractNum>
  <w:abstractNum w:abstractNumId="40">
    <w:nsid w:val="725A06FB"/>
    <w:multiLevelType w:val="hybridMultilevel"/>
    <w:lvl w:ilvl="0">
      <w:lvlJc w:val="left"/>
      <w:lvlText w:val="%1."/>
      <w:numFmt w:val="decimal"/>
      <w:start w:val="5"/>
    </w:lvl>
    <w:lvl w:ilvl="1">
      <w:lvlJc w:val="left"/>
      <w:lvlText w:val="%2."/>
      <w:numFmt w:val="lowerLetter"/>
      <w:start w:val="1"/>
    </w:lvl>
  </w:abstractNum>
  <w:abstractNum w:abstractNumId="41">
    <w:nsid w:val="2CD89A32"/>
    <w:multiLevelType w:val="hybridMultilevel"/>
    <w:lvl w:ilvl="0">
      <w:lvlJc w:val="left"/>
      <w:lvlText w:val="%1"/>
      <w:numFmt w:val="decimal"/>
      <w:start w:val="1"/>
    </w:lvl>
    <w:lvl w:ilvl="1">
      <w:lvlJc w:val="left"/>
      <w:lvlText w:val="%2."/>
      <w:numFmt w:val="lowerLetter"/>
      <w:start w:val="3"/>
    </w:lvl>
  </w:abstractNum>
  <w:abstractNum w:abstractNumId="42">
    <w:nsid w:val="57E4CCAF"/>
    <w:multiLevelType w:val="hybridMultilevel"/>
    <w:lvl w:ilvl="0">
      <w:lvlJc w:val="left"/>
      <w:lvlText w:val="%1."/>
      <w:numFmt w:val="decimal"/>
      <w:start w:val="8"/>
    </w:lvl>
    <w:lvl w:ilvl="1">
      <w:lvlJc w:val="left"/>
      <w:lvlText w:val="%2."/>
      <w:numFmt w:val="low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3"/>
    </w:lvl>
  </w:abstractNum>
  <w:abstractNum w:abstractNumId="44">
    <w:nsid w:val="4B588F54"/>
    <w:multiLevelType w:val="hybridMultilevel"/>
    <w:lvl w:ilvl="0">
      <w:lvlJc w:val="left"/>
      <w:lvlText w:val="%1."/>
      <w:numFmt w:val="decimal"/>
      <w:start w:val="10"/>
    </w:lvl>
    <w:lvl w:ilvl="1">
      <w:lvlJc w:val="left"/>
      <w:lvlText w:val="%2"/>
      <w:numFmt w:val="lowerLetter"/>
      <w:start w:val="1"/>
    </w:lvl>
  </w:abstractNum>
  <w:abstractNum w:abstractNumId="45">
    <w:nsid w:val="542289EC"/>
    <w:multiLevelType w:val="hybridMultilevel"/>
    <w:lvl w:ilvl="0">
      <w:lvlJc w:val="left"/>
      <w:lvlText w:val="%1."/>
      <w:numFmt w:val="decimal"/>
      <w:start w:val="15"/>
    </w:lvl>
  </w:abstractNum>
  <w:abstractNum w:abstractNumId="46">
    <w:nsid w:val="6DE91B18"/>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2019-12-29T01:03:05Z</dcterms:created>
  <dcterms:modified xsi:type="dcterms:W3CDTF">2019-12-29T01:03:05Z</dcterms:modified>
</cp:coreProperties>
</file>