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4"/>
        <w:spacing w:after="0"/>
        <w:rPr>
          <w:sz w:val="20"/>
          <w:szCs w:val="20"/>
          <w:color w:val="auto"/>
        </w:rPr>
      </w:pPr>
      <w:r>
        <w:rPr>
          <w:rFonts w:ascii="Courier New" w:cs="Courier New" w:eastAsia="Courier New" w:hAnsi="Courier New"/>
          <w:sz w:val="16"/>
          <w:szCs w:val="16"/>
          <w:color w:val="auto"/>
        </w:rPr>
        <w:t>Filed Pursuant to Rule 424(b)(2)</w:t>
      </w:r>
    </w:p>
    <w:p>
      <w:pPr>
        <w:jc w:val="center"/>
        <w:ind w:right="-1224"/>
        <w:spacing w:after="0"/>
        <w:rPr>
          <w:sz w:val="20"/>
          <w:szCs w:val="20"/>
          <w:color w:val="auto"/>
        </w:rPr>
      </w:pPr>
      <w:r>
        <w:rPr>
          <w:rFonts w:ascii="Courier New" w:cs="Courier New" w:eastAsia="Courier New" w:hAnsi="Courier New"/>
          <w:sz w:val="16"/>
          <w:szCs w:val="16"/>
          <w:color w:val="auto"/>
        </w:rPr>
        <w:t>Registration No. 333-52197</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PROSPECTUS SUPPLEMENT</w:t>
      </w:r>
    </w:p>
    <w:p>
      <w:pPr>
        <w:ind w:left="4"/>
        <w:spacing w:after="0"/>
        <w:rPr>
          <w:sz w:val="20"/>
          <w:szCs w:val="20"/>
          <w:color w:val="auto"/>
        </w:rPr>
      </w:pPr>
      <w:r>
        <w:rPr>
          <w:rFonts w:ascii="Courier New" w:cs="Courier New" w:eastAsia="Courier New" w:hAnsi="Courier New"/>
          <w:sz w:val="16"/>
          <w:szCs w:val="16"/>
          <w:color w:val="auto"/>
        </w:rPr>
        <w:t>JULY 14, 1998</w:t>
      </w:r>
    </w:p>
    <w:p>
      <w:pPr>
        <w:ind w:left="4"/>
        <w:spacing w:after="0" w:line="237" w:lineRule="auto"/>
        <w:rPr>
          <w:sz w:val="20"/>
          <w:szCs w:val="20"/>
          <w:color w:val="auto"/>
        </w:rPr>
      </w:pPr>
      <w:r>
        <w:rPr>
          <w:rFonts w:ascii="Courier New" w:cs="Courier New" w:eastAsia="Courier New" w:hAnsi="Courier New"/>
          <w:sz w:val="16"/>
          <w:szCs w:val="16"/>
          <w:color w:val="auto"/>
        </w:rPr>
        <w:t>(TO PROSPECTUS DATED JUNE 17, 1998)</w:t>
      </w:r>
    </w:p>
    <w:p>
      <w:pPr>
        <w:ind w:left="3184"/>
        <w:spacing w:after="0"/>
        <w:rPr>
          <w:sz w:val="20"/>
          <w:szCs w:val="20"/>
          <w:color w:val="auto"/>
        </w:rPr>
      </w:pPr>
      <w:r>
        <w:rPr>
          <w:rFonts w:ascii="Courier New" w:cs="Courier New" w:eastAsia="Courier New" w:hAnsi="Courier New"/>
          <w:sz w:val="16"/>
          <w:szCs w:val="16"/>
          <w:color w:val="auto"/>
        </w:rPr>
        <w:t>$600,000,000</w:t>
      </w:r>
    </w:p>
    <w:p>
      <w:pPr>
        <w:jc w:val="center"/>
        <w:ind w:right="2715"/>
        <w:spacing w:after="0" w:line="238" w:lineRule="auto"/>
        <w:rPr>
          <w:sz w:val="20"/>
          <w:szCs w:val="20"/>
          <w:color w:val="auto"/>
        </w:rPr>
      </w:pPr>
      <w:r>
        <w:rPr>
          <w:rFonts w:ascii="Courier New" w:cs="Courier New" w:eastAsia="Courier New" w:hAnsi="Courier New"/>
          <w:sz w:val="16"/>
          <w:szCs w:val="16"/>
          <w:color w:val="auto"/>
        </w:rPr>
        <w:t>USA WASTE SERVICES, INC.</w:t>
      </w:r>
    </w:p>
    <w:p>
      <w:pPr>
        <w:jc w:val="center"/>
        <w:ind w:right="2815"/>
        <w:spacing w:after="0"/>
        <w:rPr>
          <w:sz w:val="20"/>
          <w:szCs w:val="20"/>
          <w:color w:val="auto"/>
        </w:rPr>
      </w:pPr>
      <w:r>
        <w:rPr>
          <w:rFonts w:ascii="Courier New" w:cs="Courier New" w:eastAsia="Courier New" w:hAnsi="Courier New"/>
          <w:sz w:val="16"/>
          <w:szCs w:val="16"/>
          <w:color w:val="auto"/>
        </w:rPr>
        <w:t>6 1/8% MANDATORILY TENDERED SENIOR NOTES DUE 2011</w:t>
      </w:r>
    </w:p>
    <w:p>
      <w:pPr>
        <w:spacing w:after="0" w:line="184" w:lineRule="exact"/>
        <w:rPr>
          <w:sz w:val="24"/>
          <w:szCs w:val="24"/>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$600,000,000 6 1/8% Mandatorily Tendered Senior Notes due 2011 (the "Notes") of USA Waste Services, Inc. (the "Company") will bear interest at a rate of 6 1/8% per annum from July 17, 1998 to but not including July 15, 2001 (the "Remarketing Date"). Interest on the Notes is payable semi-annually on January 15 and July 15 of each year, commencing January 15, 1999. The Notes constitute senior and unsecured obligations of the Company, ranking PARI PASSU in right of payment with all other senior and unsecured obligations of the Company. See "Description of Notes -- General."The Notes are subject to mandatory tender on the Remarketing Date. If J.P. Morgan Securities Inc., as Remarketing Dealer (the "Remarketing Dealer"), has elected to remarket the Notes on the Remarketing Date as described herein, the Notes will be subject to mandatory tender to the Remarketing Dealer at 100% of the principal amount thereof for remarketing on the Remarketing Date. See "Description of the Notes</w:t>
      </w:r>
    </w:p>
    <w:p>
      <w:pPr>
        <w:spacing w:after="0" w:line="8" w:lineRule="exact"/>
        <w:rPr>
          <w:sz w:val="24"/>
          <w:szCs w:val="24"/>
          <w:color w:val="auto"/>
        </w:rPr>
      </w:pPr>
    </w:p>
    <w:p>
      <w:pPr>
        <w:ind w:left="4" w:right="2539" w:hanging="4"/>
        <w:spacing w:after="0" w:line="237" w:lineRule="auto"/>
        <w:tabs>
          <w:tab w:leader="none" w:pos="19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Mandatory Tender of Notes; Remarketing." If the Remarketing Dealer elects not to remarket the Notes on the Remarketing Date, or for any reason does not purchase all of the Notes on the Remarketing Date, the Company will be required to purchase on the Remarketing Date any Notes that have not been purchased by the Remarketing Dealer at 100% of the principal amount thereof plus accrued</w:t>
      </w:r>
    </w:p>
    <w:p>
      <w:pPr>
        <w:spacing w:after="0" w:line="2"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interest, if any. See "Description of the Notes -- Repurchase."</w:t>
      </w:r>
    </w:p>
    <w:p>
      <w:pPr>
        <w:spacing w:after="0" w:line="185" w:lineRule="exact"/>
        <w:rPr>
          <w:sz w:val="24"/>
          <w:szCs w:val="24"/>
          <w:color w:val="auto"/>
        </w:rPr>
      </w:pPr>
    </w:p>
    <w:p>
      <w:pPr>
        <w:ind w:left="4" w:right="3099" w:firstLine="375"/>
        <w:spacing w:after="0" w:line="237" w:lineRule="auto"/>
        <w:rPr>
          <w:sz w:val="20"/>
          <w:szCs w:val="20"/>
          <w:color w:val="auto"/>
        </w:rPr>
      </w:pPr>
      <w:r>
        <w:rPr>
          <w:rFonts w:ascii="Courier New" w:cs="Courier New" w:eastAsia="Courier New" w:hAnsi="Courier New"/>
          <w:sz w:val="16"/>
          <w:szCs w:val="16"/>
          <w:color w:val="auto"/>
        </w:rPr>
        <w:t>The Notes will be redeemable by the Company on and after the Remarketing Date pursuant to the terms set forth in "Description of the Notes -- Redemption."The Notes are not subject to any sinking fund.</w:t>
      </w:r>
    </w:p>
    <w:p>
      <w:pPr>
        <w:spacing w:after="0" w:line="185" w:lineRule="exact"/>
        <w:rPr>
          <w:sz w:val="24"/>
          <w:szCs w:val="24"/>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The Notes will be represented by one or more global securities registered in the name of The Depository Trust Company ("DTC") or its nominee. Interests in the global securities will be shown on, and transfers thereof will be effected only through, records maintained by DTC and its participants. Purchasers of the Notes will not have the right to receive physical certificates evidencing their ownership of the Notes. The Notes will not be listed on any securities exchange. Settlement for the Notes will be made in immediately available funds and the Notes will trade in DTC's Same-Day Funds Settlement System until maturity. Secondary market trading activity in the Notes will therefore settle in immediately available funds. All payments of principal and interest will be made by the Company in immediately available funds.</w:t>
      </w:r>
    </w:p>
    <w:p>
      <w:pPr>
        <w:spacing w:after="0" w:line="179" w:lineRule="exact"/>
        <w:rPr>
          <w:sz w:val="24"/>
          <w:szCs w:val="24"/>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Concurrent with this Offering, the Company is offering (the "2028 Notes Offering") pursuant to a separate Prospectus Supplement $600,000,000 aggregate principal amount of 7% Senior Notes due 2028 (the "2028 Notes"). Consummation of this Offering is not a condition to consummation of the 2028 Notes Offering, and consummation of the 2028 Notes Offering is not a condition to consummation of this Offering.</w:t>
      </w:r>
    </w:p>
    <w:p>
      <w:pPr>
        <w:spacing w:after="0" w:line="8" w:lineRule="exact"/>
        <w:rPr>
          <w:sz w:val="24"/>
          <w:szCs w:val="24"/>
          <w:color w:val="auto"/>
        </w:rPr>
      </w:pPr>
    </w:p>
    <w:p>
      <w:pPr>
        <w:jc w:val="center"/>
        <w:ind w:right="2795"/>
        <w:spacing w:after="0" w:line="237"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PROSPECTUS. ANY REPRESENTATION TO THE CONTRARY IS A CRIMINAL OFFENSE.</w:t>
      </w:r>
    </w:p>
    <w:p>
      <w:pPr>
        <w:spacing w:after="0" w:line="200" w:lineRule="exact"/>
        <w:rPr>
          <w:sz w:val="24"/>
          <w:szCs w:val="24"/>
          <w:color w:val="auto"/>
        </w:rPr>
      </w:pPr>
    </w:p>
    <w:p>
      <w:pPr>
        <w:spacing w:after="0" w:line="348"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0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PROCEEDS TO</w:t>
      </w:r>
    </w:p>
    <w:p>
      <w:pPr>
        <w:ind w:left="5344"/>
        <w:spacing w:after="0"/>
        <w:tabs>
          <w:tab w:leader="none" w:pos="6643" w:val="left"/>
          <w:tab w:leader="none" w:pos="8243" w:val="left"/>
        </w:tabs>
        <w:rPr>
          <w:sz w:val="20"/>
          <w:szCs w:val="20"/>
          <w:color w:val="auto"/>
        </w:rPr>
      </w:pPr>
      <w:r>
        <w:rPr>
          <w:rFonts w:ascii="Courier New" w:cs="Courier New" w:eastAsia="Courier New" w:hAnsi="Courier New"/>
          <w:sz w:val="16"/>
          <w:szCs w:val="16"/>
          <w:color w:val="auto"/>
        </w:rPr>
        <w:t>PRICE TO</w:t>
      </w:r>
      <w:r>
        <w:rPr>
          <w:sz w:val="20"/>
          <w:szCs w:val="20"/>
          <w:color w:val="auto"/>
        </w:rPr>
        <w:tab/>
      </w: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5"/>
          <w:szCs w:val="15"/>
          <w:color w:val="auto"/>
        </w:rPr>
        <w:t>COMPANY</w:t>
      </w:r>
    </w:p>
    <w:p>
      <w:pPr>
        <w:spacing w:after="0" w:line="5" w:lineRule="exact"/>
        <w:rPr>
          <w:sz w:val="24"/>
          <w:szCs w:val="24"/>
          <w:color w:val="auto"/>
        </w:rPr>
      </w:pPr>
    </w:p>
    <w:p>
      <w:pPr>
        <w:ind w:left="5244"/>
        <w:spacing w:after="0"/>
        <w:tabs>
          <w:tab w:leader="none" w:pos="6643" w:val="left"/>
          <w:tab w:leader="none" w:pos="8323" w:val="left"/>
        </w:tabs>
        <w:rPr>
          <w:sz w:val="20"/>
          <w:szCs w:val="20"/>
          <w:color w:val="auto"/>
        </w:rPr>
      </w:pPr>
      <w:r>
        <w:rPr>
          <w:rFonts w:ascii="Courier New" w:cs="Courier New" w:eastAsia="Courier New" w:hAnsi="Courier New"/>
          <w:sz w:val="16"/>
          <w:szCs w:val="16"/>
          <w:color w:val="auto"/>
        </w:rPr>
        <w:t>PUBLIC (1)</w:t>
      </w:r>
      <w:r>
        <w:rPr>
          <w:sz w:val="20"/>
          <w:szCs w:val="20"/>
          <w:color w:val="auto"/>
        </w:rPr>
        <w:tab/>
      </w:r>
      <w:r>
        <w:rPr>
          <w:rFonts w:ascii="Courier New" w:cs="Courier New" w:eastAsia="Courier New" w:hAnsi="Courier New"/>
          <w:sz w:val="16"/>
          <w:szCs w:val="16"/>
          <w:color w:val="auto"/>
        </w:rPr>
        <w:t>DISCOUNT (2)</w:t>
      </w:r>
      <w:r>
        <w:rPr>
          <w:sz w:val="20"/>
          <w:szCs w:val="20"/>
          <w:color w:val="auto"/>
        </w:rPr>
        <w:tab/>
      </w:r>
      <w:r>
        <w:rPr>
          <w:rFonts w:ascii="Courier New" w:cs="Courier New" w:eastAsia="Courier New" w:hAnsi="Courier New"/>
          <w:sz w:val="15"/>
          <w:szCs w:val="15"/>
          <w:color w:val="auto"/>
        </w:rPr>
        <w:t>(3)(4)</w:t>
      </w:r>
    </w:p>
    <w:p>
      <w:pPr>
        <w:spacing w:after="0" w:line="350"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
        <w:spacing w:after="0"/>
        <w:tabs>
          <w:tab w:leader="none" w:pos="5603" w:val="left"/>
          <w:tab w:leader="none" w:pos="6923" w:val="left"/>
          <w:tab w:leader="none" w:pos="8323" w:val="left"/>
        </w:tabs>
        <w:rPr>
          <w:sz w:val="20"/>
          <w:szCs w:val="20"/>
          <w:color w:val="auto"/>
        </w:rPr>
      </w:pPr>
      <w:r>
        <w:rPr>
          <w:rFonts w:ascii="Courier New" w:cs="Courier New" w:eastAsia="Courier New" w:hAnsi="Courier New"/>
          <w:sz w:val="16"/>
          <w:szCs w:val="16"/>
          <w:color w:val="auto"/>
        </w:rPr>
        <w:t>Per Note...........................................</w:t>
      </w:r>
      <w:r>
        <w:rPr>
          <w:sz w:val="20"/>
          <w:szCs w:val="20"/>
          <w:color w:val="auto"/>
        </w:rPr>
        <w:tab/>
      </w:r>
      <w:r>
        <w:rPr>
          <w:rFonts w:ascii="Courier New" w:cs="Courier New" w:eastAsia="Courier New" w:hAnsi="Courier New"/>
          <w:sz w:val="16"/>
          <w:szCs w:val="16"/>
          <w:color w:val="auto"/>
        </w:rPr>
        <w:t>99.795%</w:t>
      </w:r>
      <w:r>
        <w:rPr>
          <w:sz w:val="20"/>
          <w:szCs w:val="20"/>
          <w:color w:val="auto"/>
        </w:rPr>
        <w:tab/>
      </w:r>
      <w:r>
        <w:rPr>
          <w:rFonts w:ascii="Courier New" w:cs="Courier New" w:eastAsia="Courier New" w:hAnsi="Courier New"/>
          <w:sz w:val="16"/>
          <w:szCs w:val="16"/>
          <w:color w:val="auto"/>
        </w:rPr>
        <w:t>0.450%</w:t>
      </w:r>
      <w:r>
        <w:rPr>
          <w:sz w:val="20"/>
          <w:szCs w:val="20"/>
          <w:color w:val="auto"/>
        </w:rPr>
        <w:tab/>
      </w:r>
      <w:r>
        <w:rPr>
          <w:rFonts w:ascii="Courier New" w:cs="Courier New" w:eastAsia="Courier New" w:hAnsi="Courier New"/>
          <w:sz w:val="15"/>
          <w:szCs w:val="15"/>
          <w:color w:val="auto"/>
        </w:rPr>
        <w:t>101.795%</w:t>
      </w:r>
    </w:p>
    <w:p>
      <w:pPr>
        <w:ind w:left="4"/>
        <w:spacing w:after="0"/>
        <w:tabs>
          <w:tab w:leader="none" w:pos="5143" w:val="left"/>
          <w:tab w:leader="none" w:pos="6723" w:val="left"/>
          <w:tab w:leader="none" w:pos="804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$598,770,000</w:t>
      </w:r>
      <w:r>
        <w:rPr>
          <w:sz w:val="20"/>
          <w:szCs w:val="20"/>
          <w:color w:val="auto"/>
        </w:rPr>
        <w:tab/>
      </w:r>
      <w:r>
        <w:rPr>
          <w:rFonts w:ascii="Courier New" w:cs="Courier New" w:eastAsia="Courier New" w:hAnsi="Courier New"/>
          <w:sz w:val="16"/>
          <w:szCs w:val="16"/>
          <w:color w:val="auto"/>
        </w:rPr>
        <w:t>$2,700,000</w:t>
      </w:r>
      <w:r>
        <w:rPr>
          <w:sz w:val="20"/>
          <w:szCs w:val="20"/>
          <w:color w:val="auto"/>
        </w:rPr>
        <w:tab/>
      </w:r>
      <w:r>
        <w:rPr>
          <w:rFonts w:ascii="Courier New" w:cs="Courier New" w:eastAsia="Courier New" w:hAnsi="Courier New"/>
          <w:sz w:val="15"/>
          <w:szCs w:val="15"/>
          <w:color w:val="auto"/>
        </w:rPr>
        <w:t>6$10,770,000</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4"/>
          <w:szCs w:val="24"/>
          <w:color w:val="auto"/>
        </w:rPr>
      </w:pPr>
    </w:p>
    <w:p>
      <w:pPr>
        <w:ind w:left="384" w:hanging="384"/>
        <w:spacing w:after="0"/>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ACCRUED INTEREST, IF ANY, FROM THE DATE OF ISSUANCE.</w:t>
      </w:r>
    </w:p>
    <w:p>
      <w:pPr>
        <w:spacing w:after="0" w:line="4" w:lineRule="exact"/>
        <w:rPr>
          <w:rFonts w:ascii="Courier New" w:cs="Courier New" w:eastAsia="Courier New" w:hAnsi="Courier New"/>
          <w:sz w:val="16"/>
          <w:szCs w:val="16"/>
          <w:color w:val="auto"/>
        </w:rPr>
      </w:pPr>
    </w:p>
    <w:p>
      <w:pPr>
        <w:ind w:left="384" w:right="3179" w:hanging="384"/>
        <w:spacing w:after="0" w:line="237" w:lineRule="auto"/>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AGREED TO INDEMNIFY THE UNDERWRITERS AGAINST CERTAIN LIABILITIES, INCLUDING LIABILITIES UNDER THE SECURITIES ACT OF 1933, AS AMENDED. SEE "UNDERWRITING."</w:t>
      </w:r>
    </w:p>
    <w:p>
      <w:pPr>
        <w:ind w:left="384" w:hanging="384"/>
        <w:spacing w:after="0"/>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EXPENSES PAYABLE BY THE COMPANY ESTIMATED AT $250,000.</w:t>
      </w:r>
    </w:p>
    <w:p>
      <w:pPr>
        <w:spacing w:after="0" w:line="3"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TO THE COMPANY INCLUDE A PREMIUM PAID BY THE REMARKETING DEALER PURSUANT TO THE REMARKETING AGREEMENT DESCRIBED HEREIN. SEE "DESCRIPTION OF NOTES--MANDATORY TENDER OF NOTES; REMARKETING--THE REMARKETING DEALER" AND "UNDERWRITING."</w:t>
      </w:r>
    </w:p>
    <w:p>
      <w:pPr>
        <w:spacing w:after="0" w:line="186" w:lineRule="exact"/>
        <w:rPr>
          <w:sz w:val="24"/>
          <w:szCs w:val="24"/>
          <w:color w:val="auto"/>
        </w:rPr>
      </w:pPr>
    </w:p>
    <w:p>
      <w:pPr>
        <w:ind w:left="4" w:right="2819" w:firstLine="375"/>
        <w:spacing w:after="0" w:line="256" w:lineRule="auto"/>
        <w:rPr>
          <w:sz w:val="20"/>
          <w:szCs w:val="20"/>
          <w:color w:val="auto"/>
        </w:rPr>
      </w:pPr>
      <w:r>
        <w:rPr>
          <w:rFonts w:ascii="Courier New" w:cs="Courier New" w:eastAsia="Courier New" w:hAnsi="Courier New"/>
          <w:sz w:val="15"/>
          <w:szCs w:val="15"/>
          <w:color w:val="auto"/>
        </w:rPr>
        <w:t>The Notes are offered by the several underwriters when, as and if delivered to and accepted by them, subject to certain conditions, including their rights to withdraw, cancel or reject orders in whole or in part. It is expected that delivery of the Notes will be made in New York, New York, on or about July 17, 1998, in book-entry form through the facilities of The Depository Trust Company against payment therefor in immediately available funds.</w:t>
      </w:r>
    </w:p>
    <w:p>
      <w:pPr>
        <w:spacing w:after="0" w:line="170"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JOINT BOOK-RUNNING MANAGERS</w:t>
      </w:r>
    </w:p>
    <w:p>
      <w:pPr>
        <w:sectPr>
          <w:pgSz w:w="11900" w:h="16838" w:orient="portrait"/>
          <w:cols w:equalWidth="0" w:num="1">
            <w:col w:w="10223"/>
          </w:cols>
          <w:pgMar w:left="236" w:top="413" w:right="1440" w:bottom="0" w:gutter="0" w:footer="0" w:header="0"/>
        </w:sectPr>
      </w:pPr>
    </w:p>
    <w:bookmarkStart w:id="1" w:name="page2"/>
    <w:bookmarkEnd w:id="1"/>
    <w:p>
      <w:pPr>
        <w:spacing w:after="0"/>
        <w:tabs>
          <w:tab w:leader="none" w:pos="5880" w:val="left"/>
        </w:tabs>
        <w:rPr>
          <w:sz w:val="20"/>
          <w:szCs w:val="20"/>
          <w:color w:val="auto"/>
        </w:rPr>
      </w:pPr>
      <w:r>
        <w:rPr>
          <w:rFonts w:ascii="Courier New" w:cs="Courier New" w:eastAsia="Courier New" w:hAnsi="Courier New"/>
          <w:sz w:val="16"/>
          <w:szCs w:val="16"/>
          <w:color w:val="auto"/>
        </w:rPr>
        <w:t>DONALDSON, LUFKIN &amp; JENRETTE</w:t>
      </w:r>
      <w:r>
        <w:rPr>
          <w:sz w:val="20"/>
          <w:szCs w:val="20"/>
          <w:color w:val="auto"/>
        </w:rPr>
        <w:tab/>
      </w:r>
      <w:r>
        <w:rPr>
          <w:rFonts w:ascii="Courier New" w:cs="Courier New" w:eastAsia="Courier New" w:hAnsi="Courier New"/>
          <w:sz w:val="15"/>
          <w:szCs w:val="15"/>
          <w:color w:val="auto"/>
        </w:rPr>
        <w:t>J.P. MORGAN &amp; CO.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BANCAMERICA ROBERTSON STEPHENS</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CHASE SECURITIES INC.</w:t>
      </w:r>
    </w:p>
    <w:p>
      <w:pPr>
        <w:spacing w:after="0" w:line="179"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DEUTSCHE BANK SECURITIES</w:t>
      </w:r>
    </w:p>
    <w:p>
      <w:pPr>
        <w:sectPr>
          <w:pgSz w:w="11900" w:h="16838" w:orient="portrait"/>
          <w:cols w:equalWidth="0" w:num="1">
            <w:col w:w="10219"/>
          </w:cols>
          <w:pgMar w:left="240" w:top="137" w:right="1440" w:bottom="1440" w:gutter="0" w:footer="0" w:header="0"/>
        </w:sectPr>
      </w:pPr>
    </w:p>
    <w:bookmarkStart w:id="2" w:name="page3"/>
    <w:bookmarkEnd w:id="2"/>
    <w:p>
      <w:pPr>
        <w:ind w:right="2719" w:firstLine="375"/>
        <w:spacing w:after="0" w:line="237" w:lineRule="auto"/>
        <w:rPr>
          <w:sz w:val="20"/>
          <w:szCs w:val="20"/>
          <w:color w:val="auto"/>
        </w:rPr>
      </w:pPr>
      <w:r>
        <w:rPr>
          <w:rFonts w:ascii="Courier New" w:cs="Courier New" w:eastAsia="Courier New" w:hAnsi="Courier New"/>
          <w:sz w:val="16"/>
          <w:szCs w:val="16"/>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478" w:right="1440" w:bottom="1440" w:gutter="0" w:footer="0" w:header="0"/>
        </w:sectPr>
      </w:pPr>
    </w:p>
    <w:bookmarkStart w:id="3" w:name="page4"/>
    <w:bookmarkEnd w:id="3"/>
    <w:p>
      <w:pPr>
        <w:jc w:val="center"/>
        <w:ind w:right="2815"/>
        <w:spacing w:after="0"/>
        <w:rPr>
          <w:sz w:val="20"/>
          <w:szCs w:val="20"/>
          <w:color w:val="auto"/>
        </w:rPr>
      </w:pPr>
      <w:r>
        <w:rPr>
          <w:rFonts w:ascii="Courier New" w:cs="Courier New" w:eastAsia="Courier New" w:hAnsi="Courier New"/>
          <w:sz w:val="16"/>
          <w:szCs w:val="16"/>
          <w:color w:val="auto"/>
        </w:rPr>
        <w:t>PROSPECTUS SUPPLEMENT SUMMARY</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FOLLOWING SUMMARY IS QUALIFIED IN ITS ENTIRETY BY THE MORE DETAILED INFORMATION, INCLUDING THE USA WASTE SELECTED HISTORICAL FINANCIAL DATA, THE USA WASTE AND WASTE MANAGEMENT SUMMARY COMBINED UNAUDITED PRO FORMA CONDENSED FINANCIAL INFORMATION AND THE CONSOLIDATED FINANCIAL STATEMENTS AND NOTES THERETO, INCLUDED OR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COMPANY</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USA Waste is the third largest integrated, nonhazardous solid waste management company in North America, as measured by revenues for the 1997 fiscal year, and currently serves commercial, industrial, municipal and residential customers in various locations in the United States, Canada and Puerto Rico. The Company's solid waste management services include collection, transfer and disposal operations and, to a lesser extent, recycling and certain other waste management services. As of March 31, 1998, USA Waste, through its subsidiaries, owned or operated an extensive network of landfills, transfer stations and collection operations and served in excess of eight million customers.</w:t>
      </w:r>
    </w:p>
    <w:p>
      <w:pPr>
        <w:spacing w:after="0" w:line="179"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The Company believes that providing fully-integrated waste management services gives it a competitive advantage in its markets and allows for a relatively higher level of waste internalization and profitability. For the three months ended March 31, 1998, approximately 64% of the Company's revenues were attributable to collection operations, approximately 21% were attributable to landfill operations, approximately 12% were attributable to transfer operations, and approximately 3% were attributable to recycling and other waste management services.</w:t>
      </w:r>
    </w:p>
    <w:p>
      <w:pPr>
        <w:spacing w:after="0" w:line="185" w:lineRule="exact"/>
        <w:rPr>
          <w:sz w:val="20"/>
          <w:szCs w:val="20"/>
          <w:color w:val="auto"/>
        </w:rPr>
      </w:pPr>
    </w:p>
    <w:p>
      <w:pPr>
        <w:ind w:left="4" w:right="2899" w:firstLine="375"/>
        <w:spacing w:after="0" w:line="257" w:lineRule="auto"/>
        <w:rPr>
          <w:sz w:val="20"/>
          <w:szCs w:val="20"/>
          <w:color w:val="auto"/>
        </w:rPr>
      </w:pPr>
      <w:r>
        <w:rPr>
          <w:rFonts w:ascii="Courier New" w:cs="Courier New" w:eastAsia="Courier New" w:hAnsi="Courier New"/>
          <w:sz w:val="15"/>
          <w:szCs w:val="15"/>
          <w:color w:val="auto"/>
        </w:rPr>
        <w:t>The Company operates on a decentralized basis through five geographic regions with a diversified customer base. Based on collection revenues for the three months ended March 31, 1998, the Company's customers were approximately 40% commercial, 30% industrial and 30% municipal and residential.</w:t>
      </w:r>
    </w:p>
    <w:p>
      <w:pPr>
        <w:spacing w:after="0" w:line="174" w:lineRule="exact"/>
        <w:rPr>
          <w:sz w:val="20"/>
          <w:szCs w:val="20"/>
          <w:color w:val="auto"/>
        </w:rPr>
      </w:pPr>
    </w:p>
    <w:p>
      <w:pPr>
        <w:ind w:left="4" w:right="2899" w:firstLine="375"/>
        <w:spacing w:after="0" w:line="254" w:lineRule="auto"/>
        <w:rPr>
          <w:sz w:val="20"/>
          <w:szCs w:val="20"/>
          <w:color w:val="auto"/>
        </w:rPr>
      </w:pPr>
      <w:r>
        <w:rPr>
          <w:rFonts w:ascii="Courier New" w:cs="Courier New" w:eastAsia="Courier New" w:hAnsi="Courier New"/>
          <w:sz w:val="15"/>
          <w:szCs w:val="15"/>
          <w:color w:val="auto"/>
        </w:rPr>
        <w:t>The Company's strategy includes the following key elements: (i) increasing productivity and operating efficiencies in existing and acquired operations,</w:t>
      </w:r>
    </w:p>
    <w:p>
      <w:pPr>
        <w:spacing w:after="0" w:line="1" w:lineRule="exact"/>
        <w:rPr>
          <w:sz w:val="20"/>
          <w:szCs w:val="20"/>
          <w:color w:val="auto"/>
        </w:rPr>
      </w:pPr>
    </w:p>
    <w:p>
      <w:pPr>
        <w:ind w:left="4" w:right="2819" w:hanging="4"/>
        <w:spacing w:after="0" w:line="238" w:lineRule="auto"/>
        <w:tabs>
          <w:tab w:leader="none" w:pos="4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regularly pursues merger or acquisition transactions, some of which are significant, in new markets where the Company believes it can strengthen its overall competitive position as a national provider of integrated solid waste management services.</w:t>
      </w:r>
    </w:p>
    <w:p>
      <w:pPr>
        <w:spacing w:after="0" w:line="189"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82"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RECENT DEVELOPMENTS</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On March 10, 1998, the Company entered into a definitive agreement and plan of merger pursuant to which a subsidiary of the Company will be merged with and into Waste Management, Inc. ("Waste Management") and Waste Management will become a wholly-owned subsidiary of the Company (the "Merger"). Waste Management is a leading international provider of waste management and related services to governmental, residential, commercial and industrial customers in the United States and select international markets, and had revenues in 1997 of approximately $9.2 billion. As of the effective time of</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23"/>
          </w:cols>
          <w:pgMar w:left="236" w:top="473" w:right="1440" w:bottom="1440" w:gutter="0" w:footer="0" w:header="0"/>
        </w:sectPr>
      </w:pPr>
    </w:p>
    <w:bookmarkStart w:id="4" w:name="page5"/>
    <w:bookmarkEnd w:id="4"/>
    <w:p>
      <w:pPr>
        <w:ind w:left="4" w:right="2719"/>
        <w:spacing w:after="0" w:line="254" w:lineRule="auto"/>
        <w:rPr>
          <w:sz w:val="20"/>
          <w:szCs w:val="20"/>
          <w:color w:val="auto"/>
        </w:rPr>
      </w:pPr>
      <w:r>
        <w:rPr>
          <w:rFonts w:ascii="Courier New" w:cs="Courier New" w:eastAsia="Courier New" w:hAnsi="Courier New"/>
          <w:sz w:val="15"/>
          <w:szCs w:val="15"/>
          <w:color w:val="auto"/>
        </w:rPr>
        <w:t>the Merger, each outstanding share of Waste Management common stock ("Waste Management Common Stock"), other than shares held in Waste Management's treasury or owned by Waste Management, the Company or any wholly-owned subsidiaries of either of them, will be converted into the right to receive 0.725 of a share of the Company's common stock ("USA Waste Common Stock"). It is anticipated that the Company will issue approximately 353 million shares of its common stock (not including shares reserved for option and warrant exercises and convertible debt) in connection with the Merger and that the Merger will be accounted for as a pooling of interests. Following the Merger, the Company will be renamed "Waste Management, Inc." ("New Waste Management"). The consummation of the Merger is subject to a number of conditions, including obtaining all consents, approvals and authorizations legally required to be obtained to consummate the Merger (including under the Hart-Scott-Rodino Antitrust Improvements Act of 1976, as amended) and approval by the stockholders of the Company and Waste Management. It is expected that the Merger will be consummated shortly after the later of</w:t>
      </w:r>
    </w:p>
    <w:p>
      <w:pPr>
        <w:spacing w:after="0" w:line="8" w:lineRule="exact"/>
        <w:rPr>
          <w:sz w:val="20"/>
          <w:szCs w:val="20"/>
          <w:color w:val="auto"/>
        </w:rPr>
      </w:pPr>
    </w:p>
    <w:p>
      <w:pPr>
        <w:ind w:left="4" w:right="2719" w:hanging="4"/>
        <w:spacing w:after="0" w:line="238" w:lineRule="auto"/>
        <w:tabs>
          <w:tab w:leader="none" w:pos="37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from the Department of Justice and (b) approval by the stockholders of the Company and Waste Management. The Company and Waste Management each received a second request for information from the Department of Justice, and they have each set July 15, 1998 as the date of their stockholders' meeting to vote on the Merger. There can be no assurance that the conditions to the Merger will be satisfied or waived, and therefore, there can be no assurance that the Merger will be consummated.</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Following the consummation of the Merger, John E. Drury, the current Chief Executive Officer of the Company will remain in such position with New Waste Management, and the current President and Chief Operating Officer, and Executive Vice President and Chief Financial Officer of the Company are expected to remain in such positions with New Waste Management. The current Chairman of the Board and Chief Executive Officer of Waste Management will become non-executive Chairman of the New Waste Management Board of Directors for a 12-month term, after which Mr. Drury will become Chairman of the Board and will continue as Chief Executive Officer of New Waste Management. The Board of Directors of New Waste Management immediately following the effective time of the Merger will consist of 14 members, seven of whom will be designated by the Company and seven of whom will be designated by Waste Mangement.</w:t>
      </w:r>
    </w:p>
    <w:p>
      <w:pPr>
        <w:spacing w:after="0" w:line="173"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Pursuant to the Merger, as a condition to receiving pooling of interests</w:t>
      </w:r>
    </w:p>
    <w:p>
      <w:pPr>
        <w:ind w:left="4"/>
        <w:spacing w:after="0"/>
        <w:rPr>
          <w:sz w:val="20"/>
          <w:szCs w:val="20"/>
          <w:color w:val="auto"/>
        </w:rPr>
      </w:pPr>
      <w:r>
        <w:rPr>
          <w:rFonts w:ascii="Courier New" w:cs="Courier New" w:eastAsia="Courier New" w:hAnsi="Courier New"/>
          <w:sz w:val="16"/>
          <w:szCs w:val="16"/>
          <w:color w:val="auto"/>
        </w:rPr>
        <w:t>accounting treatment, Waste Management was required to issue approximately 20</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million shares of Waste Management Common Stock. This offering was completed on</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June 15, 1998, resulting in net proceeds to Waste Management of approximately</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$607.5 million. In addition, on May 15, 1998 Waste Management announced that its</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Board of Directors has adopted a new dividend policy, reducing regular quarterly</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dividends from $0.17 per share to $0.01 per share.</w:t>
      </w:r>
    </w:p>
    <w:p>
      <w:pPr>
        <w:spacing w:after="0" w:line="185" w:lineRule="exact"/>
        <w:rPr>
          <w:sz w:val="20"/>
          <w:szCs w:val="20"/>
          <w:color w:val="auto"/>
        </w:rPr>
      </w:pPr>
    </w:p>
    <w:p>
      <w:pPr>
        <w:ind w:left="4" w:right="2999" w:firstLine="375"/>
        <w:spacing w:after="0" w:line="257" w:lineRule="auto"/>
        <w:rPr>
          <w:sz w:val="20"/>
          <w:szCs w:val="20"/>
          <w:color w:val="auto"/>
        </w:rPr>
      </w:pPr>
      <w:r>
        <w:rPr>
          <w:rFonts w:ascii="Courier New" w:cs="Courier New" w:eastAsia="Courier New" w:hAnsi="Courier New"/>
          <w:sz w:val="15"/>
          <w:szCs w:val="15"/>
          <w:color w:val="auto"/>
        </w:rPr>
        <w:t>On June 29, 1998, Waste Management announced that it had reached an agreement to acquire the publicly owned shares of its subsidiary, Waste Management International plc. Waste Management has indicated that the transaction is not expected to have a material impact on its future earnings.</w:t>
      </w:r>
    </w:p>
    <w:p>
      <w:pPr>
        <w:spacing w:after="0" w:line="174"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Upon the consummation of the Merger, it is expected that New Waste Management will enter into a revolving credit facility in the amount of $3.0 billion (the "New Credit Facility"), which will be in addition to the Company's existing $2.0 billion revolving credit facility (the "Credit Facility"). It is further expected that the New Credit Facility and the Credit Facility will each be guaranteed by Waste Management, Inc., as a subsidiary of New Waste Management. Further, upon the consummation of the Merger, New Waste Management will unconditionally guarantee the outstanding senior indebtedness of Waste Management, and Waste Management will unconditionally guarantee the outstanding senior indebtedness of New Waste Management, including the 2028 Notes and the Notes.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 Management) of the Waste Management guarantee, Waste Management and New Waste Management shall each be deemed automatically and unconditionally released and discharged from their respective obligations under the guarantees of such senior indebtedness of the other so guaranteed. See "Description of Notes--General."</w:t>
      </w:r>
    </w:p>
    <w:p>
      <w:pPr>
        <w:spacing w:after="0" w:line="172"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23"/>
          </w:cols>
          <w:pgMar w:left="236" w:top="478" w:right="1440" w:bottom="1440" w:gutter="0" w:footer="0" w:header="0"/>
        </w:sectPr>
      </w:pPr>
    </w:p>
    <w:bookmarkStart w:id="5" w:name="page6"/>
    <w:bookmarkEnd w:id="5"/>
    <w:p>
      <w:pPr>
        <w:ind w:left="3000"/>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3580" w:firstLine="375"/>
        <w:spacing w:after="0" w:line="237" w:lineRule="auto"/>
        <w:rPr>
          <w:sz w:val="20"/>
          <w:szCs w:val="20"/>
          <w:color w:val="auto"/>
        </w:rPr>
      </w:pPr>
      <w:r>
        <w:rPr>
          <w:rFonts w:ascii="Courier New" w:cs="Courier New" w:eastAsia="Courier New" w:hAnsi="Courier New"/>
          <w:sz w:val="16"/>
          <w:szCs w:val="16"/>
          <w:color w:val="auto"/>
        </w:rPr>
        <w:t>The net proceeds to the Company from the sale of the Notes in this Offering are $595.8 million (excluding the premium payment of $14.7 million to the Company by J.P. Morgan Securities Inc. pursuant to the Remarketing Agreement discussed herein), after deducting underwriting discounts and commissions and estimated offering expenses.</w:t>
      </w:r>
    </w:p>
    <w:p>
      <w:pPr>
        <w:spacing w:after="0" w:line="187" w:lineRule="exact"/>
        <w:rPr>
          <w:sz w:val="20"/>
          <w:szCs w:val="20"/>
          <w:color w:val="auto"/>
        </w:rPr>
      </w:pPr>
    </w:p>
    <w:p>
      <w:pPr>
        <w:ind w:right="3480" w:firstLine="375"/>
        <w:spacing w:after="0" w:line="255" w:lineRule="auto"/>
        <w:rPr>
          <w:sz w:val="20"/>
          <w:szCs w:val="20"/>
          <w:color w:val="auto"/>
        </w:rPr>
      </w:pPr>
      <w:r>
        <w:rPr>
          <w:rFonts w:ascii="Courier New" w:cs="Courier New" w:eastAsia="Courier New" w:hAnsi="Courier New"/>
          <w:sz w:val="15"/>
          <w:szCs w:val="15"/>
          <w:color w:val="auto"/>
        </w:rPr>
        <w:t>The net proceeds of this Offering and the concurrent 2028 Notes Offering are expected to be used to repay outstanding indebtedness under the Credit Facility. At March 31, 1998, the aggregate outstanding balance of loans and letters of credit under the Credit Facility was $1.8 billion ($483.3 million of which were letters of credit). Borrowings under the Credit Facility bear interest at a rate (currently 5.925%) equal to the Eurodollar rate plus an amount not in excess of 0.575% per annum and mature on August 7, 2002. Bank of America, an affiliate of BancAmerica Robertson Stephens, expects to receive up to $29.8 million of repayment under the Credit Facility from the proceeds of this Offering. Morgan Guaranty Trust Company of New York, an affiliate of J.P. Morgan Securities Inc., expects to receive up to $29.8 million of repayment under the Credit Facility from the proceeds of this Offering. Chase Bank of Texas, National Association, an affiliate of Chase Securities Inc., expects to receive up to $25.3 million of repayment under the Credit Facility from the proceeds of this Offering. Deutsche Bank, an affiliate of Deutsche Bank Securities, expects to receive up to $25.3 million of repayment under the Credit Facility from the proceeds of this Offering. Amounts currently outstanding under the Credit Facility were incurred to refinance existing indebtedness and for capital expenditures and other general corporate purposes, including acquisitions. Amounts repaid on the Credit Facility may be reborrowed from time to time for capital expenditures and other general corporate purposes, including possible future acquisitions.</w:t>
      </w:r>
    </w:p>
    <w:p>
      <w:pPr>
        <w:spacing w:after="0" w:line="172"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85" w:lineRule="exact"/>
        <w:rPr>
          <w:sz w:val="20"/>
          <w:szCs w:val="20"/>
          <w:color w:val="auto"/>
        </w:rPr>
      </w:pPr>
    </w:p>
    <w:p>
      <w:pPr>
        <w:ind w:right="3480" w:firstLine="375"/>
        <w:spacing w:after="0" w:line="236"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THREE MONTHS</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41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1994</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Actual.....................................</w:t>
            </w:r>
          </w:p>
        </w:tc>
        <w:tc>
          <w:tcPr>
            <w:tcW w:w="1320" w:type="dxa"/>
            <w:vAlign w:val="bottom"/>
          </w:tcPr>
          <w:p>
            <w:pPr>
              <w:jc w:val="right"/>
              <w:ind w:right="313"/>
              <w:spacing w:after="0"/>
              <w:rPr>
                <w:sz w:val="20"/>
                <w:szCs w:val="20"/>
                <w:color w:val="auto"/>
              </w:rPr>
            </w:pPr>
            <w:r>
              <w:rPr>
                <w:rFonts w:ascii="Courier New" w:cs="Courier New" w:eastAsia="Courier New" w:hAnsi="Courier New"/>
                <w:sz w:val="16"/>
                <w:szCs w:val="16"/>
                <w:color w:val="auto"/>
              </w:rPr>
              <w:t>1.9x</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1.1x</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2.4x</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2.3x</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4.1x</w:t>
            </w:r>
          </w:p>
        </w:tc>
        <w:tc>
          <w:tcPr>
            <w:tcW w:w="1700" w:type="dxa"/>
            <w:vAlign w:val="bottom"/>
          </w:tcPr>
          <w:p>
            <w:pPr>
              <w:ind w:left="940"/>
              <w:spacing w:after="0"/>
              <w:rPr>
                <w:sz w:val="20"/>
                <w:szCs w:val="20"/>
                <w:color w:val="auto"/>
              </w:rPr>
            </w:pPr>
            <w:r>
              <w:rPr>
                <w:rFonts w:ascii="Courier New" w:cs="Courier New" w:eastAsia="Courier New" w:hAnsi="Courier New"/>
                <w:sz w:val="16"/>
                <w:szCs w:val="16"/>
                <w:color w:val="auto"/>
              </w:rPr>
              <w:t>5.0x</w:t>
            </w:r>
          </w:p>
        </w:tc>
      </w:tr>
    </w:tbl>
    <w:p>
      <w:pPr>
        <w:spacing w:after="0" w:line="365" w:lineRule="exact"/>
        <w:rPr>
          <w:sz w:val="20"/>
          <w:szCs w:val="20"/>
          <w:color w:val="auto"/>
        </w:rPr>
      </w:pPr>
    </w:p>
    <w:p>
      <w:pPr>
        <w:ind w:right="3480" w:firstLine="375"/>
        <w:spacing w:after="0" w:line="238" w:lineRule="auto"/>
        <w:rPr>
          <w:sz w:val="20"/>
          <w:szCs w:val="20"/>
          <w:color w:val="auto"/>
        </w:rPr>
      </w:pPr>
      <w:r>
        <w:rPr>
          <w:rFonts w:ascii="Courier New" w:cs="Courier New" w:eastAsia="Courier New" w:hAnsi="Courier New"/>
          <w:sz w:val="16"/>
          <w:szCs w:val="16"/>
          <w:color w:val="auto"/>
        </w:rPr>
        <w:t>The Company's consolidated ratios of earnings to fixed charges were computed by dividing earnings available for fixed charges by fixed charges. For this purpose, earnings available for fixed charges are the sum of income before income taxes, undistributed earnings from affiliated companies minority interest,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86" w:lineRule="exact"/>
        <w:rPr>
          <w:sz w:val="20"/>
          <w:szCs w:val="20"/>
          <w:color w:val="auto"/>
        </w:rPr>
      </w:pPr>
    </w:p>
    <w:p>
      <w:pPr>
        <w:ind w:right="3480" w:firstLine="375"/>
        <w:spacing w:after="0" w:line="237"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THREE MONTHS</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41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1994</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Supplemental...............................</w:t>
            </w:r>
          </w:p>
        </w:tc>
        <w:tc>
          <w:tcPr>
            <w:tcW w:w="1320" w:type="dxa"/>
            <w:vAlign w:val="bottom"/>
          </w:tcPr>
          <w:p>
            <w:pPr>
              <w:jc w:val="right"/>
              <w:ind w:right="313"/>
              <w:spacing w:after="0"/>
              <w:rPr>
                <w:sz w:val="20"/>
                <w:szCs w:val="20"/>
                <w:color w:val="auto"/>
              </w:rPr>
            </w:pPr>
            <w:r>
              <w:rPr>
                <w:rFonts w:ascii="Courier New" w:cs="Courier New" w:eastAsia="Courier New" w:hAnsi="Courier New"/>
                <w:sz w:val="16"/>
                <w:szCs w:val="16"/>
                <w:color w:val="auto"/>
              </w:rPr>
              <w:t>2.0x</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2.4x</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3.2x</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4.5x</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5.1x</w:t>
            </w:r>
          </w:p>
        </w:tc>
        <w:tc>
          <w:tcPr>
            <w:tcW w:w="1700" w:type="dxa"/>
            <w:vAlign w:val="bottom"/>
          </w:tcPr>
          <w:p>
            <w:pPr>
              <w:ind w:left="940"/>
              <w:spacing w:after="0"/>
              <w:rPr>
                <w:sz w:val="20"/>
                <w:szCs w:val="20"/>
                <w:color w:val="auto"/>
              </w:rPr>
            </w:pPr>
            <w:r>
              <w:rPr>
                <w:rFonts w:ascii="Courier New" w:cs="Courier New" w:eastAsia="Courier New" w:hAnsi="Courier New"/>
                <w:sz w:val="16"/>
                <w:szCs w:val="16"/>
                <w:color w:val="auto"/>
              </w:rPr>
              <w:t>5.0x</w:t>
            </w:r>
          </w:p>
        </w:tc>
      </w:tr>
    </w:tbl>
    <w:p>
      <w:pPr>
        <w:spacing w:after="0" w:line="365" w:lineRule="exact"/>
        <w:rPr>
          <w:sz w:val="20"/>
          <w:szCs w:val="20"/>
          <w:color w:val="auto"/>
        </w:rPr>
      </w:pPr>
    </w:p>
    <w:p>
      <w:pPr>
        <w:ind w:right="3580" w:firstLine="375"/>
        <w:spacing w:after="0" w:line="237" w:lineRule="auto"/>
        <w:rPr>
          <w:sz w:val="20"/>
          <w:szCs w:val="20"/>
          <w:color w:val="auto"/>
        </w:rPr>
      </w:pPr>
      <w:r>
        <w:rPr>
          <w:rFonts w:ascii="Courier New" w:cs="Courier New" w:eastAsia="Courier New" w:hAnsi="Courier New"/>
          <w:sz w:val="16"/>
          <w:szCs w:val="16"/>
          <w:color w:val="auto"/>
        </w:rPr>
        <w:t>Nonrecurring items in 1997 represent merger costs, primarily related to the Company's merger with United Waste Systems, Inc. ("United") in August 1997, and unusual items, primarily related to the closure of two transfer stations in Minnesota, estimated losses related to the closure and abandonment of two landfills in Massachusetts, and various other terminated projects. Nonrecurring items in 1996 represent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980"/>
          </w:cols>
          <w:pgMar w:left="240" w:top="473" w:right="679" w:bottom="1440" w:gutter="0" w:footer="0" w:header="0"/>
        </w:sectPr>
      </w:pPr>
    </w:p>
    <w:bookmarkStart w:id="6" w:name="page7"/>
    <w:bookmarkEnd w:id="6"/>
    <w:p>
      <w:pPr>
        <w:ind w:right="3480"/>
        <w:spacing w:after="0" w:line="255" w:lineRule="auto"/>
        <w:rPr>
          <w:sz w:val="20"/>
          <w:szCs w:val="20"/>
          <w:color w:val="auto"/>
        </w:rPr>
      </w:pPr>
      <w:r>
        <w:rPr>
          <w:rFonts w:ascii="Courier New" w:cs="Courier New" w:eastAsia="Courier New" w:hAnsi="Courier New"/>
          <w:sz w:val="15"/>
          <w:szCs w:val="15"/>
          <w:color w:val="auto"/>
        </w:rPr>
        <w:t>merger costs, primarily related to mergers with Sanifill, Inc. ("Sanifill")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178" w:lineRule="exact"/>
        <w:rPr>
          <w:sz w:val="20"/>
          <w:szCs w:val="20"/>
          <w:color w:val="auto"/>
        </w:rPr>
      </w:pPr>
    </w:p>
    <w:p>
      <w:pPr>
        <w:ind w:right="3860" w:firstLine="375"/>
        <w:spacing w:after="0" w:line="237" w:lineRule="auto"/>
        <w:rPr>
          <w:sz w:val="20"/>
          <w:szCs w:val="20"/>
          <w:color w:val="auto"/>
        </w:rPr>
      </w:pPr>
      <w:r>
        <w:rPr>
          <w:rFonts w:ascii="Courier New" w:cs="Courier New" w:eastAsia="Courier New" w:hAnsi="Courier New"/>
          <w:sz w:val="16"/>
          <w:szCs w:val="16"/>
          <w:color w:val="auto"/>
        </w:rPr>
        <w:t>The following table sets forth for the periods presented the ratios of earnings to fixed charges on a pro forma combined basis giving effect to the Merger and excluding nonrecurring items: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THREE MONTHS</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41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1994</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Pro Forma Combined.........................</w:t>
            </w:r>
          </w:p>
        </w:tc>
        <w:tc>
          <w:tcPr>
            <w:tcW w:w="1320" w:type="dxa"/>
            <w:vAlign w:val="bottom"/>
          </w:tcPr>
          <w:p>
            <w:pPr>
              <w:jc w:val="right"/>
              <w:ind w:right="313"/>
              <w:spacing w:after="0"/>
              <w:rPr>
                <w:sz w:val="20"/>
                <w:szCs w:val="20"/>
                <w:color w:val="auto"/>
              </w:rPr>
            </w:pPr>
            <w:r>
              <w:rPr>
                <w:rFonts w:ascii="Courier New" w:cs="Courier New" w:eastAsia="Courier New" w:hAnsi="Courier New"/>
                <w:sz w:val="16"/>
                <w:szCs w:val="16"/>
                <w:color w:val="auto"/>
              </w:rPr>
              <w:t>3.5x</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3.1x</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3.3x</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3.1x</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2.7x</w:t>
            </w:r>
          </w:p>
        </w:tc>
        <w:tc>
          <w:tcPr>
            <w:tcW w:w="1700" w:type="dxa"/>
            <w:vAlign w:val="bottom"/>
          </w:tcPr>
          <w:p>
            <w:pPr>
              <w:ind w:left="940"/>
              <w:spacing w:after="0"/>
              <w:rPr>
                <w:sz w:val="20"/>
                <w:szCs w:val="20"/>
                <w:color w:val="auto"/>
              </w:rPr>
            </w:pPr>
            <w:r>
              <w:rPr>
                <w:rFonts w:ascii="Courier New" w:cs="Courier New" w:eastAsia="Courier New" w:hAnsi="Courier New"/>
                <w:sz w:val="16"/>
                <w:szCs w:val="16"/>
                <w:color w:val="auto"/>
              </w:rPr>
              <w:t>3.0x</w:t>
            </w:r>
          </w:p>
        </w:tc>
      </w:tr>
    </w:tbl>
    <w:p>
      <w:pPr>
        <w:spacing w:after="0" w:line="36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 addition to the nonrecurring items discussed above, the pro forma</w:t>
      </w:r>
    </w:p>
    <w:p>
      <w:pPr>
        <w:spacing w:after="0"/>
        <w:rPr>
          <w:sz w:val="20"/>
          <w:szCs w:val="20"/>
          <w:color w:val="auto"/>
        </w:rPr>
      </w:pPr>
      <w:r>
        <w:rPr>
          <w:rFonts w:ascii="Courier New" w:cs="Courier New" w:eastAsia="Courier New" w:hAnsi="Courier New"/>
          <w:sz w:val="16"/>
          <w:szCs w:val="16"/>
          <w:color w:val="auto"/>
        </w:rPr>
        <w:t>combined ratios of earnings to fixed charges exclude asset impairment losses of</w:t>
      </w:r>
    </w:p>
    <w:p>
      <w:pPr>
        <w:spacing w:after="0" w:line="237" w:lineRule="auto"/>
        <w:rPr>
          <w:sz w:val="20"/>
          <w:szCs w:val="20"/>
          <w:color w:val="auto"/>
        </w:rPr>
      </w:pPr>
      <w:r>
        <w:rPr>
          <w:rFonts w:ascii="Courier New" w:cs="Courier New" w:eastAsia="Courier New" w:hAnsi="Courier New"/>
          <w:sz w:val="16"/>
          <w:szCs w:val="16"/>
          <w:color w:val="auto"/>
        </w:rPr>
        <w:t>$1,480,262,000 and special charges of $145,990,000 for the year ended December</w:t>
      </w:r>
    </w:p>
    <w:p>
      <w:pPr>
        <w:spacing w:after="0"/>
        <w:rPr>
          <w:sz w:val="20"/>
          <w:szCs w:val="20"/>
          <w:color w:val="auto"/>
        </w:rPr>
      </w:pPr>
      <w:r>
        <w:rPr>
          <w:rFonts w:ascii="Courier New" w:cs="Courier New" w:eastAsia="Courier New" w:hAnsi="Courier New"/>
          <w:sz w:val="16"/>
          <w:szCs w:val="16"/>
          <w:color w:val="auto"/>
        </w:rPr>
        <w:t>31, 1997, asset impairment losses of $64,729,000 and special charges of</w:t>
      </w:r>
    </w:p>
    <w:p>
      <w:pPr>
        <w:spacing w:after="0" w:line="238" w:lineRule="auto"/>
        <w:rPr>
          <w:sz w:val="20"/>
          <w:szCs w:val="20"/>
          <w:color w:val="auto"/>
        </w:rPr>
      </w:pPr>
      <w:r>
        <w:rPr>
          <w:rFonts w:ascii="Courier New" w:cs="Courier New" w:eastAsia="Courier New" w:hAnsi="Courier New"/>
          <w:sz w:val="16"/>
          <w:szCs w:val="16"/>
          <w:color w:val="auto"/>
        </w:rPr>
        <w:t>$370,735,000 for the year ended December 31, 1996, asset impairment losses of</w:t>
      </w:r>
    </w:p>
    <w:p>
      <w:pPr>
        <w:spacing w:after="0"/>
        <w:rPr>
          <w:sz w:val="20"/>
          <w:szCs w:val="20"/>
          <w:color w:val="auto"/>
        </w:rPr>
      </w:pPr>
      <w:r>
        <w:rPr>
          <w:rFonts w:ascii="Courier New" w:cs="Courier New" w:eastAsia="Courier New" w:hAnsi="Courier New"/>
          <w:sz w:val="16"/>
          <w:szCs w:val="16"/>
          <w:color w:val="auto"/>
        </w:rPr>
        <w:t>$53,772,000 and special charges of $335,587,000 for the year ended December 31,</w:t>
      </w:r>
    </w:p>
    <w:p>
      <w:pPr>
        <w:spacing w:after="0" w:line="238" w:lineRule="auto"/>
        <w:rPr>
          <w:sz w:val="20"/>
          <w:szCs w:val="20"/>
          <w:color w:val="auto"/>
        </w:rPr>
      </w:pPr>
      <w:r>
        <w:rPr>
          <w:rFonts w:ascii="Courier New" w:cs="Courier New" w:eastAsia="Courier New" w:hAnsi="Courier New"/>
          <w:sz w:val="16"/>
          <w:szCs w:val="16"/>
          <w:color w:val="auto"/>
        </w:rPr>
        <w:t>1995, asset impairment losses of $33,970,000 for the year ended December 31,</w:t>
      </w:r>
    </w:p>
    <w:p>
      <w:pPr>
        <w:spacing w:after="0"/>
        <w:rPr>
          <w:sz w:val="20"/>
          <w:szCs w:val="20"/>
          <w:color w:val="auto"/>
        </w:rPr>
      </w:pPr>
      <w:r>
        <w:rPr>
          <w:rFonts w:ascii="Courier New" w:cs="Courier New" w:eastAsia="Courier New" w:hAnsi="Courier New"/>
          <w:sz w:val="16"/>
          <w:szCs w:val="16"/>
          <w:color w:val="auto"/>
        </w:rPr>
        <w:t>1994, and asset impairment losses of $29,009,000 and special charges of</w:t>
      </w:r>
    </w:p>
    <w:p>
      <w:pPr>
        <w:spacing w:after="0" w:line="237" w:lineRule="auto"/>
        <w:rPr>
          <w:sz w:val="20"/>
          <w:szCs w:val="20"/>
          <w:color w:val="auto"/>
        </w:rPr>
      </w:pPr>
      <w:r>
        <w:rPr>
          <w:rFonts w:ascii="Courier New" w:cs="Courier New" w:eastAsia="Courier New" w:hAnsi="Courier New"/>
          <w:sz w:val="16"/>
          <w:szCs w:val="16"/>
          <w:color w:val="auto"/>
        </w:rPr>
        <w:t>$524,767,000 for the year ended December 31, 1993.</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980"/>
          </w:cols>
          <w:pgMar w:left="240" w:top="478" w:right="679" w:bottom="1440" w:gutter="0" w:footer="0" w:header="0"/>
        </w:sectPr>
      </w:pPr>
    </w:p>
    <w:bookmarkStart w:id="7" w:name="page8"/>
    <w:bookmarkEnd w:id="7"/>
    <w:p>
      <w:pPr>
        <w:jc w:val="center"/>
        <w:ind w:right="2719"/>
        <w:spacing w:after="0"/>
        <w:rPr>
          <w:sz w:val="20"/>
          <w:szCs w:val="20"/>
          <w:color w:val="auto"/>
        </w:rPr>
      </w:pPr>
      <w:r>
        <w:rPr>
          <w:rFonts w:ascii="Courier New" w:cs="Courier New" w:eastAsia="Courier New" w:hAnsi="Courier New"/>
          <w:sz w:val="16"/>
          <w:szCs w:val="16"/>
          <w:color w:val="auto"/>
        </w:rPr>
        <w:t>CAPITALIZATION</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following table sets forth the (i) actual consolidated cash and cash equivalents and capitalization of the Company as of March 31, 1998; (ii) the consolidated cash and cash equivalents and capitalization, as adjusted to give effect to this Offering and the 2028 Notes Offering and the anticipated application of the aggregate net proceeds of $1,183.6 million (excluding the premium payment of $14.7 million to the Company by J.P. Morgan Securities Inc. pursuant to the Remarketing Agreement discussed herein); and (iii) the pro forma combined cash and cash equivalents and capitalization of the Company and Waste Management as of March 31, 1998, giving effect to the Merger and as adjusted in (ii) above for this Offering and the 2028 Notes Offering. See "Use of Proceeds."</w:t>
      </w:r>
    </w:p>
    <w:p>
      <w:pPr>
        <w:spacing w:after="0" w:line="17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pro forma combined as adjusted cash and cash equivalents and capitalization reflects the sale of 20 million shares of Waste Management Common Stock that occurred June 15, 1998. For the purposes of this table, net proceeds from the Waste Management Common Stock offering were assumed to have been $614.4 million, as discussed in the pro forma financial information provided herein. The actual proceeds from the Waste Management Common Stock offering did not differ materially from the amounts assumed. A portion of the proceeds from the Waste Management Common Stock offering were used to reduce Waste Management's obligations to former stockholders of Wheelabrator Technologies, Inc. ("WTI").</w:t>
      </w:r>
    </w:p>
    <w:p>
      <w:pPr>
        <w:spacing w:after="0" w:line="179"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This table should be read in conjunction with and is qualified by reference to the Company's Consolidated Financial Statements and Notes thereto and the USA Waste and Waste Management Combined Unaudited Pro Forma Condensed Financial Statements included or incorporated by reference in this Prospectus Supplement and the accompanying Prospectus.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3660" w:type="dxa"/>
            <w:vAlign w:val="bottom"/>
            <w:gridSpan w:val="4"/>
          </w:tcPr>
          <w:p>
            <w:pPr>
              <w:jc w:val="right"/>
              <w:ind w:right="782"/>
              <w:spacing w:after="0"/>
              <w:rPr>
                <w:sz w:val="20"/>
                <w:szCs w:val="20"/>
                <w:color w:val="auto"/>
              </w:rPr>
            </w:pPr>
            <w:r>
              <w:rPr>
                <w:rFonts w:ascii="Courier New" w:cs="Courier New" w:eastAsia="Courier New" w:hAnsi="Courier New"/>
                <w:sz w:val="16"/>
                <w:szCs w:val="16"/>
                <w:color w:val="auto"/>
              </w:rPr>
              <w:t>AS OF MARCH 31, 1998</w:t>
            </w:r>
          </w:p>
        </w:tc>
      </w:tr>
      <w:tr>
        <w:trPr>
          <w:trHeight w:val="180"/>
        </w:trPr>
        <w:tc>
          <w:tcPr>
            <w:tcW w:w="4880" w:type="dxa"/>
            <w:vAlign w:val="bottom"/>
          </w:tcPr>
          <w:p>
            <w:pPr>
              <w:spacing w:after="0"/>
              <w:rPr>
                <w:sz w:val="15"/>
                <w:szCs w:val="15"/>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COMPANY AND</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WASTE MANAGEMENT</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COMPANY</w:t>
            </w:r>
          </w:p>
        </w:tc>
        <w:tc>
          <w:tcPr>
            <w:tcW w:w="34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PRO FORMA</w:t>
            </w:r>
          </w:p>
        </w:tc>
      </w:tr>
      <w:tr>
        <w:trPr>
          <w:trHeight w:val="180"/>
        </w:trPr>
        <w:tc>
          <w:tcPr>
            <w:tcW w:w="488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COMPANY</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AS</w:t>
            </w:r>
          </w:p>
        </w:tc>
        <w:tc>
          <w:tcPr>
            <w:tcW w:w="340" w:type="dxa"/>
            <w:vAlign w:val="bottom"/>
          </w:tcPr>
          <w:p>
            <w:pPr>
              <w:spacing w:after="0"/>
              <w:rPr>
                <w:sz w:val="15"/>
                <w:szCs w:val="15"/>
                <w:color w:val="auto"/>
              </w:rPr>
            </w:pPr>
          </w:p>
        </w:tc>
        <w:tc>
          <w:tcPr>
            <w:tcW w:w="122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8"/>
              </w:rPr>
              <w:t>COMBINED</w:t>
            </w:r>
          </w:p>
        </w:tc>
      </w:tr>
      <w:tr>
        <w:trPr>
          <w:trHeight w:val="180"/>
        </w:trPr>
        <w:tc>
          <w:tcPr>
            <w:tcW w:w="488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ACTUAL</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ADJUSTED</w:t>
            </w: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AS ADJUSTED</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(IN THOUSANDS)</w:t>
            </w:r>
          </w:p>
        </w:tc>
      </w:tr>
      <w:tr>
        <w:trPr>
          <w:trHeight w:val="361"/>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Cash and cash equivalents..........................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46,260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  46,260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358,121</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 maturities):</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Credit facility..................................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$1,333,000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$ 149,400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329,400</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Commercial paper.................................</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427,595</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Obligation to former WTI stockholders............</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261,832</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Existing Notes and debentures....................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1,091,240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1,091,240</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4,774,495</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 Senior Notes due 2028.........................</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600,000</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600,000</w:t>
            </w: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6 1/8% Mandatorily Tendered Senior Notes due</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2011...........................................</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600,000</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600,000</w:t>
            </w: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Convertible subordinated notes and</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subordinated notes.......................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799,775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799,775</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1,249,312</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WTI project debt.................................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784,146</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407,399</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407,399</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1,306,683</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ind w:left="380"/>
              <w:spacing w:after="0"/>
              <w:rPr>
                <w:sz w:val="20"/>
                <w:szCs w:val="20"/>
                <w:color w:val="auto"/>
              </w:rPr>
            </w:pPr>
            <w:r>
              <w:rPr>
                <w:rFonts w:ascii="Courier New" w:cs="Courier New" w:eastAsia="Courier New" w:hAnsi="Courier New"/>
                <w:sz w:val="16"/>
                <w:szCs w:val="16"/>
                <w:color w:val="auto"/>
              </w:rPr>
              <w:t>Total long-term debt, including current</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maturities...................................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3,631,414</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3,647,814</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10,333,463</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10,000,000 shares authorized,</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none issued....................................</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Common stock, 500,000,000 shares authorized,</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ind w:left="380"/>
              <w:spacing w:after="0"/>
              <w:rPr>
                <w:sz w:val="20"/>
                <w:szCs w:val="20"/>
                <w:color w:val="auto"/>
              </w:rPr>
            </w:pPr>
            <w:r>
              <w:rPr>
                <w:rFonts w:ascii="Courier New" w:cs="Courier New" w:eastAsia="Courier New" w:hAnsi="Courier New"/>
                <w:sz w:val="16"/>
                <w:szCs w:val="16"/>
                <w:color w:val="auto"/>
              </w:rPr>
              <w:t>219,834,550 shares (572,269,938 pro forma</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 issued.................................</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2,198</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2,198</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5,723</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Additional paid-in capital.......................</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2,436,447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2,436,447</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3,267,468</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Retained earnings................................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374,459</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374,459</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2,033,929</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Accumulated other comprehensive income...........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(37,498)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(37,498)</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(316,298)</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Treasury stock...................................</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(484)</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Restricted stock unearned compensation...........</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(10,252)</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Employee stock benefit trust.....................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(335,436)</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stockholders' equity.....................</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2,775,122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2,775,122</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4,644,650</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capitalization...........................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$6,406,536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$6,422,936</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$ 14,978,113</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48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S-7</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473" w:right="1440" w:bottom="1440" w:gutter="0" w:footer="0" w:header="0"/>
        </w:sectPr>
      </w:pPr>
    </w:p>
    <w:bookmarkStart w:id="8" w:name="page9"/>
    <w:bookmarkEnd w:id="8"/>
    <w:p>
      <w:pPr>
        <w:jc w:val="center"/>
        <w:ind w:right="2719"/>
        <w:spacing w:after="0"/>
        <w:rPr>
          <w:sz w:val="20"/>
          <w:szCs w:val="20"/>
          <w:color w:val="auto"/>
        </w:rPr>
      </w:pPr>
      <w:r>
        <w:rPr>
          <w:rFonts w:ascii="Courier New" w:cs="Courier New" w:eastAsia="Courier New" w:hAnsi="Courier New"/>
          <w:sz w:val="16"/>
          <w:szCs w:val="16"/>
          <w:color w:val="auto"/>
        </w:rPr>
        <w:t>SELECTED HISTORICAL AND SUMMARY COMBINED UNAUDITED PRO FORMA</w:t>
      </w:r>
    </w:p>
    <w:p>
      <w:pPr>
        <w:jc w:val="center"/>
        <w:ind w:right="2819"/>
        <w:spacing w:after="0"/>
        <w:rPr>
          <w:sz w:val="20"/>
          <w:szCs w:val="20"/>
          <w:color w:val="auto"/>
        </w:rPr>
      </w:pPr>
      <w:r>
        <w:rPr>
          <w:rFonts w:ascii="Courier New" w:cs="Courier New" w:eastAsia="Courier New" w:hAnsi="Courier New"/>
          <w:sz w:val="16"/>
          <w:szCs w:val="16"/>
          <w:color w:val="auto"/>
        </w:rPr>
        <w:t>CONDENSED FINANCIAL INFORMATION</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selected historical financial information of USA Waste for each of the five years in the period ended December 31, 1997 has been derived from its audited historical financial statements. The following selected historical financial information of USA Waste as of and for the three months ended March 31, 1997 and 1998 has been derived from its unaudited historical financial statements and reflects all adjustments management considers necessary for a fair presentation of the financial position and results of operations for these periods. The selected historical financial information should be read in conjunction with the historical financial statements and notes thereto incorporated by reference in this Prospectus Supplement and the accompanying Prospectus.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as if Waste Management had issued 20 million shares of Waste Management Common Stock as of March 31, 1998, and should be read in conjunction with such pro forma financial statements and notes thereto included in this Prospectus Supplement.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47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6040" w:type="dxa"/>
            <w:vAlign w:val="bottom"/>
            <w:gridSpan w:val="5"/>
          </w:tcPr>
          <w:p>
            <w:pPr>
              <w:jc w:val="right"/>
              <w:ind w:right="142"/>
              <w:spacing w:after="0"/>
              <w:rPr>
                <w:sz w:val="20"/>
                <w:szCs w:val="20"/>
                <w:color w:val="auto"/>
              </w:rPr>
            </w:pPr>
            <w:r>
              <w:rPr>
                <w:rFonts w:ascii="Courier New" w:cs="Courier New" w:eastAsia="Courier New" w:hAnsi="Courier New"/>
                <w:sz w:val="16"/>
                <w:szCs w:val="16"/>
                <w:color w:val="auto"/>
              </w:rPr>
              <w:t>USA WASTE SELECTED HISTORICAL FINANCIAL DATA</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1"/>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ENDED</w:t>
            </w:r>
          </w:p>
        </w:tc>
        <w:tc>
          <w:tcPr>
            <w:tcW w:w="800" w:type="dxa"/>
            <w:vAlign w:val="bottom"/>
          </w:tcPr>
          <w:p>
            <w:pPr>
              <w:spacing w:after="0"/>
              <w:rPr>
                <w:sz w:val="15"/>
                <w:szCs w:val="15"/>
                <w:color w:val="auto"/>
              </w:rPr>
            </w:pP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jc w:val="right"/>
              <w:ind w:right="422"/>
              <w:spacing w:after="0"/>
              <w:rPr>
                <w:sz w:val="20"/>
                <w:szCs w:val="20"/>
                <w:color w:val="auto"/>
              </w:rPr>
            </w:pPr>
            <w:r>
              <w:rPr>
                <w:rFonts w:ascii="Courier New" w:cs="Courier New" w:eastAsia="Courier New" w:hAnsi="Courier New"/>
                <w:sz w:val="16"/>
                <w:szCs w:val="16"/>
                <w:color w:val="auto"/>
              </w:rPr>
              <w:t>YEAR ENDED DECEMBER 31,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0"/>
        </w:trPr>
        <w:tc>
          <w:tcPr>
            <w:tcW w:w="39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1993</w:t>
            </w:r>
          </w:p>
        </w:tc>
        <w:tc>
          <w:tcPr>
            <w:tcW w:w="14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8"/>
              </w:rPr>
              <w:t>1994</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3"/>
              </w:rPr>
              <w:t>1996</w:t>
            </w:r>
          </w:p>
        </w:tc>
        <w:tc>
          <w:tcPr>
            <w:tcW w:w="16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8"/>
              </w:rPr>
              <w:t>1997</w:t>
            </w:r>
          </w:p>
        </w:tc>
        <w:tc>
          <w:tcPr>
            <w:tcW w:w="180" w:type="dxa"/>
            <w:vAlign w:val="bottom"/>
          </w:tcPr>
          <w:p>
            <w:pPr>
              <w:spacing w:after="0"/>
              <w:rPr>
                <w:sz w:val="15"/>
                <w:szCs w:val="15"/>
                <w:color w:val="auto"/>
              </w:rPr>
            </w:pPr>
          </w:p>
        </w:tc>
        <w:tc>
          <w:tcPr>
            <w:tcW w:w="86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8"/>
              </w:rPr>
              <w:t>1997</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(IN THOUSANDS, EXCEPT PER SHARE</w:t>
            </w:r>
          </w:p>
        </w:tc>
        <w:tc>
          <w:tcPr>
            <w:tcW w:w="1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AMOUNTS)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887,972</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$1,043,687</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$1,216,082</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$1,649,131</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$2,613,768</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$ 460,484</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$ 769,440</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Operating (exclusive of depreciation</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and amortization shown below)........</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514,483</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596,868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672,117</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881,401</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1,345,769</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241,318</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397,492</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144,623</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159,097</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169,686</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200,101</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284,946</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53,677</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81,916</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108,024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127,108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143,878</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191,044</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303,241</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56,178</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86,110</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3,782</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26,539</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126,626</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109,411</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2,672</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8,863</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4,733</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63,800</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24,720</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769,802</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895,718</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1,016,953</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1,462,972</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2,068,087</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353,169</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565,518</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operations...................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118,170</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147,969</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199,129</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186,159</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545,681</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107,315</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203,922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Other income (expenses):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Shareholder litigation settlement and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litigation related costs.......</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(5,500)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(79,400)</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Nonrecurring.........................</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(1,254)</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(50,737)</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(54,102)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(58,619)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(60,497)</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(104,261)</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(16,098)</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(38,368)</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5,072</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5,085</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6,682</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6,699</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7,634</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2,053</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1,799</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1,749</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2,629</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4,891</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6,376</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14,213</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3,646</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34,251</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(49,416)</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(127,042)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(58,040)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(47,422)</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(82,414)</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(10,399)</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(2,318)</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68,754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20,927</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141,089</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138,737</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463,267</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96,916</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201,604</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29,170</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8,959</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60,313</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70,398</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189,944</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38,954</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80,642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before extraordinary item.........</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39,584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11,968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80,776</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68,339</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273,323</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57,962</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120,962</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Extraordinary item related to early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retirement of debt, net of taxes.......</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(6,293)</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income...............................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39,584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11,968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80,776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68,339</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$ 267,030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57,962</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$ 120,962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extraordinary item.......</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1.31</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0.55</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0.55</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extraordinary item.......</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0.37</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0.52</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0.37</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1.23</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Dividends per common share...............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Working capital..........................</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37,565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1,901</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26,134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31,842</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86,736</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$ 148,997</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$ 177,910</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Intangible assets, net...................</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196,353</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250,551</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433,944</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804,251</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1,645,985</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1,110,900</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2,031,811</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assets.............................</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1,617,422</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1,833,099</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2,455,102</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3,631,547</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6,622,845</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4,591,544</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7,589,405</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maturities.............................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711,014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759,123</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909,050</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1,504,888</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2,763,729</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1,732,825</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3,631,414</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Stockholders' equity.....................</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623,510</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688,603</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1,149,885</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1,473,990</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2,628,976</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2,118,698</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2,775,122</w:t>
            </w:r>
          </w:p>
        </w:tc>
      </w:tr>
      <w:tr>
        <w:trPr>
          <w:trHeight w:val="54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S-9</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160"/>
          </w:cols>
          <w:pgMar w:left="240" w:top="473" w:right="499" w:bottom="1440" w:gutter="0" w:footer="0" w:header="0"/>
        </w:sectPr>
      </w:pPr>
    </w:p>
    <w:bookmarkStart w:id="10" w:name="page11"/>
    <w:bookmarkEnd w:id="10"/>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99" w:hanging="384"/>
        <w:spacing w:after="0" w:line="237"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in 1997 include charges for merger costs that primarily related to a pooling of interests with United and unusual items for the closure and abandonment of certain landfills and transfer stations and reserves for various other terminated projects.</w:t>
      </w:r>
    </w:p>
    <w:p>
      <w:pPr>
        <w:spacing w:after="0" w:line="185"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1996, USA Waste recorded merger costs primarily related to its poolings of interests with Western and Sanifill,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85" w:lineRule="exact"/>
        <w:rPr>
          <w:rFonts w:ascii="Courier New" w:cs="Courier New" w:eastAsia="Courier New" w:hAnsi="Courier New"/>
          <w:sz w:val="16"/>
          <w:szCs w:val="16"/>
          <w:color w:val="auto"/>
        </w:rPr>
      </w:pPr>
    </w:p>
    <w:p>
      <w:pPr>
        <w:ind w:left="384" w:right="3099" w:hanging="384"/>
        <w:spacing w:after="0" w:line="237"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Waste's results of operations in 1995 include merger costs primarily related to its merger with Chambers and nonrecurring interest related to extension fees and other charges associated with the refinancing of Chambers' pre-merger debt.</w:t>
      </w:r>
    </w:p>
    <w:p>
      <w:pPr>
        <w:spacing w:after="0" w:line="185" w:lineRule="exact"/>
        <w:rPr>
          <w:rFonts w:ascii="Courier New" w:cs="Courier New" w:eastAsia="Courier New" w:hAnsi="Courier New"/>
          <w:sz w:val="16"/>
          <w:szCs w:val="16"/>
          <w:color w:val="auto"/>
        </w:rPr>
      </w:pPr>
    </w:p>
    <w:p>
      <w:pPr>
        <w:ind w:left="384" w:right="2819" w:hanging="384"/>
        <w:spacing w:after="0" w:line="256" w:lineRule="auto"/>
        <w:tabs>
          <w:tab w:leader="none" w:pos="3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3"/>
          </w:cols>
          <w:pgMar w:left="236" w:top="473" w:right="1440" w:bottom="1440" w:gutter="0" w:footer="0" w:header="0"/>
        </w:sectPr>
      </w:pPr>
    </w:p>
    <w:bookmarkStart w:id="11" w:name="page12"/>
    <w:bookmarkEnd w:id="11"/>
    <w:p>
      <w:pPr>
        <w:jc w:val="center"/>
        <w:ind w:right="3100"/>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3100"/>
        <w:spacing w:after="0"/>
        <w:rPr>
          <w:sz w:val="20"/>
          <w:szCs w:val="20"/>
          <w:color w:val="auto"/>
        </w:rPr>
      </w:pPr>
      <w:r>
        <w:rPr>
          <w:rFonts w:ascii="Courier New" w:cs="Courier New" w:eastAsia="Courier New" w:hAnsi="Courier New"/>
          <w:sz w:val="16"/>
          <w:szCs w:val="16"/>
          <w:color w:val="auto"/>
        </w:rPr>
        <w:t>SUMMARY COMBINED UNAUDITED PRO FORMA CONDENSED FINANCIAL INFORMATION</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506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4"/>
              </w:rPr>
              <w: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220" w:type="dxa"/>
            <w:vAlign w:val="bottom"/>
          </w:tcPr>
          <w:p>
            <w:pPr>
              <w:spacing w:after="0"/>
              <w:rPr>
                <w:sz w:val="15"/>
                <w:szCs w:val="15"/>
                <w:color w:val="auto"/>
              </w:rPr>
            </w:pPr>
          </w:p>
        </w:tc>
        <w:tc>
          <w:tcPr>
            <w:tcW w:w="11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c>
          <w:tcPr>
            <w:tcW w:w="10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3"/>
              </w:rPr>
              <w:t>1998</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60" w:type="dxa"/>
            <w:vAlign w:val="bottom"/>
            <w:gridSpan w:val="7"/>
          </w:tcPr>
          <w:p>
            <w:pPr>
              <w:jc w:val="right"/>
              <w:ind w:right="762"/>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61"/>
        </w:trPr>
        <w:tc>
          <w:tcPr>
            <w:tcW w:w="50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10,316,307</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10,874,767</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11,802,350</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$ 2,901,061</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ind w:left="380"/>
              <w:spacing w:after="0"/>
              <w:rPr>
                <w:sz w:val="20"/>
                <w:szCs w:val="20"/>
                <w:color w:val="auto"/>
              </w:rPr>
            </w:pPr>
            <w:r>
              <w:rPr>
                <w:rFonts w:ascii="Courier New" w:cs="Courier New" w:eastAsia="Courier New" w:hAnsi="Courier New"/>
                <w:sz w:val="16"/>
                <w:szCs w:val="16"/>
                <w:color w:val="auto"/>
              </w:rPr>
              <w:t>Operating (exclusive of depreciation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 shown below)......................</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6,176,196</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6,498,708</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7,479,745</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1,757,707</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1,260,192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1,294,471</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1,413,244</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345,581</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1,178,896</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1,256,727</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1,382,356</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351,458</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26,539</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126,626</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109,411</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394,092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499,264</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1,650,972</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held for</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 net of minority interest.....................</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9,930</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2,416</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9,010,805</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9,675,481</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12,045,658</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2,457,162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operations........................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1,305,502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1,199,286</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(243,308)</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443,899</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Nonrecurring.................................</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22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(522,480)</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(522,921)</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(551,149)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(153,942)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41,565</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34,603</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45,214</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6,109</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(25,302)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257,586</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108,390</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126,172</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70,323</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(315,690)</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(421,217)</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(425,205)</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(102,812)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989,812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778,069</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(668,513)</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341,087</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492,885</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486,616</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361,464</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161,815</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496,927</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291,453</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4"/>
              </w:rPr>
              <w:t>(1,029,977)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179,272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 from</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0.55</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 from</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0.99</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0.54</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Working capital (deficit)............................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$(1,537,137)</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Intangible assets, net...............................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5,651,426</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assets.........................................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21,248,259</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Long-term debt, including current maturities.........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10,317,063</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Stockholders' equity.................................</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4,644,650</w:t>
            </w:r>
          </w:p>
        </w:tc>
      </w:tr>
      <w:tr>
        <w:trPr>
          <w:trHeight w:val="541"/>
        </w:trPr>
        <w:tc>
          <w:tcPr>
            <w:tcW w:w="50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S-11</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00"/>
          </w:cols>
          <w:pgMar w:left="240" w:top="473" w:right="1059" w:bottom="1440" w:gutter="0" w:footer="0" w:header="0"/>
        </w:sectPr>
      </w:pPr>
    </w:p>
    <w:bookmarkStart w:id="12" w:name="page13"/>
    <w:bookmarkEnd w:id="12"/>
    <w:p>
      <w:pPr>
        <w:jc w:val="center"/>
        <w:ind w:right="2719"/>
        <w:spacing w:after="0"/>
        <w:rPr>
          <w:sz w:val="20"/>
          <w:szCs w:val="20"/>
          <w:color w:val="auto"/>
        </w:rPr>
      </w:pPr>
      <w:r>
        <w:rPr>
          <w:rFonts w:ascii="Courier New" w:cs="Courier New" w:eastAsia="Courier New" w:hAnsi="Courier New"/>
          <w:sz w:val="16"/>
          <w:szCs w:val="16"/>
          <w:color w:val="auto"/>
        </w:rPr>
        <w:t>DESCRIPTION OF THE NOTES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Notes constitute a series of Senior Debt Securities described in the accompanying Prospectus that will be issued under an indenture, dated as of September 10, 1997 (the "Senior Indenture"), between the Company and Chase Bank of Texas, National Association, as trustee (the "Trustee").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Notes offered by this Prospectus Supplement will be limited in aggregate principal amount to $600,000,000. The Notes constitute senior and unsecured obligations of the Company, ranking PARI PASSU in right of payment with all other senior and unsecured obligations of the Company.</w:t>
      </w:r>
    </w:p>
    <w:p>
      <w:pPr>
        <w:spacing w:after="0" w:line="186"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Notes will mature on July 15, 2011 (the "Stated Maturity Date") and will bear interest at an annual rate of 6 1/8% to but not including July 15, 2001 (the "Remarketing Date"). Interest on the Notes will be payable semi-annually on January 15 and July 15 of each year, commencing January 15, 1999 to the persons in whose name the Notes are registered at the close of business on the December 31 and June 30 immediately preceding the related Interest Payment Date. Interest will be calculated on the basis of a 360-day year consisting of twelve 30-day months. The Notes will be issued only in fully registered form, without coupons, in denominations of $1,000 and integral multiples thereof. There is no sinking fund applicable to the Notes.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the Remarketing Dealer elects to remarket the Notes on the Remarketing Date, then the Notes will be subject to mandatory tender to the Remarketing Dealer, for purchase at 100% of the principal amount thereof on the Remarketing Date on the terms and subject to the conditions described herein (interest accrued to but not including the Remarketing Date will be paid by the Company on such date to holders on the immediately preceding Record Date). See "-- Mandatory Tender of Notes; Remarketing." If the Remarketing Dealer does not elect to exercise its right to a mandatory tender of the Notes on the Remarketing Date, if the Remarketing Dealer does not receive by the Determination Date (as defined below) any firm committed bids to purchase all the Notes from a Reference Corporate Dealer, as provided below, or if for any reason the Remarketing Dealer does not purchase all of the Notes on the Remarketing Date, then the Company is required to repurchase any Notes that have not been purchased by the Remarketing Dealer from the holders thereof at 100% of the principal amount thereof plus accrued interest, if any. See "-- Repurchase." The Notes will be redeemable by the Company on and after the Remarketing Date pursuant to the terms set forth in "-- Redemption."</w:t>
      </w:r>
    </w:p>
    <w:p>
      <w:pPr>
        <w:spacing w:after="0" w:line="191"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If the Remarketing Dealer remarkets the Notes on the Remarketing Date, then, as of the Remarketing Date, the interest rate on the Notes will be reset at a fixed rate until the Stated Maturity Date, as determined by the Remarketing Dealer based on bids requested from certain dealers in the Company's publicly-traded debt securities. See "-- Mandatory Tender of Notes; Remarketing."</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Notes will be issued in the form of one or more registered global securities and will be deposited with, or on behalf of, DTC and registered in the name of DTC or its nominee. See "-- Book-Entry, Delivery and Form." Settlement for the Notes will be made in immediately available funds and the Notes will trade on the DTC's Same-Day Funds Settlement System until maturity. Secondary market trading activity in the Notes will therefore settle in immediately available funds. All payments of principal and interest will be made by the Company in immediately available funds.</w:t>
      </w:r>
    </w:p>
    <w:p>
      <w:pPr>
        <w:spacing w:after="0" w:line="185" w:lineRule="exact"/>
        <w:rPr>
          <w:sz w:val="20"/>
          <w:szCs w:val="20"/>
          <w:color w:val="auto"/>
        </w:rPr>
      </w:pPr>
    </w:p>
    <w:p>
      <w:pPr>
        <w:jc w:val="both"/>
        <w:ind w:right="2819" w:firstLine="375"/>
        <w:spacing w:after="0" w:line="237" w:lineRule="auto"/>
        <w:rPr>
          <w:sz w:val="20"/>
          <w:szCs w:val="20"/>
          <w:color w:val="auto"/>
        </w:rPr>
      </w:pPr>
      <w:r>
        <w:rPr>
          <w:rFonts w:ascii="Courier New" w:cs="Courier New" w:eastAsia="Courier New" w:hAnsi="Courier New"/>
          <w:sz w:val="16"/>
          <w:szCs w:val="16"/>
          <w:color w:val="auto"/>
        </w:rPr>
        <w:t>Although the United States federal income tax treatment of the Notes is not certain, the terms of the Notes provide that the Company and all holders of the Notes agree to treat the Notes as fixed rate debt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19"/>
          </w:cols>
          <w:pgMar w:left="240" w:top="473" w:right="1440" w:bottom="1440" w:gutter="0" w:footer="0" w:header="0"/>
        </w:sectPr>
      </w:pPr>
    </w:p>
    <w:bookmarkStart w:id="13" w:name="page14"/>
    <w:bookmarkEnd w:id="13"/>
    <w:p>
      <w:pPr>
        <w:ind w:right="2719"/>
        <w:spacing w:after="0" w:line="263" w:lineRule="auto"/>
        <w:rPr>
          <w:sz w:val="20"/>
          <w:szCs w:val="20"/>
          <w:color w:val="auto"/>
        </w:rPr>
      </w:pPr>
      <w:r>
        <w:rPr>
          <w:rFonts w:ascii="Courier New" w:cs="Courier New" w:eastAsia="Courier New" w:hAnsi="Courier New"/>
          <w:sz w:val="15"/>
          <w:szCs w:val="15"/>
          <w:color w:val="auto"/>
        </w:rPr>
        <w:t>instruments that mature on the Remarketing Date for United States federal income tax purposes. See "Certain United States Federal Income Tax Considerations."</w:t>
      </w:r>
    </w:p>
    <w:p>
      <w:pPr>
        <w:spacing w:after="0" w:line="16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Company's obligations under the Credit Facility are currently guaranteed by United and Sanifill, both wholly-owned subsidiaries of the Company. Upon consummation of the Merger, it is expected that New Waste Management will enter into the New Credit Facility, and that each of the Credit Facility and the New Credit Facility will be guaranteed by Waste Management, Inc., as a subsidiary of New Waste Management. Further, upon consummation of the Merger, it is expected that New Waste Management will unconditionally guarantee the outstanding senior indebtedness of Waste Management, and Waste Management will unconditionally guarantee the outstanding senior indebtedness of New Waste Management, including the Notes and the 2028 Notes. It is expected that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 Management) of the Waste Management guarantee, Waste Management and New Waste Management shall each be deemed automatically and unconditionally released and discharged from their respective obligations under the guarantees of such senior indebtedness of the other so guaranteed. The Company is seeking, among other proposed amendments, to amend the Credit Facility to have the guarantees provided by United and Sanifill removed, although there can be no assurance such guarantees will be removed. If such guarantees by United and Sanifill are removed, Waste Management, Inc. will be the only subsidiary of New Waste Management guaranteeing the Credit Facility and the New Credit Facility. In such event, the claims of creditors of United, Sanifill and (with the exception of Waste Management assuming the Merger is consummated and the Waste Management guarantee is entered into as described hereinabove) the Company's other subsidiaries (including holders of the $150.0 million aggregate principal amount of outstanding 4% Convertible Subordinated Debentures due June 1, 2001 of United, and $115.0 million aggregate amount of outstanding 5% Convertible Subordinated Debentures due March 1, 2006 of Sanifill) will effectively have priority with respect to the assets and earnings of such subsidiaries, over the claims of creditors of the Company, including the holders of the Notes. However, upon consummation of the Merger, the claims of creditors of Waste Management will not have such priority as a consequence of Waste Management's guarantee of the Company's senior indebtedness described above during the period such guarantee is in effect.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TENDER OF NOTES; REMARKETING</w:t>
      </w:r>
    </w:p>
    <w:p>
      <w:pPr>
        <w:spacing w:after="0" w:line="185" w:lineRule="exact"/>
        <w:rPr>
          <w:sz w:val="20"/>
          <w:szCs w:val="20"/>
          <w:color w:val="auto"/>
        </w:rPr>
      </w:pPr>
    </w:p>
    <w:p>
      <w:pPr>
        <w:ind w:right="3179" w:firstLine="375"/>
        <w:spacing w:after="0" w:line="259" w:lineRule="auto"/>
        <w:rPr>
          <w:sz w:val="20"/>
          <w:szCs w:val="20"/>
          <w:color w:val="auto"/>
        </w:rPr>
      </w:pPr>
      <w:r>
        <w:rPr>
          <w:rFonts w:ascii="Courier New" w:cs="Courier New" w:eastAsia="Courier New" w:hAnsi="Courier New"/>
          <w:sz w:val="15"/>
          <w:szCs w:val="15"/>
          <w:color w:val="auto"/>
        </w:rPr>
        <w:t>The following description sets forth the terms and conditions of the remarketing of the Notes on the Remarketing Date, if the Remarketing Dealer elects to purchase the Notes on the Remarketing Date for remarketing.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TENDER</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If the Remarketing Dealer gives notice to the Company and the Trustee on a Business Day not later than fifteen Business Days prior to the Remarketing Date (the "Notification Date") of its intention to purchase the Notes for remarketing on the Remarketing Date, all outstanding Notes will be automatically tendered to the Remarketing Dealer for purchase on the Remarketing Date. The purchase price of the Notes will be equal in each case to 100% of the principal amount thereof. When the Notes are tendered for remarketing, the Remarketing Dealer may remarket the Notes for its own account at a price or prices to be determined by the Remarketing Dealer at the time of each sale or may sell such Notes to the Reference Corporate Dealer (defined below) submitting the lowest firm, committed bid on the Determination Date (defined below), as described below.</w:t>
      </w:r>
    </w:p>
    <w:p>
      <w:pPr>
        <w:spacing w:after="0" w:line="17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the Remarketing Dealer elects to remarket the Notes on the Remarketing Date, then from and including the Remarketing Date to but excluding the Stated Maturity Date, the Notes will bear interest at the Interest Rate to Maturity (determined as provided below). If the Remarketing Dealer elects to remarket the Notes on the Remarketing Date, the obligation of the Remarketing Dealer to purchase the Notes on the Remarketing Date is subject to several conditions set forth in a Remarketing Agreement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478" w:right="1440" w:bottom="1440" w:gutter="0" w:footer="0" w:header="0"/>
        </w:sectPr>
      </w:pPr>
    </w:p>
    <w:bookmarkStart w:id="14" w:name="page15"/>
    <w:bookmarkEnd w:id="14"/>
    <w:p>
      <w:pPr>
        <w:ind w:right="2719"/>
        <w:spacing w:after="0" w:line="256" w:lineRule="auto"/>
        <w:rPr>
          <w:sz w:val="20"/>
          <w:szCs w:val="20"/>
          <w:color w:val="auto"/>
        </w:rPr>
      </w:pPr>
      <w:r>
        <w:rPr>
          <w:rFonts w:ascii="Courier New" w:cs="Courier New" w:eastAsia="Courier New" w:hAnsi="Courier New"/>
          <w:sz w:val="15"/>
          <w:szCs w:val="15"/>
          <w:color w:val="auto"/>
        </w:rPr>
        <w:t>between the Company and the Remarketing Dealer (the "Remarketing Agreement"). In addition, the Remarketing Dealer may terminate the Remarketing Agreement upon the occurrence of certain events set forth therein. See "-- The Remarketing Dealer." If for any reason the Remarketing Dealer does not purchase all outstanding Notes on the Remarketing Date, the Company will be required on the Remarketing Date to repurchase any Notes that have not been purchased by the Remarketing Dealer from the holders thereof at a price equal to 100% of the principal amount thereof plus all accrued interest, if any. See "-- Repurchase."</w:t>
      </w:r>
    </w:p>
    <w:p>
      <w:pPr>
        <w:spacing w:after="0" w:line="173" w:lineRule="exact"/>
        <w:rPr>
          <w:sz w:val="20"/>
          <w:szCs w:val="20"/>
          <w:color w:val="auto"/>
        </w:rPr>
      </w:pPr>
    </w:p>
    <w:p>
      <w:pPr>
        <w:ind w:right="2719" w:firstLine="375"/>
        <w:spacing w:after="0" w:line="254" w:lineRule="auto"/>
        <w:rPr>
          <w:sz w:val="20"/>
          <w:szCs w:val="20"/>
          <w:color w:val="auto"/>
        </w:rPr>
      </w:pPr>
      <w:r>
        <w:rPr>
          <w:rFonts w:ascii="Courier New" w:cs="Courier New" w:eastAsia="Courier New" w:hAnsi="Courier New"/>
          <w:sz w:val="15"/>
          <w:szCs w:val="15"/>
          <w:color w:val="auto"/>
        </w:rPr>
        <w:t>The Remarketing Dealer shall determine the interest rate the Notes will bear from and including the Remarketing Date to but excluding the Stated Maturity Date (the "Interest Rate to Maturity") on the third Business Day immediately preceding the Remarketing Date (the "Determination Date") by soliciting by 3:30 p.m., New York City time, on the Determination Date the Reference Corporate Dealers (defined below) for firm, committed bids to purchase all outstanding Notes at the Dollar Price (defined below), and by selecting the lowest such firm, committed bid (regardless of whether each of the Referenced Corporate Dealers actually submits a bid). Each bid shall be expressed in terms of the Interest Rate to Maturity that the Notes would bear (quoted as a spread over</w:t>
      </w:r>
    </w:p>
    <w:p>
      <w:pPr>
        <w:spacing w:after="0"/>
        <w:rPr>
          <w:sz w:val="20"/>
          <w:szCs w:val="20"/>
          <w:color w:val="auto"/>
        </w:rPr>
      </w:pPr>
      <w:r>
        <w:rPr>
          <w:rFonts w:ascii="Courier New" w:cs="Courier New" w:eastAsia="Courier New" w:hAnsi="Courier New"/>
          <w:sz w:val="16"/>
          <w:szCs w:val="16"/>
          <w:color w:val="auto"/>
        </w:rPr>
        <w:t>5.585% per annum (the "Base Rate")) based on the following assumptions:</w:t>
      </w:r>
    </w:p>
    <w:p>
      <w:pPr>
        <w:spacing w:after="0" w:line="185" w:lineRule="exact"/>
        <w:rPr>
          <w:sz w:val="20"/>
          <w:szCs w:val="20"/>
          <w:color w:val="auto"/>
        </w:rPr>
      </w:pPr>
    </w:p>
    <w:p>
      <w:pPr>
        <w:ind w:left="380" w:right="2999" w:firstLine="367"/>
        <w:spacing w:after="0" w:line="236" w:lineRule="auto"/>
        <w:tabs>
          <w:tab w:leader="none" w:pos="113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be sold to such Reference Corporate Dealer on the Remarketing Date for settlement on the same day;</w:t>
      </w:r>
    </w:p>
    <w:p>
      <w:pPr>
        <w:spacing w:after="0" w:line="179" w:lineRule="exact"/>
        <w:rPr>
          <w:rFonts w:ascii="Courier New" w:cs="Courier New" w:eastAsia="Courier New" w:hAnsi="Courier New"/>
          <w:sz w:val="16"/>
          <w:szCs w:val="16"/>
          <w:color w:val="auto"/>
        </w:rPr>
      </w:pPr>
    </w:p>
    <w:p>
      <w:pPr>
        <w:ind w:left="1220" w:hanging="473"/>
        <w:spacing w:after="0"/>
        <w:tabs>
          <w:tab w:leader="none" w:pos="1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mature on the Stated Maturity Date; and</w:t>
      </w:r>
    </w:p>
    <w:p>
      <w:pPr>
        <w:spacing w:after="0" w:line="185" w:lineRule="exact"/>
        <w:rPr>
          <w:sz w:val="20"/>
          <w:szCs w:val="20"/>
          <w:color w:val="auto"/>
        </w:rPr>
      </w:pPr>
    </w:p>
    <w:p>
      <w:pPr>
        <w:ind w:left="380" w:right="2719" w:firstLine="273"/>
        <w:spacing w:after="0" w:line="237" w:lineRule="auto"/>
        <w:tabs>
          <w:tab w:leader="none" w:pos="122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bear interest from and including the Remarketing Date to but excluding the Stated Maturity Date at a stated rate equal to the Interest Rate to Maturity bid by such Reference Corporate Dealer, payable semi-annually on the Interest Payment Dates for the Notes.</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Interest Rate to Maturity announced by the Remarketing Dealer as a result of such process will be quoted to the nearest one hundred-thousandth (0.00001) of one percent per annum and, absent manifest error, will be binding and conclusive upon the holders of the Notes, the Company and the Trustee. The Remarketing Dealer shall have the discretion to select the time at which the Interest Rate to Maturity is determined on the Determination Date.</w:t>
      </w:r>
    </w:p>
    <w:p>
      <w:pPr>
        <w:spacing w:after="0" w:line="189"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"Dollar Price" means the discounted present value to the Remarketing Date of the cash flows on a bond</w:t>
      </w:r>
    </w:p>
    <w:p>
      <w:pPr>
        <w:spacing w:after="0" w:line="185" w:lineRule="exact"/>
        <w:rPr>
          <w:sz w:val="20"/>
          <w:szCs w:val="20"/>
          <w:color w:val="auto"/>
        </w:rPr>
      </w:pPr>
    </w:p>
    <w:p>
      <w:pPr>
        <w:ind w:left="380" w:right="2899" w:firstLine="367"/>
        <w:spacing w:after="0" w:line="236" w:lineRule="auto"/>
        <w:tabs>
          <w:tab w:leader="none" w:pos="11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a principal amount equal to the aggregate principal amount of the Notes,</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maturing on the Stated Maturity Date, and</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bearing interest at a rate equal to the Base Rate,</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using a discount rate equal to the Treasury Rate (defined below), payable semi-annually (assuming a 360-day year consisting of twelve 30-day months) on the Interest Payment Dates of the Notes from and including the Remarketing Date to but excluding the Stated Maturity Date.</w:t>
      </w:r>
    </w:p>
    <w:p>
      <w:pPr>
        <w:spacing w:after="0" w:line="186"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"Reference Corporate Dealer" means J.P. Morgan Securities Inc., Donaldson, Lufkin &amp; Jenrette Securities Corporation, BancAmerica Robertson Stephens, Chase Securities Inc., and Deutsche Bank Securities. If any of such persons shall cease to be a leading dealer of publicly-traded debt securities of the Company, then the Remarketing Dealer may replace, with the approval of the Company (not to be unreasonably withheld), such person with any other leading dealer of publicly-traded debt securities of the Company.</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"Treasury Rate" means the annual rate equal to the semi-annual equivalent yield to maturity or interpolated (on a 30/360 day count basis) yield to maturity on the Determination Date of the Comparable Treasury Issue (defined below) for value on the Remarketing Date, assuming a price for the Comparable Treasury Issue (expressed as a percentage of its principal amount) equal to the Comparable Treasury Price (as defined below).</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S-14</w:t>
      </w:r>
    </w:p>
    <w:p>
      <w:pPr>
        <w:sectPr>
          <w:pgSz w:w="11900" w:h="16838" w:orient="portrait"/>
          <w:cols w:equalWidth="0" w:num="1">
            <w:col w:w="10219"/>
          </w:cols>
          <w:pgMar w:left="240" w:top="478" w:right="1440" w:bottom="1440" w:gutter="0" w:footer="0" w:header="0"/>
        </w:sectPr>
      </w:pPr>
    </w:p>
    <w:bookmarkStart w:id="15" w:name="page16"/>
    <w:bookmarkEnd w:id="15"/>
    <w:p>
      <w:pPr>
        <w:ind w:right="2719" w:firstLine="375"/>
        <w:spacing w:after="0" w:line="237"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Remarketing Dealer as having an actual maturity on the Determination Date (or the United States Treasury securities selected by the Remarketing Dealer to derive an interpolated maturity on the Determination Date) comparable to the remaining term of the Notes.</w:t>
      </w:r>
    </w:p>
    <w:p>
      <w:pPr>
        <w:spacing w:after="0" w:line="187"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"Comparable Treasury Price" means (a) the offer price for the Comparable Treasury Issue (expressed as a percentage of its principal amount) on the Determination Date, as set forth on Telerate Page 500 (as defined below), adjusted to reflect settlement on the Remarketing Date if prices quoted on Telerate Page 500 are for settlement on any date other than the Remarketing Date, or (b) if such page (or any successor page) is not displayed or does not contain such offer prices on such Business Day, (i) the average of five Reference Treasury Dealer Quotations (as defined below) for the Remarketing Date, excluding the highest and lowest of such Reference Treasury Dealer Quotations (unless there is more than one highest or lowest quotation, in which case only one such highest and/or lowest quotations shall be excluded) or (ii) if the Remarketing Dealer obtains fewer than five such Reference Treasury Dealer Quotations, the average of all such Reference Treasury Dealer Quotations.</w:t>
      </w:r>
    </w:p>
    <w:p>
      <w:pPr>
        <w:spacing w:after="0" w:line="178"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"Telerate Page 500" means the display designated on "Telerate Page 500" on Dow Jones Markets Limited (or such other page as may replace Telerate page 500 on such service) or such other service displaying the offer prices specified in clause (a) of the definition of Comparable Treasury Price as may replace Dow Jones Markets Limited.</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the offer price(s) for the Comparable Treasury Issue (expressed as a percentage of its principal amount) for settlement on the Remarketing Date quoted in writing to the Remarketing Dealer by such Reference Treasury Dealer by 3:30 p.m., New York City time, on the Determination Date.</w:t>
      </w:r>
    </w:p>
    <w:p>
      <w:pPr>
        <w:spacing w:after="0" w:line="176" w:lineRule="exact"/>
        <w:rPr>
          <w:sz w:val="20"/>
          <w:szCs w:val="20"/>
          <w:color w:val="auto"/>
        </w:rPr>
      </w:pPr>
    </w:p>
    <w:p>
      <w:pPr>
        <w:ind w:right="3279" w:firstLine="375"/>
        <w:spacing w:after="0" w:line="237" w:lineRule="auto"/>
        <w:rPr>
          <w:sz w:val="20"/>
          <w:szCs w:val="20"/>
          <w:color w:val="auto"/>
        </w:rPr>
      </w:pPr>
      <w:r>
        <w:rPr>
          <w:rFonts w:ascii="Courier New" w:cs="Courier New" w:eastAsia="Courier New" w:hAnsi="Courier New"/>
          <w:sz w:val="16"/>
          <w:szCs w:val="16"/>
          <w:color w:val="auto"/>
        </w:rPr>
        <w:t>"Reference Treasury Dealer" means a primary U.S. Government securities dealer in The City of New York (which may include the Remarketing Dealer) selected by the Remarketing Dealer.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NOTIFICATION OF RESULTS; SETTLEMENT</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If the Remarketing Dealer has elected to remarket the Notes on the Remarketing Date as provided herein, then the Remarketing Dealer will notify the Company, the Trustee and DTC by telephone, confirmed in writing by 5:00 p.m., New York City time on the Determination Date, of the Interest Rate to Maturity applicable to the Notes effective from and including the Remarketing Date.</w:t>
      </w:r>
    </w:p>
    <w:p>
      <w:pPr>
        <w:spacing w:after="0" w:line="17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All outstanding Notes will be automatically delivered to the account of the Trustee by book-entry through DTC, pending payment of the purchase price therefor, on the Remarketing Date.</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The Remarketing Dealer will make, or cause the Trustee to make, payment to DTC by the close of business on the Remarketing Date, against delivery through DTC of the tendered Notes, of the purchase price for all of the tendered Notes. The purchase price of the tendered Notes will be equal to 100% of the principal amount thereof and will be paid in immediately available funds. If the Remarketing Dealer does not purchase all of the Notes on the Remarketing Date, then the Company is obligated to make or cause to be made such payment for all of the Notes not purchased by the Remarketing Dealer, as described below under "-- Repurchase." In any case, the Company will make, or cause the Trustee to make, payment of interest due on the Remarketing Date to holders of Notes as of the Record Date by book entry through DTC by the close of business on the Remarketing Date.</w:t>
      </w:r>
    </w:p>
    <w:p>
      <w:pPr>
        <w:spacing w:after="0" w:line="18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tender and settlement procedures described above may be modified without the consent of the holders of the Notes to the extent required by DTC or, if the book-entry system is no longer available for the Notes at the time of the remarketing, to the extent required to facilitate the tendering and remarketing of Notes in certificated form. In addition, the Remarketing Dealer may modify without any such consent the settlement procedures set forth above in order to facilitate the settlement process.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0219"/>
          </w:cols>
          <w:pgMar w:left="240" w:top="478" w:right="1440" w:bottom="1440" w:gutter="0" w:footer="0" w:header="0"/>
        </w:sectPr>
      </w:pPr>
    </w:p>
    <w:bookmarkStart w:id="16" w:name="page17"/>
    <w:bookmarkEnd w:id="16"/>
    <w:p>
      <w:pPr>
        <w:ind w:right="2719" w:firstLine="375"/>
        <w:spacing w:after="0" w:line="238" w:lineRule="auto"/>
        <w:rPr>
          <w:sz w:val="20"/>
          <w:szCs w:val="20"/>
          <w:color w:val="auto"/>
        </w:rPr>
      </w:pPr>
      <w:r>
        <w:rPr>
          <w:rFonts w:ascii="Courier New" w:cs="Courier New" w:eastAsia="Courier New" w:hAnsi="Courier New"/>
          <w:sz w:val="16"/>
          <w:szCs w:val="16"/>
          <w:color w:val="auto"/>
        </w:rPr>
        <w:t>As long as DTC's nominee holds the certificates representing any Notes in the book entry system of DTC, no certificates for such Notes will be delivered by or to any selling beneficial owner to reflect any transfer of such Notes effected in the remarketing. In addition, under and subject to the terms of the Notes and the Remarketing Agreement, the Company (i) has agreed that it will use its best efforts to maintain the Notes in book-entry form with DTC or any successor thereto and to appoint a successor depositary to the extent necessary to maintain the Notes in book-entry form and (ii) has waived any discretionary right it otherwise has under the Senior Indenture to cause the Notes to be issued in certificated form.</w:t>
      </w:r>
    </w:p>
    <w:p>
      <w:pPr>
        <w:spacing w:after="0" w:line="187" w:lineRule="exact"/>
        <w:rPr>
          <w:sz w:val="20"/>
          <w:szCs w:val="20"/>
          <w:color w:val="auto"/>
        </w:rPr>
      </w:pPr>
    </w:p>
    <w:p>
      <w:pPr>
        <w:ind w:right="3099" w:firstLine="375"/>
        <w:spacing w:after="0" w:line="257" w:lineRule="auto"/>
        <w:rPr>
          <w:sz w:val="20"/>
          <w:szCs w:val="20"/>
          <w:color w:val="auto"/>
        </w:rPr>
      </w:pPr>
      <w:r>
        <w:rPr>
          <w:rFonts w:ascii="Courier New" w:cs="Courier New" w:eastAsia="Courier New" w:hAnsi="Courier New"/>
          <w:sz w:val="15"/>
          <w:szCs w:val="15"/>
          <w:color w:val="auto"/>
        </w:rPr>
        <w:t>For further information with respect to transfers and settlement through DTC, see "-- Book-Entry, Delivery and Form" below, and "Description of Debt Securities -- Provisions Applicable to Both Senior and Subordinated Debt Securities -- Global Debt Securities" in the accompanying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REMARKETING DEALER</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On or prior to the date of issuance of the Notes, the Company and the Remarketing Dealer will enter into the Remarketing Agreement which will provide for the Notes to be remarketed substantially on the terms described below and in "-- Mandatory Tender of Notes; Remarketing." The Remarketing Dealer will not receive any fees from the Company in connection with the remarketing, but the Company will reimburse the Remarketing Dealer's reasonable out-of-pocket expenses under certain circumstances.</w:t>
      </w:r>
    </w:p>
    <w:p>
      <w:pPr>
        <w:spacing w:after="0" w:line="185" w:lineRule="exact"/>
        <w:rPr>
          <w:sz w:val="20"/>
          <w:szCs w:val="20"/>
          <w:color w:val="auto"/>
        </w:rPr>
      </w:pPr>
    </w:p>
    <w:p>
      <w:pPr>
        <w:ind w:right="2719" w:firstLine="375"/>
        <w:spacing w:after="0" w:line="259" w:lineRule="auto"/>
        <w:rPr>
          <w:sz w:val="20"/>
          <w:szCs w:val="20"/>
          <w:color w:val="auto"/>
        </w:rPr>
      </w:pPr>
      <w:r>
        <w:rPr>
          <w:rFonts w:ascii="Courier New" w:cs="Courier New" w:eastAsia="Courier New" w:hAnsi="Courier New"/>
          <w:sz w:val="15"/>
          <w:szCs w:val="15"/>
          <w:color w:val="auto"/>
        </w:rPr>
        <w:t>The Company will agree to indemnify the Remarketing Dealer against certain liabilities, including liabilities under the Securities Act of 1933, as amended, arising out of or in connection with its duties under the Remarketing Agreement.</w:t>
      </w:r>
    </w:p>
    <w:p>
      <w:pPr>
        <w:spacing w:after="0" w:line="171"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Remarketing Dealer has the right under the Remarketing Agreement to elect whether or not to remarket the Notes. If the Remarketing Dealer elects to remarket the Notes on the Remarketing Date as described herein, the obligation of the Remarketing Dealer to purchase Notes from holders thereof will be subject to several conditions set forth in the Remarketing Agreement. In addition, the Remarketing Agreement will provide for the termination thereof by the Remarketing Dealer on or before the Remarketing Date upon the occurrence of certain events, including events that customarily give underwriters the right to terminate an underwriting agreement or would give rise to a failure to satisfy a closing condition to an underwriting agreement in the Company's public debt offerings.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As a result of these conditions and termination rights, holders of Notes cannot be assured that their Notes will be purchased by the Remarketing Dealer in connection with a mandatory tender. The Remarketing Dealer is not required to purchase the Notes and no holder of any Notes shall have any rights or claims under the Remarketing Agreement or against the Company or the Remarketing Dealer as a result of the Remarketing Dealer not purchasing such Notes. If the Remarketing Dealer does not purchase all of the Notes on the Remarketing Date, the Company will be required to purchase on the Remarketing Date any Notes that have not been purchased by the Remarketing Dealer on the Remarketing Date at 100% of the principal amount thereof plus accrued interest, if any. See "-- Repurchase."</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Remarketing Agreement will also provide that the Remarketing Dealer may resign as Remarketing Dealer (i) at any time prior to its giving notice of its intention to remarket the Notes, such resignation to be effective ten Business Days after the delivery to the Company and the Trustee of notice of such resignation or (ii) immediately upon termination of the Remarketing Agreement. The Company shall have the right, but not the obligation, to appoint a successor Remarketing Dealer.</w:t>
      </w:r>
    </w:p>
    <w:p>
      <w:pPr>
        <w:spacing w:after="0" w:line="185"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The Remarketing Dealer, in its individual or any other capacity, may buy, sell, hold and deal in any of the Notes. The Remarketing Dealer, as a holder or beneficial owner of Notes may exercise any vote or join in any action which any holder or beneficial owner of Notes may be entitled to exercise or take with like effect as if it did not act in any capacity under the Remarketing Agreement. The Remarketing Dealer, in its individual capacity, either as principal or agent, may also engage in or have an interest in any financial or</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478" w:right="1440" w:bottom="1440" w:gutter="0" w:footer="0" w:header="0"/>
        </w:sectPr>
      </w:pPr>
    </w:p>
    <w:bookmarkStart w:id="17" w:name="page18"/>
    <w:bookmarkEnd w:id="17"/>
    <w:p>
      <w:pPr>
        <w:ind w:right="3479"/>
        <w:spacing w:after="0" w:line="236" w:lineRule="auto"/>
        <w:rPr>
          <w:sz w:val="20"/>
          <w:szCs w:val="20"/>
          <w:color w:val="auto"/>
        </w:rPr>
      </w:pPr>
      <w:r>
        <w:rPr>
          <w:rFonts w:ascii="Courier New" w:cs="Courier New" w:eastAsia="Courier New" w:hAnsi="Courier New"/>
          <w:sz w:val="16"/>
          <w:szCs w:val="16"/>
          <w:color w:val="auto"/>
        </w:rPr>
        <w:t>other transaction with the Company as freely as if it did not act in any capacity under the Remarketing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If the Remarketing Dealer for any reason does not purchase all of the Notes on the Remarketing Date, the Company shall repurchase on the Remarketing Date, at a price equal to 100% of the principal amount of the Notes plus all accrued and unpaid interest, if any, on the Notes to (but excluding) the Remarketing Date, any Notes that have not been purchased by the Remarketing Dealer on the Remarketing Date.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REMARKETING DATE</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If the Remarketing Dealer has elected to remarket the Notes on the Remarketing Date, the Company shall have the right to redeem the Notes in whole but not in part, from the Remarketing Dealer on the Remarketing Date by giving written notice of such redemption to the Remarketing Dealer no later than the later of:</w:t>
      </w:r>
    </w:p>
    <w:p>
      <w:pPr>
        <w:spacing w:after="0" w:line="182" w:lineRule="exact"/>
        <w:rPr>
          <w:sz w:val="20"/>
          <w:szCs w:val="20"/>
          <w:color w:val="auto"/>
        </w:rPr>
      </w:pPr>
    </w:p>
    <w:p>
      <w:pPr>
        <w:ind w:left="740" w:hanging="369"/>
        <w:spacing w:after="0"/>
        <w:tabs>
          <w:tab w:leader="none" w:pos="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Day immediately prior to the Determination Date or</w:t>
      </w:r>
    </w:p>
    <w:p>
      <w:pPr>
        <w:spacing w:after="0" w:line="184" w:lineRule="exact"/>
        <w:rPr>
          <w:rFonts w:ascii="Courier New" w:cs="Courier New" w:eastAsia="Courier New" w:hAnsi="Courier New"/>
          <w:sz w:val="16"/>
          <w:szCs w:val="16"/>
          <w:color w:val="auto"/>
        </w:rPr>
      </w:pPr>
    </w:p>
    <w:p>
      <w:pPr>
        <w:ind w:right="2719" w:firstLine="371"/>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fewer than three Reference Corporate Dealers timely submit firm, committed bids for all outstanding Notes to the Remarketing Dealer on the Determination Date, immediately after the deadline set by the Remarketing Dealer for receiving such bids has passed;</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by paying the amount equal to the greater of (x) 100% of the aggregate principal amount of the Notes and (y) the Dollar Price with respect to such Notes. In either such case, it shall pay such redemption price for the Notes in same-day funds by wire transfer on the Remarketing Date to an account designated by the Remarketing Dealer.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THE REMARKETING DATE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After the Remarketing Date, if the Remarketing Dealer has elected to remarket the Notes on the Remarketing Date, the Notes will be redeemable (a "Post-Remarketing Redemption"), in whole or in part, at the option of the Company at any time at a redemption price equal to the greater of (i) 100% of the principal amount of such Notes or (ii) the sum of the present values of the remaining scheduled payments of principal and interest thereon (not including the portion of any such payments of interest accrued as of the redemption date) discounted to the redemption date on a semiannual basis (assuming a 360-day year consisting of twelve 30-day months) at the Adjusted Treasury Rate (as defined below) (determined on the third Business Day preceding such redemption date), plus, in each case, accrued and unpaid interest thereon to (but excluding) the redemption date.</w:t>
      </w:r>
    </w:p>
    <w:p>
      <w:pPr>
        <w:spacing w:after="0" w:line="18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Notice of any Post-Remarketing Redemption will be mailed at least 30 days but not more than 60 days before the redemption date to each holder of the Notes to be redeemed. Unless the Company defaults in payment of the redemption price, on and after the redemption date, interest will cease to accrue on the Notes or portions thereof called for redemption pursuant to a Post-Remarketing Redemption.</w:t>
      </w:r>
    </w:p>
    <w:p>
      <w:pPr>
        <w:spacing w:after="0" w:line="189"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"ADJUSTED TREASURY RATE" means (i) the arithmetic means of the yields under the heading "Week Ending" published in the Statistical Release most recently published prior to the date of determination under the caption "Treasury Constant Maturities" for the maturity (rounded to the nearest month) corresponding to the remaining life to the maturity, as of the redemption date, of the principal being redeemed plus (ii) 0.10%. If no maturity set forth under such heading exactly corresponds to the maturity of such principal, yields for the two published maturities most closely corresponding to the maturity of such principal shall be calculated pursuant to the immediately preceding sentence, and the Adjusted Treasury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S-17</w:t>
      </w:r>
    </w:p>
    <w:p>
      <w:pPr>
        <w:sectPr>
          <w:pgSz w:w="11900" w:h="16838" w:orient="portrait"/>
          <w:cols w:equalWidth="0" w:num="1">
            <w:col w:w="10219"/>
          </w:cols>
          <w:pgMar w:left="240" w:top="478" w:right="1440" w:bottom="1440" w:gutter="0" w:footer="0" w:header="0"/>
        </w:sectPr>
      </w:pPr>
    </w:p>
    <w:bookmarkStart w:id="18" w:name="page19"/>
    <w:bookmarkEnd w:id="18"/>
    <w:p>
      <w:pPr>
        <w:ind w:right="2899"/>
        <w:spacing w:after="0" w:line="236" w:lineRule="auto"/>
        <w:rPr>
          <w:sz w:val="20"/>
          <w:szCs w:val="20"/>
          <w:color w:val="auto"/>
        </w:rPr>
      </w:pPr>
      <w:r>
        <w:rPr>
          <w:rFonts w:ascii="Courier New" w:cs="Courier New" w:eastAsia="Courier New" w:hAnsi="Courier New"/>
          <w:sz w:val="16"/>
          <w:szCs w:val="16"/>
          <w:color w:val="auto"/>
        </w:rPr>
        <w:t>Rate shall be interpolated or extrapolated from such yields on a straight-line basis, rounding in each of the relevant periods to the nearest month.</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"STATISTICAL RELEASE" means the statistical release designated "H.15(519)" or any successor publication which is published weekly by the Federal Reserve System and which establishes yields on actively-traded United States government securities adjusted to constant maturities, or, if such statistical release is not published at the time of any determination under the terms of the Notes, then such other reasonably comparable index which shall be designated by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DELIVERY AND FORM</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8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Depository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177"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17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S-18</w:t>
      </w:r>
    </w:p>
    <w:p>
      <w:pPr>
        <w:sectPr>
          <w:pgSz w:w="11900" w:h="16838" w:orient="portrait"/>
          <w:cols w:equalWidth="0" w:num="1">
            <w:col w:w="10219"/>
          </w:cols>
          <w:pgMar w:left="240" w:top="478" w:right="1440" w:bottom="1440" w:gutter="0" w:footer="0" w:header="0"/>
        </w:sectPr>
      </w:pPr>
    </w:p>
    <w:bookmarkStart w:id="19" w:name="page20"/>
    <w:bookmarkEnd w:id="19"/>
    <w:p>
      <w:pPr>
        <w:ind w:right="2819"/>
        <w:spacing w:after="0" w:line="237" w:lineRule="auto"/>
        <w:rPr>
          <w:sz w:val="20"/>
          <w:szCs w:val="20"/>
          <w:color w:val="auto"/>
        </w:rPr>
      </w:pPr>
      <w:r>
        <w:rPr>
          <w:rFonts w:ascii="Courier New" w:cs="Courier New" w:eastAsia="Courier New" w:hAnsi="Courier New"/>
          <w:sz w:val="16"/>
          <w:szCs w:val="16"/>
          <w:color w:val="auto"/>
        </w:rPr>
        <w:t>otherwise act upon the instructions of beneficial owners owning through them. Issuance of the Notes in book-entry form may reduce the liquidity of such Notes in the secondary trading market because investors may be unwilling to purchase Notes for which they cannot obtain physical certificates.</w:t>
      </w:r>
    </w:p>
    <w:p>
      <w:pPr>
        <w:spacing w:after="0" w:line="18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the Notes.</w:t>
      </w:r>
    </w:p>
    <w:p>
      <w:pPr>
        <w:spacing w:after="0" w:line="18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the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Notes as shown on the records of the Depositary. Payments by the Participants and the Indirect Participants to the beneficial owners will be governed by standing instructions and customary practice and will be the sole responsibility of the Participants or the Indirect Participants.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the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189"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17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its Participants or the Indirect Participants of their respective obligations as described hereunder or under the rules and procedures governing their respective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FUNDS SETTLEMENT AND PAYMENT</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S-19</w:t>
      </w:r>
    </w:p>
    <w:p>
      <w:pPr>
        <w:sectPr>
          <w:pgSz w:w="11900" w:h="16838" w:orient="portrait"/>
          <w:cols w:equalWidth="0" w:num="1">
            <w:col w:w="10219"/>
          </w:cols>
          <w:pgMar w:left="240" w:top="478" w:right="1440" w:bottom="1440" w:gutter="0" w:footer="0" w:header="0"/>
        </w:sectPr>
      </w:pPr>
    </w:p>
    <w:bookmarkStart w:id="20" w:name="page21"/>
    <w:bookmarkEnd w:id="20"/>
    <w:p>
      <w:pPr>
        <w:ind w:right="2719"/>
        <w:spacing w:after="0" w:line="238" w:lineRule="auto"/>
        <w:rPr>
          <w:sz w:val="20"/>
          <w:szCs w:val="20"/>
          <w:color w:val="auto"/>
        </w:rPr>
      </w:pPr>
      <w:r>
        <w:rPr>
          <w:rFonts w:ascii="Courier New" w:cs="Courier New" w:eastAsia="Courier New" w:hAnsi="Courier New"/>
          <w:sz w:val="16"/>
          <w:szCs w:val="16"/>
          <w:color w:val="auto"/>
        </w:rPr>
        <w:t>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219"/>
          </w:cols>
          <w:pgMar w:left="240" w:top="478" w:right="1440" w:bottom="1440" w:gutter="0" w:footer="0" w:header="0"/>
        </w:sectPr>
      </w:pPr>
    </w:p>
    <w:bookmarkStart w:id="21" w:name="page22"/>
    <w:bookmarkEnd w:id="21"/>
    <w:p>
      <w:pPr>
        <w:ind w:left="1120"/>
        <w:spacing w:after="0"/>
        <w:rPr>
          <w:sz w:val="20"/>
          <w:szCs w:val="20"/>
          <w:color w:val="auto"/>
        </w:rPr>
      </w:pPr>
      <w:r>
        <w:rPr>
          <w:rFonts w:ascii="Courier New" w:cs="Courier New" w:eastAsia="Courier New" w:hAnsi="Courier New"/>
          <w:sz w:val="16"/>
          <w:szCs w:val="16"/>
          <w:color w:val="auto"/>
        </w:rPr>
        <w:t>CERTAIN UNITED STATES FEDERAL INCOME TAX CONSIDERATIONS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is a general discussion of the principal U.S. federal income tax consequences of the purchase, ownership and disposition of the Notes to initial holders purchasing Notes at the "issue price." The "issue price" of a Note will equal the first price to the public (not including bond houses, brokers or similar persons or organizations acting in the capacity of underwriters, placement agents or wholesalers) at which a substantial amount of the Note is sold for money. This summary is based upon laws, regulations, rulings and decisions currently in effect, all of which are subject to change, which change may be retroactive. Moreover, it deals only with purchasers who hold Notes as "capital assets" (generally, property held for investment) within the meaning of Section 1221 of the Internal Revenue Code of 1986, as amended (the "Code"), and does not purport to deal with persons in special tax situations, such as financial institutions, insurance companies, regulated investment companies, dealers in securities or currencies, persons holding Notes as a hedge against currency risk or as a position in a "straddle," "conversion" or another integrated transaction for tax purposes, or U.S. Holders (as defined below) whose functional currency is not the U.S. dollar. In addition, this discussion only addresses the U.S. federal income tax consequences of the Notes until the Remarketing Date.</w:t>
      </w:r>
    </w:p>
    <w:p>
      <w:pPr>
        <w:spacing w:after="0" w:line="192"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As used herein, the term "U.S. Holder" means a beneficial owner of Notes that is, for U.S. federal income tax purposes, (i) a citizen or resident of the United States, (ii) a corporation, partnership or other entity created or organized in or under the laws of the United States or of any political subdivision thereof (other than a partnership that is not treated as a U.S. person under any applicable Treasury regulations and certain partnerships that have one or more partners who are not U.S. persons), (iii) an estate whose income is subject to U.S. federal income tax regardless of its source, or (iv) a trust if a court within the United States is able to exercise primary supervision over the trust's administration and one or more U.S. fiduciaries have the authority to control all its substantial decisions. As used herein, the term "non-U.S. Holder" means a beneficial owner of a Note that is not a U.S. Holder.</w:t>
      </w:r>
    </w:p>
    <w:p>
      <w:pPr>
        <w:spacing w:after="0" w:line="18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Because the Notes are subject to mandatory tender for purchase by the Remarketing Dealer or purchase by the Company if not purchased by the Remarketing Dealer on the Remarketing Date, the Company intends to treat the Notes as maturing on the Remarketing Date for U.S. federal income tax purposes and as being reissued on the Remarketing Date should the Remarketing Dealer remarket the Notes. By purchasing the Notes a holder agrees to follow such treatment for U.S. federal income tax purposes. Because no debt instrument closely comparable to the Notes has been the subject of any Treasury regulation, revenue ruling or judicial decision, the U.S. federal income tax treatment of the Notes is not certain. Prospective purchasers should note that no rulings have been or are expected to be sought from the Internal Revenue Service ("IRS") with respect to any of the issues discussed herein, and no assurances can be given that the IRS will not take contrary positions. Accordingly, significant aspects of the U.S. federal income tax consequences of an investment in the Notes are uncertain, and no assurance can be given that the IRS or the court will agree that the Notes should be treated as maturing on the Remarketing Date. Furthermore, no advice has been received or is expected to be sought from any state, local or foreign taxing authority as to the income, franchise, personal property or other taxation, or as to the treatment, of the Notes by any such state, local or foreign jurisdiction. PROSPECTIVE PURCHASERS ARE STRONGLY URGED TO CONSULT THEIR TAX ADVISERS REGARDING THE U.S. FEDERAL INCOME TAX CONSEQUENCES OF AN INVESTMENT IN THE NOTES (INCLUDING ALTERNATIVE CHARACTERIZATIONS OF THE NOTES). EXCEPT WHERE INDICATED TO THE CONTRARY, THE FOLLOWING DISCUSSION ASSUMES THAT THE COMPANY'S TREATMENT OF THE NOTES WILL BE RESPECTED FOR U.S. FEDERAL INCOME TAX PURPOSES. PROSPECTIVE PURCHASERS SHOULD ALSO CONSULT THEIR TAX ADVISERS WITH RESPECT TO ANY TAX CONSEQUENCES ARISING UNDER THE LAWS OF ANY STATE, LOCAL OR FOREIGN TAXING JURISDICTION.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S-21</w:t>
      </w:r>
    </w:p>
    <w:p>
      <w:pPr>
        <w:sectPr>
          <w:pgSz w:w="11900" w:h="16838" w:orient="portrait"/>
          <w:cols w:equalWidth="0" w:num="1">
            <w:col w:w="10219"/>
          </w:cols>
          <w:pgMar w:left="240" w:top="47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TAX TREATMENT OF U.S. HOLDERS</w:t>
      </w:r>
    </w:p>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Assuming the characterization of the Notes set forth above, the following tax consequences will result with respect to U.S.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Interest on the Notes will generally be taxable as ordinary income for U.S. federal income tax purposes when received or accrued by a U.S. Holder in accordance with its regular method of tax accounting. The Company does not anticipate that the initial issuance of the Notes will result in original issue discount ("OID"), generally defined as the excess of the stated redemption price at the maturity of the Notes over its issue price. However, if a Note is issued with OID, the holder of such debt instrument with OID generally will be required to recognize as ordinary income the amount of OID on the debt instrument as such discount accrued, in accordance with a constant yield market.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OR LOSS ON SALE OR REDEMPTION</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When a Note is sold or redeemed, the U.S. Holder will recognize gain or loss equal to the difference between the amount realized on the sale or redemption (excluding any amount attributable to accrued interest not previously included in income) and the adjusted basis in its Notes. The adjusted basis of the Notes generally will equal the U.S. Holder's cost, increased by any OID previously includable in the U.S. Holder's income with respect to the Notes and reduced by the principal payment previously received with respect to the Notes gain or loss on sale or redemption of a Notes will generally be capital gain or loss.</w:t>
      </w:r>
    </w:p>
    <w:p>
      <w:pPr>
        <w:spacing w:after="0" w:line="173"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Capital gains of individuals derived with respect to capital assets held for more than one year are eligible for reduced rates of taxation depending upon the holding period of such capital assets. The deductibility of capital losses is subject to certain limitations.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 U.S. FEDERAL INCOME TAX TREATMENT</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There can be no assurance that the IRS will agree with, or that a court will uphold, the Company's treatment of the Notes as maturing on the Remarketing Date and as thereafter being reissued should the Notes be remarketed, and it is possible that the IRS could assert another characterization. In particular, the IRS could seek to treat the Notes as maturing on the Stated Maturity Date and possibly also to treat the issue price of the Notes as including the value of the mandatory tender rights. Because of the possible reset interest rate, if the Notes were treated as maturing on the Stated Maturity Date, Treasury regulations relating to contingent payment debt obligations (the "Contingent Payment Debt Regulations") would apply. In such case, the timing and character of income on the Notes would be significantly affected. Among other things, U.S. Holders, regardless of their regular method of tax accounting, would be required to accrue income annually as OID, subject to the adjustments described below, at a "comparable yield" on the adjusted issue price, which could be higher than the actual cash payments received on the Notes in a taxable year. Furthermore, any gain realized with respect to the sale or redemption of the Notes would generally be treated as ordinary income, and any loss realized would generally be treated as ordinary loss to the extent of the U.S. Holder's ordinary income inclusions with respect to the Notes. Any remaining loss generally would be treated as capital loss. In particular, upon the sale of a Notes (other than through the mandatory tender), the IRS could take the position that the gain or loss with respect to the mandatory tender rights and the gain or loss with respect to the debt obligation must be separately determined, in which case any deemed loss with respect to the mandatory tender rights would be treated as a capital loss, and a corresponding amount of additional ordinary income would need to be recognized by the U.S. Holder with respect to the sale. The ability to use capital losses to offset ordinary income in determining taxable income is generally limited.</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S-22</w:t>
      </w:r>
    </w:p>
    <w:p>
      <w:pPr>
        <w:sectPr>
          <w:pgSz w:w="11900" w:h="16838" w:orient="portrait"/>
          <w:cols w:equalWidth="0" w:num="1">
            <w:col w:w="10219"/>
          </w:cols>
          <w:pgMar w:left="240" w:top="473" w:right="1440" w:bottom="1440" w:gutter="0" w:footer="0" w:header="0"/>
        </w:sectPr>
      </w:pPr>
    </w:p>
    <w:bookmarkStart w:id="23" w:name="page24"/>
    <w:bookmarkEnd w:id="23"/>
    <w:p>
      <w:pPr>
        <w:ind w:right="2719" w:firstLine="375"/>
        <w:spacing w:after="0" w:line="237" w:lineRule="auto"/>
        <w:rPr>
          <w:sz w:val="20"/>
          <w:szCs w:val="20"/>
          <w:color w:val="auto"/>
        </w:rPr>
      </w:pPr>
      <w:r>
        <w:rPr>
          <w:rFonts w:ascii="Courier New" w:cs="Courier New" w:eastAsia="Courier New" w:hAnsi="Courier New"/>
          <w:sz w:val="16"/>
          <w:szCs w:val="16"/>
          <w:color w:val="auto"/>
        </w:rPr>
        <w:t>PROSPECTIVE U.S. PURCHASERS ARE STRONGLY URGED TO CONSULT THEIR TAX ADVISERS REGARDING THE U.S. FEDERAL INCOME TAX CONSEQUENCES OF AN INVESTMENT IN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OF NON-U.S. HOLDERS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 non-U.S. Holder will not be subject to U.S. federal income or withholding tax on payments of principal, premium (if any) or interest (including original issue discount and accruals under the Contingent Payment Debt Regulations, if any) on a Note unless such non-U.S. Holder owns actually or constructively 10% or more of the total combined voting power of the Company, is a controlled foreign corporation related to the Company through stock ownership or is a bank receiving interest described in Section 881(c)(3)(A) of the Code. Sections 871(h) and 881(c) of the Code, and applicable Treasury regulations, require that, in order to obtain the exemption from withholding tax described above, either the beneficial owner of the Notes or a securities clearing organization, bank or other financial institution that holds customers' securities in the ordinary course of its trade or business (a "Financial Institution") and that is holding the Notes on behalf of such beneficial owner, file a statement with the withholding agent to the effect that the beneficial owner of the Notes is not a U.S. person. In general, such requirements will be fulfilled if the beneficial owner of a Note certifies on IRS Form W-8, under penalties of perjury, that it is not a U.S. person and provides its name and address, and any Financial Institution holding the Notes on behalf of the beneficial owner files a statement with the withholding agent to the effect that it has received such statement from the Holder (and furnishes the withholding agent with a copy thereof).</w:t>
      </w:r>
    </w:p>
    <w:p>
      <w:pPr>
        <w:spacing w:after="0" w:line="194"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Generally, a non-U.S. Holder will not be subject to U.S. federal income tax on any amount which constitutes gain upon retirement or disposition of a Note provided the gain is not effectively connected with the conduct of a trade or business in the United States by the non-U.S. Holder. Certain other exceptions may be applicable, and a non-U.S. Holder should consult its tax adviser in this regard.</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a non-U.S. Holder of a Note is engaged in a trade or business in the United States, and if interest (including OID, if any) or gain on the Note is effectively connected with the conduct of such trade or business, the non-U.S. Holder, although exempt from the withholding tax discussed above, will generally be subject to regular U.S. income tax on interest and on any gain realized on the sale, exchange or other disposition of a Note in the same manner as if it were a U.S. Holder. In lieu of the statement described above, such Holder will be required to provide to the Company a properly executed Form 4224 (or successor form) in order to claim an exemption from withholding tax. In addition, if such non-U.S. Holder is a foreign corporation, it may be subject to a branch profits tax equal to 30% (or such lower rate provided by an applicable treaty) of its effectively connected earnings and profits for the taxable year, subject to certain adjustments. For purposes of the branch profits tax, interest on and any gain recognized on the sale, exchange or other disposition of a Note will be included in the effectively connected earnings and profits of such non-U.S. Holder if such interest or gain, as the case may be, is effectively connected with the conduct by the non-U.S. Holder of a trade or business in the United States.</w:t>
      </w:r>
    </w:p>
    <w:p>
      <w:pPr>
        <w:spacing w:after="0" w:line="192"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Notes will not be includable in the estate of a non-U.S. Holder unless the individual is a direct or indirect 10% or greater shareholder of the Company or, at the time of such individual's death, payments in respect of the Notes would have been effectively connected with the conduct by such individual of a trade or business in the United States.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REPORTING AND BACKUP WITHHOLDING</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A holder may be subject to backup withholding at the rate of 31% of the interest and other "reportable payments" (including, under certain circumstances, principal payments and sales proceeds) paid with respect to the Notes if, in general, the holder fails to comply with certain certification procedures and is not an exempt recipient under applicable provisions of the Code.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S-23</w:t>
      </w:r>
    </w:p>
    <w:p>
      <w:pPr>
        <w:sectPr>
          <w:pgSz w:w="11900" w:h="16838" w:orient="portrait"/>
          <w:cols w:equalWidth="0" w:num="1">
            <w:col w:w="10219"/>
          </w:cols>
          <w:pgMar w:left="240" w:top="478" w:right="1440" w:bottom="1440" w:gutter="0" w:footer="0" w:header="0"/>
        </w:sectPr>
      </w:pPr>
    </w:p>
    <w:bookmarkStart w:id="24" w:name="page25"/>
    <w:bookmarkEnd w:id="24"/>
    <w:p>
      <w:pPr>
        <w:ind w:right="2719" w:firstLine="375"/>
        <w:spacing w:after="0" w:line="237" w:lineRule="auto"/>
        <w:rPr>
          <w:sz w:val="20"/>
          <w:szCs w:val="20"/>
          <w:color w:val="auto"/>
        </w:rPr>
      </w:pPr>
      <w:r>
        <w:rPr>
          <w:rFonts w:ascii="Courier New" w:cs="Courier New" w:eastAsia="Courier New" w:hAnsi="Courier New"/>
          <w:sz w:val="16"/>
          <w:szCs w:val="16"/>
          <w:color w:val="auto"/>
        </w:rPr>
        <w:t>On October 6, 1997, the Treasury Department issued new regulations (the "New Regulations") which make modifications to the withholding, backup withholding and information reporting rules described above. The New Regulations will generally be effective for payments made after December 31, 1999, subject to certain transition rules. Prospective purchasers are urged to consult their tax advisers regarding the New Regulations.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THIS DISCLOSURE IS INTENDED TO BE A GENERAL SUMMARY ONLY. DUE TO THE COMPLEXITY OF THE RULES DESCRIBED ABOVE, THE CURRENT UNCERTAINTY AS TO THE MANNER OF THEIR APPLICATIONS TO HOLDERS OF THE NOTES AND POSSIBLE CHANGES IN LAW, IT IS PARTICULARLY IMPORTANT THAT PROSPECTIVE PURCHASERS CONSULT THEIR OWN TAX ADVISERS REGARDING THE TAX TREATMENT OF THE ACQUISITION, OWNERSHIP AND DISPOSITION OF THE NOTES UNDER THE LAWS OF THE UNITED STATES AND THOSE OF ANY STATE, LOCAL OR FOREIGN TAXING JURISDICTION.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S-24</w:t>
      </w:r>
    </w:p>
    <w:p>
      <w:pPr>
        <w:sectPr>
          <w:pgSz w:w="11900" w:h="16838" w:orient="portrait"/>
          <w:cols w:equalWidth="0" w:num="1">
            <w:col w:w="10219"/>
          </w:cols>
          <w:pgMar w:left="240" w:top="478" w:right="1440" w:bottom="1440" w:gutter="0" w:footer="0" w:header="0"/>
        </w:sectPr>
      </w:pPr>
    </w:p>
    <w:bookmarkStart w:id="25" w:name="page26"/>
    <w:bookmarkEnd w:id="25"/>
    <w:p>
      <w:pPr>
        <w:ind w:left="3180"/>
        <w:spacing w:after="0"/>
        <w:rPr>
          <w:sz w:val="20"/>
          <w:szCs w:val="20"/>
          <w:color w:val="auto"/>
        </w:rPr>
      </w:pPr>
      <w:r>
        <w:rPr>
          <w:rFonts w:ascii="Courier New" w:cs="Courier New" w:eastAsia="Courier New" w:hAnsi="Courier New"/>
          <w:sz w:val="16"/>
          <w:szCs w:val="16"/>
          <w:color w:val="auto"/>
        </w:rPr>
        <w:t>UNDERWRITING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Subject</w:t>
            </w:r>
          </w:p>
        </w:tc>
        <w:tc>
          <w:tcPr>
            <w:tcW w:w="8080" w:type="dxa"/>
            <w:vAlign w:val="bottom"/>
          </w:tcPr>
          <w:p>
            <w:pPr>
              <w:ind w:left="100"/>
              <w:spacing w:after="0"/>
              <w:rPr>
                <w:sz w:val="20"/>
                <w:szCs w:val="20"/>
                <w:color w:val="auto"/>
              </w:rPr>
            </w:pPr>
            <w:r>
              <w:rPr>
                <w:rFonts w:ascii="Courier New" w:cs="Courier New" w:eastAsia="Courier New" w:hAnsi="Courier New"/>
                <w:sz w:val="16"/>
                <w:szCs w:val="16"/>
                <w:color w:val="auto"/>
              </w:rPr>
              <w:t>to the terms and conditions contained in the Underwriting Agreement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020" w:type="dxa"/>
            <w:vAlign w:val="bottom"/>
          </w:tcPr>
          <w:p>
            <w:pPr>
              <w:spacing w:after="0"/>
              <w:rPr>
                <w:sz w:val="20"/>
                <w:szCs w:val="20"/>
                <w:color w:val="auto"/>
              </w:rPr>
            </w:pPr>
            <w:r>
              <w:rPr>
                <w:rFonts w:ascii="Courier New" w:cs="Courier New" w:eastAsia="Courier New" w:hAnsi="Courier New"/>
                <w:sz w:val="16"/>
                <w:szCs w:val="16"/>
                <w:color w:val="auto"/>
                <w:w w:val="94"/>
              </w:rPr>
              <w:t>relating to</w:t>
            </w:r>
          </w:p>
        </w:tc>
        <w:tc>
          <w:tcPr>
            <w:tcW w:w="8080" w:type="dxa"/>
            <w:vAlign w:val="bottom"/>
          </w:tcPr>
          <w:p>
            <w:pPr>
              <w:ind w:left="100"/>
              <w:spacing w:after="0"/>
              <w:rPr>
                <w:sz w:val="20"/>
                <w:szCs w:val="20"/>
                <w:color w:val="auto"/>
              </w:rPr>
            </w:pPr>
            <w:r>
              <w:rPr>
                <w:rFonts w:ascii="Courier New" w:cs="Courier New" w:eastAsia="Courier New" w:hAnsi="Courier New"/>
                <w:sz w:val="16"/>
                <w:szCs w:val="16"/>
                <w:color w:val="auto"/>
              </w:rPr>
              <w:t>the Notes (the "Underwriting Agreement"), the Company has agreed to</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020" w:type="dxa"/>
            <w:vAlign w:val="bottom"/>
          </w:tcPr>
          <w:p>
            <w:pPr>
              <w:spacing w:after="0"/>
              <w:rPr>
                <w:sz w:val="20"/>
                <w:szCs w:val="20"/>
                <w:color w:val="auto"/>
              </w:rPr>
            </w:pPr>
            <w:r>
              <w:rPr>
                <w:rFonts w:ascii="Courier New" w:cs="Courier New" w:eastAsia="Courier New" w:hAnsi="Courier New"/>
                <w:sz w:val="16"/>
                <w:szCs w:val="16"/>
                <w:color w:val="auto"/>
                <w:w w:val="94"/>
              </w:rPr>
              <w:t>sell to the</w:t>
            </w:r>
          </w:p>
        </w:tc>
        <w:tc>
          <w:tcPr>
            <w:tcW w:w="8080" w:type="dxa"/>
            <w:vAlign w:val="bottom"/>
          </w:tcPr>
          <w:p>
            <w:pPr>
              <w:ind w:left="100"/>
              <w:spacing w:after="0"/>
              <w:rPr>
                <w:sz w:val="20"/>
                <w:szCs w:val="20"/>
                <w:color w:val="auto"/>
              </w:rPr>
            </w:pPr>
            <w:r>
              <w:rPr>
                <w:rFonts w:ascii="Courier New" w:cs="Courier New" w:eastAsia="Courier New" w:hAnsi="Courier New"/>
                <w:sz w:val="16"/>
                <w:szCs w:val="16"/>
                <w:color w:val="auto"/>
              </w:rPr>
              <w:t>several Underwriters named below (the "Underwriters"), and the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several Underwriters have agreed to purchase from the Company, the principal</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amounts of Notes set forth opposite their names below:</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21"/>
        </w:trPr>
        <w:tc>
          <w:tcPr>
            <w:tcW w:w="10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PRINCIPAL AMOUNT</w:t>
            </w:r>
          </w:p>
        </w:tc>
      </w:tr>
      <w:tr>
        <w:trPr>
          <w:trHeight w:val="180"/>
        </w:trPr>
        <w:tc>
          <w:tcPr>
            <w:tcW w:w="1020" w:type="dxa"/>
            <w:vAlign w:val="bottom"/>
          </w:tcPr>
          <w:p>
            <w:pPr>
              <w:spacing w:after="0"/>
              <w:rPr>
                <w:sz w:val="15"/>
                <w:szCs w:val="15"/>
                <w:color w:val="auto"/>
              </w:rPr>
            </w:pPr>
          </w:p>
        </w:tc>
        <w:tc>
          <w:tcPr>
            <w:tcW w:w="8080" w:type="dxa"/>
            <w:vAlign w:val="bottom"/>
          </w:tcPr>
          <w:p>
            <w:pPr>
              <w:ind w:left="2920"/>
              <w:spacing w:after="0"/>
              <w:rPr>
                <w:sz w:val="20"/>
                <w:szCs w:val="20"/>
                <w:color w:val="auto"/>
              </w:rPr>
            </w:pPr>
            <w:r>
              <w:rPr>
                <w:rFonts w:ascii="Courier New" w:cs="Courier New" w:eastAsia="Courier New" w:hAnsi="Courier New"/>
                <w:sz w:val="16"/>
                <w:szCs w:val="16"/>
                <w:color w:val="auto"/>
              </w:rPr>
              <w:t>UNDERWRITERS</w:t>
            </w:r>
          </w:p>
        </w:tc>
        <w:tc>
          <w:tcPr>
            <w:tcW w:w="36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OF NOTES</w:t>
            </w:r>
          </w:p>
        </w:tc>
      </w:tr>
      <w:tr>
        <w:trPr>
          <w:trHeight w:val="361"/>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w w:val="98"/>
              </w:rPr>
              <w:t>Donaldson, Lufkin &amp; Jenrette Securities Corporation.............................................</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120,000,000</w:t>
            </w:r>
          </w:p>
        </w:tc>
      </w:tr>
      <w:tr>
        <w:trPr>
          <w:trHeight w:val="180"/>
        </w:trPr>
        <w:tc>
          <w:tcPr>
            <w:tcW w:w="1020" w:type="dxa"/>
            <w:vAlign w:val="bottom"/>
          </w:tcPr>
          <w:p>
            <w:pPr>
              <w:spacing w:after="0"/>
              <w:rPr>
                <w:sz w:val="20"/>
                <w:szCs w:val="20"/>
                <w:color w:val="auto"/>
              </w:rPr>
            </w:pPr>
            <w:r>
              <w:rPr>
                <w:rFonts w:ascii="Courier New" w:cs="Courier New" w:eastAsia="Courier New" w:hAnsi="Courier New"/>
                <w:sz w:val="16"/>
                <w:szCs w:val="16"/>
                <w:color w:val="auto"/>
                <w:w w:val="94"/>
              </w:rPr>
              <w:t>J.P. Morgan</w:t>
            </w:r>
          </w:p>
        </w:tc>
        <w:tc>
          <w:tcPr>
            <w:tcW w:w="8080" w:type="dxa"/>
            <w:vAlign w:val="bottom"/>
          </w:tcPr>
          <w:p>
            <w:pPr>
              <w:ind w:left="100"/>
              <w:spacing w:after="0"/>
              <w:rPr>
                <w:sz w:val="20"/>
                <w:szCs w:val="20"/>
                <w:color w:val="auto"/>
              </w:rPr>
            </w:pPr>
            <w:r>
              <w:rPr>
                <w:rFonts w:ascii="Courier New" w:cs="Courier New" w:eastAsia="Courier New" w:hAnsi="Courier New"/>
                <w:sz w:val="16"/>
                <w:szCs w:val="16"/>
                <w:color w:val="auto"/>
                <w:w w:val="98"/>
              </w:rPr>
              <w:t>Securities Inc......................................................................</w:t>
            </w:r>
          </w:p>
        </w:tc>
        <w:tc>
          <w:tcPr>
            <w:tcW w:w="36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120,000,000</w:t>
            </w:r>
          </w:p>
        </w:tc>
      </w:tr>
      <w:tr>
        <w:trPr>
          <w:trHeight w:val="180"/>
        </w:trPr>
        <w:tc>
          <w:tcPr>
            <w:tcW w:w="1020" w:type="dxa"/>
            <w:vAlign w:val="bottom"/>
          </w:tcPr>
          <w:p>
            <w:pPr>
              <w:spacing w:after="0"/>
              <w:rPr>
                <w:sz w:val="20"/>
                <w:szCs w:val="20"/>
                <w:color w:val="auto"/>
              </w:rPr>
            </w:pPr>
            <w:r>
              <w:rPr>
                <w:rFonts w:ascii="Courier New" w:cs="Courier New" w:eastAsia="Courier New" w:hAnsi="Courier New"/>
                <w:sz w:val="16"/>
                <w:szCs w:val="16"/>
                <w:color w:val="auto"/>
                <w:w w:val="94"/>
              </w:rPr>
              <w:t>BancAmerica</w:t>
            </w:r>
          </w:p>
        </w:tc>
        <w:tc>
          <w:tcPr>
            <w:tcW w:w="8080" w:type="dxa"/>
            <w:vAlign w:val="bottom"/>
          </w:tcPr>
          <w:p>
            <w:pPr>
              <w:ind w:left="100"/>
              <w:spacing w:after="0"/>
              <w:rPr>
                <w:sz w:val="20"/>
                <w:szCs w:val="20"/>
                <w:color w:val="auto"/>
              </w:rPr>
            </w:pPr>
            <w:r>
              <w:rPr>
                <w:rFonts w:ascii="Courier New" w:cs="Courier New" w:eastAsia="Courier New" w:hAnsi="Courier New"/>
                <w:sz w:val="16"/>
                <w:szCs w:val="16"/>
                <w:color w:val="auto"/>
                <w:w w:val="98"/>
              </w:rPr>
              <w:t>Robertson Stephens..................................................................</w:t>
            </w:r>
          </w:p>
        </w:tc>
        <w:tc>
          <w:tcPr>
            <w:tcW w:w="36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120,000,000</w:t>
            </w:r>
          </w:p>
        </w:tc>
      </w:tr>
      <w:tr>
        <w:trPr>
          <w:trHeight w:val="180"/>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w w:val="98"/>
              </w:rPr>
              <w:t>Chase Securities Inc............................................................................</w:t>
            </w:r>
          </w:p>
        </w:tc>
        <w:tc>
          <w:tcPr>
            <w:tcW w:w="36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120,000,000</w:t>
            </w:r>
          </w:p>
        </w:tc>
      </w:tr>
      <w:tr>
        <w:trPr>
          <w:trHeight w:val="180"/>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w w:val="98"/>
              </w:rPr>
              <w:t>Deutsche Bank Securities........................................................................</w:t>
            </w:r>
          </w:p>
        </w:tc>
        <w:tc>
          <w:tcPr>
            <w:tcW w:w="36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120,000,000</w:t>
            </w:r>
          </w:p>
        </w:tc>
      </w:tr>
      <w:tr>
        <w:trPr>
          <w:trHeight w:val="180"/>
        </w:trPr>
        <w:tc>
          <w:tcPr>
            <w:tcW w:w="10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808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600,000,000</w:t>
            </w:r>
          </w:p>
        </w:tc>
      </w:tr>
    </w:tbl>
    <w:p>
      <w:pPr>
        <w:spacing w:after="0" w:line="4" w:lineRule="exact"/>
        <w:rPr>
          <w:sz w:val="20"/>
          <w:szCs w:val="20"/>
          <w:color w:val="auto"/>
        </w:rPr>
      </w:pPr>
    </w:p>
    <w:p>
      <w:pPr>
        <w:ind w:left="918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9180"/>
        <w:spacing w:after="0"/>
        <w:rPr>
          <w:sz w:val="20"/>
          <w:szCs w:val="20"/>
          <w:color w:val="auto"/>
        </w:rPr>
      </w:pPr>
      <w:r>
        <w:rPr>
          <w:rFonts w:ascii="Courier New" w:cs="Courier New" w:eastAsia="Courier New" w:hAnsi="Courier New"/>
          <w:sz w:val="15"/>
          <w:szCs w:val="15"/>
          <w:color w:val="auto"/>
        </w:rPr>
        <w:t>----------------</w:t>
      </w:r>
    </w:p>
    <w:p>
      <w:pPr>
        <w:spacing w:after="0" w:line="371" w:lineRule="exact"/>
        <w:rPr>
          <w:sz w:val="20"/>
          <w:szCs w:val="20"/>
          <w:color w:val="auto"/>
        </w:rPr>
      </w:pPr>
    </w:p>
    <w:p>
      <w:pPr>
        <w:ind w:right="3460" w:firstLine="375"/>
        <w:spacing w:after="0" w:line="237"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 all the Notes must be purchased.</w:t>
      </w:r>
    </w:p>
    <w:p>
      <w:pPr>
        <w:spacing w:after="0" w:line="187" w:lineRule="exact"/>
        <w:rPr>
          <w:sz w:val="20"/>
          <w:szCs w:val="20"/>
          <w:color w:val="auto"/>
        </w:rPr>
      </w:pPr>
    </w:p>
    <w:p>
      <w:pPr>
        <w:ind w:right="3180" w:firstLine="375"/>
        <w:spacing w:after="0" w:line="237" w:lineRule="auto"/>
        <w:rPr>
          <w:sz w:val="20"/>
          <w:szCs w:val="20"/>
          <w:color w:val="auto"/>
        </w:rPr>
      </w:pPr>
      <w:r>
        <w:rPr>
          <w:rFonts w:ascii="Courier New" w:cs="Courier New" w:eastAsia="Courier New" w:hAnsi="Courier New"/>
          <w:sz w:val="16"/>
          <w:szCs w:val="16"/>
          <w:color w:val="auto"/>
        </w:rPr>
        <w:t>The Company has agreed to indemnify the Underwriters against certain liabilities, including liabilities under the Securities Act of 1933, as amended, or to contribute to payments that the Underwriters may be required to make in respect hereof.</w:t>
      </w:r>
    </w:p>
    <w:p>
      <w:pPr>
        <w:spacing w:after="0" w:line="186" w:lineRule="exact"/>
        <w:rPr>
          <w:sz w:val="20"/>
          <w:szCs w:val="20"/>
          <w:color w:val="auto"/>
        </w:rPr>
      </w:pPr>
    </w:p>
    <w:p>
      <w:pPr>
        <w:ind w:right="3560" w:firstLine="375"/>
        <w:spacing w:after="0" w:line="254" w:lineRule="auto"/>
        <w:rPr>
          <w:sz w:val="20"/>
          <w:szCs w:val="20"/>
          <w:color w:val="auto"/>
        </w:rPr>
      </w:pPr>
      <w:r>
        <w:rPr>
          <w:rFonts w:ascii="Courier New" w:cs="Courier New" w:eastAsia="Courier New" w:hAnsi="Courier New"/>
          <w:sz w:val="15"/>
          <w:szCs w:val="15"/>
          <w:color w:val="auto"/>
        </w:rPr>
        <w:t>The Underwriters have advised the Company that they propose initially to offer the Notes to the public at the public offering price set forth on the cover page of this Prospectus Supplement, and to certain dealers (who may include the Underwriters) at such price, less a concession not in excess of</w:t>
      </w:r>
    </w:p>
    <w:p>
      <w:pPr>
        <w:spacing w:after="0" w:line="2" w:lineRule="exact"/>
        <w:rPr>
          <w:sz w:val="20"/>
          <w:szCs w:val="20"/>
          <w:color w:val="auto"/>
        </w:rPr>
      </w:pPr>
    </w:p>
    <w:p>
      <w:pPr>
        <w:ind w:right="3280"/>
        <w:spacing w:after="0" w:line="238" w:lineRule="auto"/>
        <w:rPr>
          <w:sz w:val="20"/>
          <w:szCs w:val="20"/>
          <w:color w:val="auto"/>
        </w:rPr>
      </w:pPr>
      <w:r>
        <w:rPr>
          <w:rFonts w:ascii="Courier New" w:cs="Courier New" w:eastAsia="Courier New" w:hAnsi="Courier New"/>
          <w:sz w:val="16"/>
          <w:szCs w:val="16"/>
          <w:color w:val="auto"/>
        </w:rPr>
        <w:t>0.30% of the principal amount of the Notes. The Remarketing Dealer will pay to the Company, on the same date the Underwriters pay the purchase price for the Notes, an amount equal to 2.45% of the principal amount of the Notes. The Underwriters may allow, and such dealers may re-allow, discounts not in excess of 0.20% of the principal amount of the Notes to any other Underwriter and certain other dealers. After the initial offering, the offering price and other selling terms of the Notes may be changed by the Underwriters.</w:t>
      </w:r>
    </w:p>
    <w:p>
      <w:pPr>
        <w:spacing w:after="0" w:line="185" w:lineRule="exact"/>
        <w:rPr>
          <w:sz w:val="20"/>
          <w:szCs w:val="20"/>
          <w:color w:val="auto"/>
        </w:rPr>
      </w:pPr>
    </w:p>
    <w:p>
      <w:pPr>
        <w:ind w:right="3180" w:firstLine="375"/>
        <w:spacing w:after="0" w:line="255" w:lineRule="auto"/>
        <w:rPr>
          <w:sz w:val="20"/>
          <w:szCs w:val="20"/>
          <w:color w:val="auto"/>
        </w:rPr>
      </w:pPr>
      <w:r>
        <w:rPr>
          <w:rFonts w:ascii="Courier New" w:cs="Courier New" w:eastAsia="Courier New" w:hAnsi="Courier New"/>
          <w:sz w:val="15"/>
          <w:szCs w:val="15"/>
          <w:color w:val="auto"/>
        </w:rPr>
        <w:t>In connection with the Offering, the Underwriters may engage in transactions that stabilize, maintain or otherwise affect the price of the Notes. Specifically, the Underwriters may overallot the Offering, creating a syndicate short position. Underwriters may bid for and purchase the Notes in the open market to cover such a syndicate short position. In addition, the Underwriters may bid for and purchase the Notes in the open market to stabilize the price of the Notes. These activities may stabilize or maintain the market price of the Notes above independent market levels. The Underwriters are not required to engage in these activities and may end these activities at any time.</w:t>
      </w:r>
    </w:p>
    <w:p>
      <w:pPr>
        <w:spacing w:after="0" w:line="179" w:lineRule="exact"/>
        <w:rPr>
          <w:sz w:val="20"/>
          <w:szCs w:val="20"/>
          <w:color w:val="auto"/>
        </w:rPr>
      </w:pPr>
    </w:p>
    <w:p>
      <w:pPr>
        <w:ind w:right="3180" w:firstLine="375"/>
        <w:spacing w:after="0" w:line="238" w:lineRule="auto"/>
        <w:rPr>
          <w:sz w:val="20"/>
          <w:szCs w:val="20"/>
          <w:color w:val="auto"/>
        </w:rPr>
      </w:pPr>
      <w:r>
        <w:rPr>
          <w:rFonts w:ascii="Courier New" w:cs="Courier New" w:eastAsia="Courier New" w:hAnsi="Courier New"/>
          <w:sz w:val="16"/>
          <w:szCs w:val="16"/>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185" w:lineRule="exact"/>
        <w:rPr>
          <w:sz w:val="20"/>
          <w:szCs w:val="20"/>
          <w:color w:val="auto"/>
        </w:rPr>
      </w:pPr>
    </w:p>
    <w:p>
      <w:pPr>
        <w:ind w:right="3180" w:firstLine="375"/>
        <w:spacing w:after="0" w:line="256" w:lineRule="auto"/>
        <w:rPr>
          <w:sz w:val="20"/>
          <w:szCs w:val="20"/>
          <w:color w:val="auto"/>
        </w:rPr>
      </w:pPr>
      <w:r>
        <w:rPr>
          <w:rFonts w:ascii="Courier New" w:cs="Courier New" w:eastAsia="Courier New" w:hAnsi="Courier New"/>
          <w:sz w:val="15"/>
          <w:szCs w:val="15"/>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served as financial advisor to the Company in connection with the Merger and was paid customary fees in connection therewith. Donaldson, Lufkin &amp; Jenrette Securities Corporation was lead manager, and J.P. Morgan Securities Inc. and Deutsche Bank Securities were co-managers in a public offering of senior notes of the Company completed in</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S-25</w:t>
      </w:r>
    </w:p>
    <w:p>
      <w:pPr>
        <w:sectPr>
          <w:pgSz w:w="11900" w:h="16838" w:orient="portrait"/>
          <w:cols w:equalWidth="0" w:num="1">
            <w:col w:w="10680"/>
          </w:cols>
          <w:pgMar w:left="240" w:top="473" w:right="979" w:bottom="1440" w:gutter="0" w:footer="0" w:header="0"/>
        </w:sectPr>
      </w:pPr>
    </w:p>
    <w:bookmarkStart w:id="26" w:name="page27"/>
    <w:bookmarkEnd w:id="26"/>
    <w:p>
      <w:pPr>
        <w:ind w:right="2719"/>
        <w:spacing w:after="0" w:line="255" w:lineRule="auto"/>
        <w:rPr>
          <w:sz w:val="20"/>
          <w:szCs w:val="20"/>
          <w:color w:val="auto"/>
        </w:rPr>
      </w:pPr>
      <w:r>
        <w:rPr>
          <w:rFonts w:ascii="Courier New" w:cs="Courier New" w:eastAsia="Courier New" w:hAnsi="Courier New"/>
          <w:sz w:val="15"/>
          <w:szCs w:val="15"/>
          <w:color w:val="auto"/>
        </w:rPr>
        <w:t>December 1997. Donaldson, Lufkin &amp; Jenrette Securities Corporation was lead manager, and J.P. Morgan Securities Inc. and Deutsche Bank Securities were co-managers in a public offering of senior notes of the Company completed in September 1997. Affiliates of J.P. Morgan Securities Inc., BancAmerica Robertson Stephens, Chase Securities Inc. and Deutsche Bank Securities are lenders under the Credit Facility and will receive repayment of certain amounts under the Credit Facility from the proceeds of this Offering. As a result, this Offering is subject to Rules 2710(c)(8) and 2720(c)(3)(C) of the Conduct Rules of the National Association of Securities Dealers, Inc. An affiliate of J.P. Morgan Securities Inc. serves as the agent under the Credit Facility and receives customary compensation therefor. An affiliate of Chase Securities Inc. serves as trustee under the Senior Indenture. See "Use of Proceeds."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S-26</w:t>
      </w:r>
    </w:p>
    <w:p>
      <w:pPr>
        <w:sectPr>
          <w:pgSz w:w="11900" w:h="16838" w:orient="portrait"/>
          <w:cols w:equalWidth="0" w:num="1">
            <w:col w:w="10219"/>
          </w:cols>
          <w:pgMar w:left="240" w:top="47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1"/>
        </w:trPr>
        <w:tc>
          <w:tcPr>
            <w:tcW w:w="10220" w:type="dxa"/>
            <w:vAlign w:val="bottom"/>
            <w:gridSpan w:val="2"/>
          </w:tcPr>
          <w:p>
            <w:pPr>
              <w:jc w:val="right"/>
              <w:ind w:right="5082"/>
              <w:spacing w:after="0"/>
              <w:rPr>
                <w:sz w:val="20"/>
                <w:szCs w:val="20"/>
                <w:color w:val="auto"/>
              </w:rPr>
            </w:pPr>
            <w:r>
              <w:rPr>
                <w:rFonts w:ascii="Courier New" w:cs="Courier New" w:eastAsia="Courier New" w:hAnsi="Courier New"/>
                <w:sz w:val="16"/>
                <w:szCs w:val="16"/>
                <w:color w:val="auto"/>
              </w:rPr>
              <w:t>INDEX TO FINANCIAL STATEMENTS</w:t>
            </w:r>
          </w:p>
        </w:tc>
        <w:tc>
          <w:tcPr>
            <w:tcW w:w="840" w:type="dxa"/>
            <w:vAlign w:val="bottom"/>
          </w:tcPr>
          <w:p>
            <w:pPr>
              <w:spacing w:after="0"/>
              <w:rPr>
                <w:sz w:val="15"/>
                <w:szCs w:val="15"/>
                <w:color w:val="auto"/>
              </w:rPr>
            </w:pPr>
          </w:p>
        </w:tc>
      </w:tr>
      <w:tr>
        <w:trPr>
          <w:trHeight w:val="180"/>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USA</w:t>
            </w:r>
          </w:p>
        </w:tc>
        <w:tc>
          <w:tcPr>
            <w:tcW w:w="7500" w:type="dxa"/>
            <w:vAlign w:val="bottom"/>
          </w:tcPr>
          <w:p>
            <w:pPr>
              <w:spacing w:after="0"/>
              <w:rPr>
                <w:sz w:val="20"/>
                <w:szCs w:val="20"/>
                <w:color w:val="auto"/>
              </w:rPr>
            </w:pPr>
            <w:r>
              <w:rPr>
                <w:rFonts w:ascii="Courier New" w:cs="Courier New" w:eastAsia="Courier New" w:hAnsi="Courier New"/>
                <w:sz w:val="16"/>
                <w:szCs w:val="16"/>
                <w:color w:val="auto"/>
              </w:rPr>
              <w:t>WASTE AND WASTE MANAGEMENT</w:t>
            </w:r>
          </w:p>
        </w:tc>
        <w:tc>
          <w:tcPr>
            <w:tcW w:w="840" w:type="dxa"/>
            <w:vAlign w:val="bottom"/>
          </w:tcPr>
          <w:p>
            <w:pPr>
              <w:spacing w:after="0"/>
              <w:rPr>
                <w:sz w:val="15"/>
                <w:szCs w:val="15"/>
                <w:color w:val="auto"/>
              </w:rPr>
            </w:pPr>
          </w:p>
        </w:tc>
      </w:tr>
      <w:tr>
        <w:trPr>
          <w:trHeight w:val="180"/>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COMBINED UNAUDITED</w:t>
            </w:r>
          </w:p>
        </w:tc>
        <w:tc>
          <w:tcPr>
            <w:tcW w:w="7500" w:type="dxa"/>
            <w:vAlign w:val="bottom"/>
          </w:tcPr>
          <w:p>
            <w:pPr>
              <w:spacing w:after="0"/>
              <w:rPr>
                <w:sz w:val="20"/>
                <w:szCs w:val="20"/>
                <w:color w:val="auto"/>
              </w:rPr>
            </w:pPr>
            <w:r>
              <w:rPr>
                <w:rFonts w:ascii="Courier New" w:cs="Courier New" w:eastAsia="Courier New" w:hAnsi="Courier New"/>
                <w:sz w:val="16"/>
                <w:szCs w:val="16"/>
                <w:color w:val="auto"/>
              </w:rPr>
              <w:t>PRO FORMA CONDENSED FINANCIAL STATEMENTS</w:t>
            </w:r>
          </w:p>
        </w:tc>
        <w:tc>
          <w:tcPr>
            <w:tcW w:w="840" w:type="dxa"/>
            <w:vAlign w:val="bottom"/>
          </w:tcPr>
          <w:p>
            <w:pPr>
              <w:spacing w:after="0"/>
              <w:rPr>
                <w:sz w:val="15"/>
                <w:szCs w:val="15"/>
                <w:color w:val="auto"/>
              </w:rPr>
            </w:pPr>
          </w:p>
        </w:tc>
      </w:tr>
      <w:tr>
        <w:trPr>
          <w:trHeight w:val="721"/>
        </w:trPr>
        <w:tc>
          <w:tcPr>
            <w:tcW w:w="27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PAGE</w:t>
            </w:r>
          </w:p>
        </w:tc>
      </w:tr>
      <w:tr>
        <w:trPr>
          <w:trHeight w:val="361"/>
        </w:trPr>
        <w:tc>
          <w:tcPr>
            <w:tcW w:w="10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7"/>
              </w:rPr>
              <w:t>General....................................................................................................</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F-2</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Balance Sheet as of March 31, 1998..................................</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F-3</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Three Months Ended March 31, 1998...</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F-5</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Year Ended December 31, 1997........</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F-6</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Year Ended December 31, 1996........</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F-7</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Year Ended December 31, 1995........</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F-8</w:t>
            </w:r>
          </w:p>
        </w:tc>
      </w:tr>
      <w:tr>
        <w:trPr>
          <w:trHeight w:val="361"/>
        </w:trPr>
        <w:tc>
          <w:tcPr>
            <w:tcW w:w="10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7"/>
              </w:rPr>
              <w:t>Notes to Combined Unaudited Pro Forma Condensed Financial Statements.......................................</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F-9</w:t>
            </w:r>
          </w:p>
        </w:tc>
      </w:tr>
      <w:tr>
        <w:trPr>
          <w:trHeight w:val="541"/>
        </w:trPr>
        <w:tc>
          <w:tcPr>
            <w:tcW w:w="2720" w:type="dxa"/>
            <w:vAlign w:val="bottom"/>
          </w:tcPr>
          <w:p>
            <w:pPr>
              <w:spacing w:after="0"/>
              <w:rPr>
                <w:sz w:val="24"/>
                <w:szCs w:val="24"/>
                <w:color w:val="auto"/>
              </w:rPr>
            </w:pPr>
          </w:p>
        </w:tc>
        <w:tc>
          <w:tcPr>
            <w:tcW w:w="7500" w:type="dxa"/>
            <w:vAlign w:val="bottom"/>
          </w:tcPr>
          <w:p>
            <w:pPr>
              <w:jc w:val="right"/>
              <w:ind w:right="6302"/>
              <w:spacing w:after="0"/>
              <w:rPr>
                <w:sz w:val="20"/>
                <w:szCs w:val="20"/>
                <w:color w:val="auto"/>
              </w:rPr>
            </w:pPr>
            <w:r>
              <w:rPr>
                <w:rFonts w:ascii="Courier New" w:cs="Courier New" w:eastAsia="Courier New" w:hAnsi="Courier New"/>
                <w:sz w:val="16"/>
                <w:szCs w:val="16"/>
                <w:color w:val="auto"/>
              </w:rPr>
              <w:t>F-1</w:t>
            </w:r>
          </w:p>
        </w:tc>
        <w:tc>
          <w:tcPr>
            <w:tcW w:w="840" w:type="dxa"/>
            <w:vAlign w:val="bottom"/>
          </w:tcPr>
          <w:p>
            <w:pPr>
              <w:spacing w:after="0"/>
              <w:rPr>
                <w:sz w:val="24"/>
                <w:szCs w:val="24"/>
                <w:color w:val="auto"/>
              </w:rPr>
            </w:pPr>
          </w:p>
        </w:tc>
      </w:tr>
    </w:tbl>
    <w:p>
      <w:pPr>
        <w:sectPr>
          <w:pgSz w:w="11900" w:h="16838" w:orient="portrait"/>
          <w:cols w:equalWidth="0" w:num="1">
            <w:col w:w="11060"/>
          </w:cols>
          <w:pgMar w:left="240" w:top="473" w:right="599" w:bottom="1440" w:gutter="0" w:footer="0" w:header="0"/>
        </w:sectPr>
      </w:pPr>
    </w:p>
    <w:bookmarkStart w:id="28" w:name="page29"/>
    <w:bookmarkEnd w:id="28"/>
    <w:p>
      <w:pPr>
        <w:jc w:val="center"/>
        <w:ind w:right="2719"/>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2819"/>
        <w:spacing w:after="0"/>
        <w:rPr>
          <w:sz w:val="20"/>
          <w:szCs w:val="20"/>
          <w:color w:val="auto"/>
        </w:rPr>
      </w:pPr>
      <w:r>
        <w:rPr>
          <w:rFonts w:ascii="Courier New" w:cs="Courier New" w:eastAsia="Courier New" w:hAnsi="Courier New"/>
          <w:sz w:val="16"/>
          <w:szCs w:val="16"/>
          <w:color w:val="auto"/>
        </w:rPr>
        <w:t>COMBINED UNAUDITED PRO FORMA CONDENSED FINANCIAL STATEMENTS</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Prospectus Supplement and the accompanying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and as if Waste Management had issued 20 million shares of Waste Management Common Stock as of March 31,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9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473" w:right="1440" w:bottom="1440" w:gutter="0" w:footer="0" w:header="0"/>
        </w:sectPr>
      </w:pPr>
    </w:p>
    <w:bookmarkStart w:id="29" w:name="page30"/>
    <w:bookmarkEnd w:id="29"/>
    <w:p>
      <w:pPr>
        <w:jc w:val="center"/>
        <w:ind w:right="3940"/>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3940"/>
        <w:spacing w:after="0"/>
        <w:rPr>
          <w:sz w:val="20"/>
          <w:szCs w:val="20"/>
          <w:color w:val="auto"/>
        </w:rPr>
      </w:pPr>
      <w:r>
        <w:rPr>
          <w:rFonts w:ascii="Courier New" w:cs="Courier New" w:eastAsia="Courier New" w:hAnsi="Courier New"/>
          <w:sz w:val="16"/>
          <w:szCs w:val="16"/>
          <w:color w:val="auto"/>
        </w:rPr>
        <w:t>COMBINED UNAUDITED PRO FORMA CONDENSED BALANCE SHEET</w:t>
      </w:r>
    </w:p>
    <w:p>
      <w:pPr>
        <w:spacing w:after="0" w:line="17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MARCH 31, 1998</w:t>
      </w:r>
    </w:p>
    <w:p>
      <w:pPr>
        <w:spacing w:after="0" w:line="185" w:lineRule="exact"/>
        <w:rPr>
          <w:sz w:val="20"/>
          <w:szCs w:val="20"/>
          <w:color w:val="auto"/>
        </w:rPr>
      </w:pPr>
    </w:p>
    <w:p>
      <w:pPr>
        <w:ind w:right="3940" w:firstLine="375"/>
        <w:spacing w:after="0" w:line="238" w:lineRule="auto"/>
        <w:rPr>
          <w:sz w:val="20"/>
          <w:szCs w:val="20"/>
          <w:color w:val="auto"/>
        </w:rPr>
      </w:pPr>
      <w:r>
        <w:rPr>
          <w:rFonts w:ascii="Courier New" w:cs="Courier New" w:eastAsia="Courier New" w:hAnsi="Courier New"/>
          <w:sz w:val="16"/>
          <w:szCs w:val="16"/>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8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w w:val="90"/>
              </w:rPr>
              <w:t>PRO</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FORMA</w:t>
            </w:r>
          </w:p>
        </w:tc>
        <w:tc>
          <w:tcPr>
            <w:tcW w:w="2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4"/>
              </w:rPr>
              <w:t>USA WASTE</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ADJUSTMENTS</w:t>
            </w:r>
          </w:p>
        </w:tc>
        <w:tc>
          <w:tcPr>
            <w:tcW w:w="2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5"/>
          </w:tcPr>
          <w:p>
            <w:pPr>
              <w:ind w:left="380"/>
              <w:spacing w:after="0"/>
              <w:rPr>
                <w:sz w:val="20"/>
                <w:szCs w:val="20"/>
                <w:color w:val="auto"/>
              </w:rPr>
            </w:pPr>
            <w:r>
              <w:rPr>
                <w:rFonts w:ascii="Courier New" w:cs="Courier New" w:eastAsia="Courier New" w:hAnsi="Courier New"/>
                <w:sz w:val="16"/>
                <w:szCs w:val="16"/>
                <w:color w:val="auto"/>
                <w:w w:val="96"/>
              </w:rPr>
              <w:t>(IN THOUSANDS, EXCEPT SHARE AND</w:t>
            </w:r>
          </w:p>
        </w:tc>
        <w:tc>
          <w:tcPr>
            <w:tcW w:w="22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PAR VALUE AMOUNTS)</w:t>
            </w:r>
          </w:p>
        </w:tc>
      </w:tr>
      <w:tr>
        <w:trPr>
          <w:trHeight w:val="361"/>
        </w:trPr>
        <w:tc>
          <w:tcPr>
            <w:tcW w:w="5720" w:type="dxa"/>
            <w:vAlign w:val="bottom"/>
          </w:tcPr>
          <w:p>
            <w:pPr>
              <w:jc w:val="right"/>
              <w:ind w:right="2542"/>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46,260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311,861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358,121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Short-term investments....................................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3,053</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3,053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Accounts receivable, 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468,619</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1,448,797</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1,917,416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and other receivables...............................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56,321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26,577</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82,898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Deferred income taxes.....................................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46,196</w:t>
            </w:r>
          </w:p>
        </w:tc>
        <w:tc>
          <w:tcPr>
            <w:tcW w:w="28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46,196</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Costs and estimated earnings in excess of billings 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uncompleted contracts...................................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158,964</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158,964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Prepaid expenses and other................................</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58,891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230,374</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289,265</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current assets..................................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676,287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2,179,626</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2,855,913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Notes and other receivables.................................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22,951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100,044</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122,995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Property and equipment, 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4,601,573</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7,126,426</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(10,922)(a)</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11,617,441</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(99,636)(b)</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1,905,285</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3,674,333</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(66,464)(a)</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5,513,154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 intangible assets, 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126,526</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11,746</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138,272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assets of continuing businesses held for sale...........</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137,995</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137,995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 assets................................................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256,783</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633,830</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(28,124)(c)</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862,489</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7,589,405</w:t>
            </w: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$13,864,000</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(205,146)</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$21,248,259</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196,735</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687,419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884,154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Accrued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185,631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1,683,398</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1,869,029</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Obligation to former Wheelabrator Technologies Inc.</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shareholders............................................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876,232</w:t>
            </w:r>
          </w:p>
        </w:tc>
        <w:tc>
          <w:tcPr>
            <w:tcW w:w="28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(614,400)(d)</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261,832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Deferred revenues.........................................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69,484</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236,339</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305,823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Current maturities of long-term debt......................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46,527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1,025,685</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1,072,212</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current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498,377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4,509,073</w:t>
            </w:r>
          </w:p>
        </w:tc>
        <w:tc>
          <w:tcPr>
            <w:tcW w:w="280" w:type="dxa"/>
            <w:vAlign w:val="bottom"/>
          </w:tcPr>
          <w:p>
            <w:pPr>
              <w:spacing w:after="0"/>
              <w:rPr>
                <w:sz w:val="15"/>
                <w:szCs w:val="15"/>
                <w:color w:val="auto"/>
              </w:rPr>
            </w:pPr>
          </w:p>
        </w:tc>
        <w:tc>
          <w:tcPr>
            <w:tcW w:w="15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(614,400)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4,393,050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Long-term debt, less current maturities.....................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3,584,887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5,398,132</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8,983,019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Deferred income taxes.......................................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323,320</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216,797</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(25,029)(a)</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520,293</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5,205(b)</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Closure, post-closure, and other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407,699</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1,645,663</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(85,557)(b)</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1,967,805</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4,814,283</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11,769,665</w:t>
            </w:r>
          </w:p>
        </w:tc>
        <w:tc>
          <w:tcPr>
            <w:tcW w:w="280" w:type="dxa"/>
            <w:vAlign w:val="bottom"/>
          </w:tcPr>
          <w:p>
            <w:pPr>
              <w:spacing w:after="0"/>
              <w:rPr>
                <w:sz w:val="15"/>
                <w:szCs w:val="15"/>
                <w:color w:val="auto"/>
              </w:rPr>
            </w:pPr>
          </w:p>
        </w:tc>
        <w:tc>
          <w:tcPr>
            <w:tcW w:w="15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(719,781)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15,864,167</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Minority interest in subsidiaries...........................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739,442</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739,442</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572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F-3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40"/>
          </w:cols>
          <w:pgMar w:left="240" w:top="473" w:right="219" w:bottom="1440" w:gutter="0" w:footer="0" w:header="0"/>
        </w:sectPr>
      </w:pPr>
    </w:p>
    <w:bookmarkStart w:id="30" w:name="page31"/>
    <w:bookmarkEnd w:id="30"/>
    <w:p>
      <w:pPr>
        <w:jc w:val="center"/>
        <w:ind w:right="4020"/>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4020"/>
        <w:spacing w:after="0"/>
        <w:rPr>
          <w:sz w:val="20"/>
          <w:szCs w:val="20"/>
          <w:color w:val="auto"/>
        </w:rPr>
      </w:pPr>
      <w:r>
        <w:rPr>
          <w:rFonts w:ascii="Courier New" w:cs="Courier New" w:eastAsia="Courier New" w:hAnsi="Courier New"/>
          <w:sz w:val="16"/>
          <w:szCs w:val="16"/>
          <w:color w:val="auto"/>
        </w:rPr>
        <w:t>COMBINED UNAUDITED PRO FORMA CONDENSED BALANCE SHEET (CONTINUED)</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MARCH 31, 1998</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17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PRO FORMA</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USA WASTE</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MANAGEMENT</w:t>
            </w:r>
          </w:p>
        </w:tc>
        <w:tc>
          <w:tcPr>
            <w:tcW w:w="17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ADJUSTMENTS</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5800" w:type="dxa"/>
            <w:vAlign w:val="bottom"/>
            <w:gridSpan w:val="4"/>
          </w:tcPr>
          <w:p>
            <w:pPr>
              <w:jc w:val="right"/>
              <w:ind w:right="462"/>
              <w:spacing w:after="0"/>
              <w:rPr>
                <w:sz w:val="20"/>
                <w:szCs w:val="20"/>
                <w:color w:val="auto"/>
              </w:rPr>
            </w:pPr>
            <w:r>
              <w:rPr>
                <w:rFonts w:ascii="Courier New" w:cs="Courier New" w:eastAsia="Courier New" w:hAnsi="Courier New"/>
                <w:sz w:val="16"/>
                <w:szCs w:val="16"/>
                <w:color w:val="auto"/>
              </w:rPr>
              <w:t>(IN THOUSANDS, EXCEPT SHARE AND PAR VALUE AMOUNTS)</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w w:val="98"/>
              </w:rPr>
              <w:t>USA Waste: $.01 par value; 10,000,000 shares authorized;</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none issued...........................................</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Waste Management: $1 par value; 50,000,000 shares</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authorized; none outstanding..........................</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Common stock:</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USA Waste: $.01 par value, 500,000,000 shares</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authorized; historical 219,834,550 shares (572,269,938</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 forma shares) issued..............................</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2,198</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3,525(d)</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5,723</w:t>
            </w: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Waste Management: $1 par value; 1,500,000,000 shares</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authorized; 507,101,744 shares issued.................</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507,102</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(507,102)(d)</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Additional paid-in capital................................</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2,436,447</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990,270</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(11,250)(c)</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3,267,468</w:t>
            </w: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(147,999)(d)</w:t>
            </w: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Retained earnings.........................................</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374,459</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1,730,516</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(34,888)(a)</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2,033,929</w:t>
            </w: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(19,284)(b)</w:t>
            </w:r>
          </w:p>
        </w:tc>
        <w:tc>
          <w:tcPr>
            <w:tcW w:w="126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(16,874)(c)</w:t>
            </w: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Accumulated other comprehensive income....................</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(37,498)</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(278,800)(e)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(316,298)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Foreign currency translation adjustment...................</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(253,938)</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(17,469)(a)</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271,407(e)</w:t>
            </w: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Treasury stock:</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USA Waste: 23,485 shares, at cost.......................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(484)</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Waste Management: 40,983,967 shares, at cost............</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(1,265,976)</w:t>
            </w:r>
          </w:p>
        </w:tc>
        <w:tc>
          <w:tcPr>
            <w:tcW w:w="1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1,265,976(d)</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Restricted stock unearned compensation....................</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(10,252)</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(10,252)</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Employee stock benefit trust; 10,886,361 WMI shares, at</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market (7,892,612 pro forma shares).....................</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(335,436)</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(335,436)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Minimum pension liability.................................</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(7,393)</w:t>
            </w:r>
          </w:p>
        </w:tc>
        <w:tc>
          <w:tcPr>
            <w:tcW w:w="1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7,393(e)</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stockholders' equity..............................</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2,775,122</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1,354,893</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514,635</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4,644,650</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$ 7,589,405</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$13,864,000</w:t>
            </w:r>
          </w:p>
        </w:tc>
        <w:tc>
          <w:tcPr>
            <w:tcW w:w="17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(205,146)</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$21,248,259</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1520"/>
          </w:cols>
          <w:pgMar w:left="240" w:top="473" w:right="139" w:bottom="1440" w:gutter="0" w:footer="0" w:header="0"/>
        </w:sectPr>
      </w:pPr>
    </w:p>
    <w:bookmarkStart w:id="31" w:name="page32"/>
    <w:bookmarkEnd w:id="31"/>
    <w:p>
      <w:pPr>
        <w:ind w:left="2340"/>
        <w:spacing w:after="0"/>
        <w:rPr>
          <w:sz w:val="20"/>
          <w:szCs w:val="20"/>
          <w:color w:val="auto"/>
        </w:rPr>
      </w:pPr>
      <w:r>
        <w:rPr>
          <w:rFonts w:ascii="Courier New" w:cs="Courier New" w:eastAsia="Courier New" w:hAnsi="Courier New"/>
          <w:sz w:val="16"/>
          <w:szCs w:val="16"/>
          <w:color w:val="auto"/>
        </w:rPr>
        <w:t>USA WASTE AND WASTE MANAGEMENT</w:t>
      </w: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line="237" w:lineRule="auto"/>
        <w:rPr>
          <w:sz w:val="20"/>
          <w:szCs w:val="20"/>
          <w:color w:val="auto"/>
        </w:rPr>
      </w:pPr>
      <w:r>
        <w:rPr>
          <w:rFonts w:ascii="Courier New" w:cs="Courier New" w:eastAsia="Courier New" w:hAnsi="Courier New"/>
          <w:sz w:val="16"/>
          <w:szCs w:val="16"/>
          <w:color w:val="auto"/>
        </w:rPr>
        <w:t>STATEMENT OF OPERATIONS</w:t>
      </w:r>
    </w:p>
    <w:p>
      <w:pPr>
        <w:spacing w:after="0" w:line="185"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4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THREE MONTHS ENDED MARCH 31, 1998</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80" w:type="dxa"/>
            <w:vAlign w:val="bottom"/>
          </w:tcPr>
          <w:p>
            <w:pPr>
              <w:spacing w:after="0"/>
              <w:rPr>
                <w:sz w:val="15"/>
                <w:szCs w:val="15"/>
                <w:color w:val="auto"/>
              </w:rPr>
            </w:pP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PRO FORMA</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COMBINED</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USA WASTE</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80" w:type="dxa"/>
            <w:vAlign w:val="bottom"/>
          </w:tcPr>
          <w:p>
            <w:pPr>
              <w:spacing w:after="0"/>
              <w:rPr>
                <w:sz w:val="15"/>
                <w:szCs w:val="15"/>
                <w:color w:val="auto"/>
              </w:rPr>
            </w:pP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ADJUSTMENTS</w:t>
            </w:r>
          </w:p>
        </w:tc>
        <w:tc>
          <w:tcPr>
            <w:tcW w:w="18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 FORMA</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15"/>
                <w:szCs w:val="15"/>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769,440</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$ 2,131,621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2,901,061</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ind w:left="200"/>
              <w:spacing w:after="0"/>
              <w:rPr>
                <w:sz w:val="20"/>
                <w:szCs w:val="20"/>
                <w:color w:val="auto"/>
              </w:rPr>
            </w:pPr>
            <w:r>
              <w:rPr>
                <w:rFonts w:ascii="Courier New" w:cs="Courier New" w:eastAsia="Courier New" w:hAnsi="Courier New"/>
                <w:sz w:val="16"/>
                <w:szCs w:val="16"/>
                <w:color w:val="auto"/>
                <w:w w:val="98"/>
              </w:rPr>
              <w:t>shown below)............................................</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397,492</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1,621,985</w:t>
            </w:r>
          </w:p>
        </w:tc>
        <w:tc>
          <w:tcPr>
            <w:tcW w:w="280" w:type="dxa"/>
            <w:vAlign w:val="bottom"/>
          </w:tcPr>
          <w:p>
            <w:pPr>
              <w:spacing w:after="0"/>
              <w:rPr>
                <w:sz w:val="15"/>
                <w:szCs w:val="15"/>
                <w:color w:val="auto"/>
              </w:rPr>
            </w:pP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3,785(b)</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1,757,707</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(265,555)(f)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General and administrative................................</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81,916</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263,882</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(217)(f)</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345,581</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86,110</w:t>
            </w:r>
          </w:p>
        </w:tc>
        <w:tc>
          <w:tcPr>
            <w:tcW w:w="34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(424)(a)</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351,458</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265,772(f)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Loss from continuing operations held for sale,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ind w:left="200"/>
              <w:spacing w:after="0"/>
              <w:rPr>
                <w:sz w:val="20"/>
                <w:szCs w:val="20"/>
                <w:color w:val="auto"/>
              </w:rPr>
            </w:pPr>
            <w:r>
              <w:rPr>
                <w:rFonts w:ascii="Courier New" w:cs="Courier New" w:eastAsia="Courier New" w:hAnsi="Courier New"/>
                <w:sz w:val="16"/>
                <w:szCs w:val="16"/>
                <w:color w:val="auto"/>
                <w:w w:val="98"/>
              </w:rPr>
              <w:t>net of minority interest................................</w:t>
            </w:r>
          </w:p>
        </w:tc>
        <w:tc>
          <w:tcPr>
            <w:tcW w:w="180" w:type="dxa"/>
            <w:vAlign w:val="bottom"/>
          </w:tcPr>
          <w:p>
            <w:pPr>
              <w:spacing w:after="0"/>
              <w:rPr>
                <w:sz w:val="15"/>
                <w:szCs w:val="15"/>
                <w:color w:val="auto"/>
              </w:rPr>
            </w:pPr>
          </w:p>
        </w:tc>
        <w:tc>
          <w:tcPr>
            <w:tcW w:w="10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2,416</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2,416</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565,518</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1,888,283</w:t>
            </w:r>
          </w:p>
        </w:tc>
        <w:tc>
          <w:tcPr>
            <w:tcW w:w="280" w:type="dxa"/>
            <w:vAlign w:val="bottom"/>
          </w:tcPr>
          <w:p>
            <w:pPr>
              <w:spacing w:after="0"/>
              <w:rPr>
                <w:sz w:val="15"/>
                <w:szCs w:val="15"/>
                <w:color w:val="auto"/>
              </w:rPr>
            </w:pP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3,361</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2,457,162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Income from operations....................................</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203,922</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243,338</w:t>
            </w:r>
          </w:p>
        </w:tc>
        <w:tc>
          <w:tcPr>
            <w:tcW w:w="280" w:type="dxa"/>
            <w:vAlign w:val="bottom"/>
          </w:tcPr>
          <w:p>
            <w:pPr>
              <w:spacing w:after="0"/>
              <w:rPr>
                <w:sz w:val="15"/>
                <w:szCs w:val="15"/>
                <w:color w:val="auto"/>
              </w:rPr>
            </w:pP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(3,361)</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443,899</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Other income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(38,368)</w:t>
            </w:r>
          </w:p>
        </w:tc>
        <w:tc>
          <w:tcPr>
            <w:tcW w:w="3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(115,574)</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(153,942)</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Interest income...........................................</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1,799</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4,310</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6,109</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Minority interest.........................................</w:t>
            </w:r>
          </w:p>
        </w:tc>
        <w:tc>
          <w:tcPr>
            <w:tcW w:w="180" w:type="dxa"/>
            <w:vAlign w:val="bottom"/>
          </w:tcPr>
          <w:p>
            <w:pPr>
              <w:spacing w:after="0"/>
              <w:rPr>
                <w:sz w:val="15"/>
                <w:szCs w:val="15"/>
                <w:color w:val="auto"/>
              </w:rPr>
            </w:pPr>
          </w:p>
        </w:tc>
        <w:tc>
          <w:tcPr>
            <w:tcW w:w="10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(25,302)</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(25,302)</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Other income, net.........................................</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34,251</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64,196</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(28,124)(c)</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70,323</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(2,318)</w:t>
            </w:r>
          </w:p>
        </w:tc>
        <w:tc>
          <w:tcPr>
            <w:tcW w:w="3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(72,370)</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(28,124)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(102,812)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Income before income taxes................................</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201,604</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170,968</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(31,485)</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341,087</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80,642</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96,551</w:t>
            </w:r>
          </w:p>
        </w:tc>
        <w:tc>
          <w:tcPr>
            <w:tcW w:w="280" w:type="dxa"/>
            <w:vAlign w:val="bottom"/>
          </w:tcPr>
          <w:p>
            <w:pPr>
              <w:spacing w:after="0"/>
              <w:rPr>
                <w:sz w:val="15"/>
                <w:szCs w:val="15"/>
                <w:color w:val="auto"/>
              </w:rPr>
            </w:pP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170(a)</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161,815</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(4,298)(b)</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(11,250)(c)</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120,962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74,417</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(16,107)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179,272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Basic earnings per common share...........................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0.55</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0.16</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Diluted earnings per common share.........................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0.16</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Weighted average number of common shares outstanding......</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219,201</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455,096</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(125,151)(g)</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549,146</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ind w:left="200"/>
              <w:spacing w:after="0"/>
              <w:rPr>
                <w:sz w:val="20"/>
                <w:szCs w:val="20"/>
                <w:color w:val="auto"/>
              </w:rPr>
            </w:pPr>
            <w:r>
              <w:rPr>
                <w:rFonts w:ascii="Courier New" w:cs="Courier New" w:eastAsia="Courier New" w:hAnsi="Courier New"/>
                <w:sz w:val="16"/>
                <w:szCs w:val="16"/>
                <w:color w:val="auto"/>
                <w:w w:val="98"/>
              </w:rPr>
              <w:t>common shares outstanding...............................</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244,250</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455,296</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(125,206)(g)</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574,340</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440"/>
          </w:cols>
          <w:pgMar w:left="240" w:top="473" w:right="219" w:bottom="1440" w:gutter="0" w:footer="0" w:header="0"/>
        </w:sectPr>
      </w:pPr>
    </w:p>
    <w:bookmarkStart w:id="32" w:name="page33"/>
    <w:bookmarkEnd w:id="32"/>
    <w:p>
      <w:pPr>
        <w:ind w:left="2340"/>
        <w:spacing w:after="0"/>
        <w:rPr>
          <w:sz w:val="20"/>
          <w:szCs w:val="20"/>
          <w:color w:val="auto"/>
        </w:rPr>
      </w:pPr>
      <w:r>
        <w:rPr>
          <w:rFonts w:ascii="Courier New" w:cs="Courier New" w:eastAsia="Courier New" w:hAnsi="Courier New"/>
          <w:sz w:val="16"/>
          <w:szCs w:val="16"/>
          <w:color w:val="auto"/>
        </w:rPr>
        <w:t>USA WASTE AND WASTE MANAGEMENT</w:t>
      </w: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line="237" w:lineRule="auto"/>
        <w:rPr>
          <w:sz w:val="20"/>
          <w:szCs w:val="20"/>
          <w:color w:val="auto"/>
        </w:rPr>
      </w:pPr>
      <w:r>
        <w:rPr>
          <w:rFonts w:ascii="Courier New" w:cs="Courier New" w:eastAsia="Courier New" w:hAnsi="Courier New"/>
          <w:sz w:val="16"/>
          <w:szCs w:val="16"/>
          <w:color w:val="auto"/>
        </w:rPr>
        <w:t>STATEMENT OF OPERATIONS</w:t>
      </w:r>
    </w:p>
    <w:p>
      <w:pPr>
        <w:spacing w:after="0" w:line="185"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 1997</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WASTE</w:t>
            </w:r>
          </w:p>
        </w:tc>
        <w:tc>
          <w:tcPr>
            <w:tcW w:w="18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PRO FORMA</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USA WASTE</w:t>
            </w:r>
          </w:p>
        </w:tc>
        <w:tc>
          <w:tcPr>
            <w:tcW w:w="2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MANAGEMENT</w:t>
            </w:r>
          </w:p>
        </w:tc>
        <w:tc>
          <w:tcPr>
            <w:tcW w:w="18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ADJUSTMENTS</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15"/>
                <w:szCs w:val="15"/>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2,613,768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9,188,582</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$11,802,350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Operating (exclusive of depreciation and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 shown below)...............................</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1,345,769</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7,195,376</w:t>
            </w:r>
          </w:p>
        </w:tc>
        <w:tc>
          <w:tcPr>
            <w:tcW w:w="18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17,766(b)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7,479,745</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(1,079,166)(f)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284,946</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1,129,237</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(939)(f)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1,413,244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303,241</w:t>
            </w:r>
          </w:p>
        </w:tc>
        <w:tc>
          <w:tcPr>
            <w:tcW w:w="20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(990)(a)</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1,382,356</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1,080,105(f)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109,411</w:t>
            </w:r>
          </w:p>
        </w:tc>
        <w:tc>
          <w:tcPr>
            <w:tcW w:w="20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109,411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24,720</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1,626,252</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1,650,972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Loss from continuing operations held for sale,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of 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9,930</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9,930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2,068,087</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9,960,795</w:t>
            </w:r>
          </w:p>
        </w:tc>
        <w:tc>
          <w:tcPr>
            <w:tcW w:w="18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16,776</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12,045,658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operations...............................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545,681</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(772,213)</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(16,776)</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(243,308)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(104,261)</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(446,888)</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(551,149)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7,634</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37,580</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45,214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(45,442)</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14,213</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173,290</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(61,331)(a)</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126,172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(82,414)</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(281,460)</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(61,331)</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(425,205)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463,267</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(1,053,673)</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(78,107)</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(668,513)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189,944</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215,667</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(25,199)(a)</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361,464</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(18,948)(b)</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273,323</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(1,269,340)</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(33,960)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$(1,029,977)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 from</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208,246</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466,601</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(128,315)(g)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546,532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233,371</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466,601</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(153,440)(g)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546,532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1440"/>
          </w:cols>
          <w:pgMar w:left="240" w:top="473" w:right="219" w:bottom="1440" w:gutter="0" w:footer="0" w:header="0"/>
        </w:sectPr>
      </w:pPr>
    </w:p>
    <w:bookmarkStart w:id="33" w:name="page34"/>
    <w:bookmarkEnd w:id="33"/>
    <w:p>
      <w:pPr>
        <w:ind w:left="2340"/>
        <w:spacing w:after="0"/>
        <w:rPr>
          <w:sz w:val="20"/>
          <w:szCs w:val="20"/>
          <w:color w:val="auto"/>
        </w:rPr>
      </w:pPr>
      <w:r>
        <w:rPr>
          <w:rFonts w:ascii="Courier New" w:cs="Courier New" w:eastAsia="Courier New" w:hAnsi="Courier New"/>
          <w:sz w:val="16"/>
          <w:szCs w:val="16"/>
          <w:color w:val="auto"/>
        </w:rPr>
        <w:t>USA WASTE AND WASTE MANAGEMENT</w:t>
      </w: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line="237" w:lineRule="auto"/>
        <w:rPr>
          <w:sz w:val="20"/>
          <w:szCs w:val="20"/>
          <w:color w:val="auto"/>
        </w:rPr>
      </w:pPr>
      <w:r>
        <w:rPr>
          <w:rFonts w:ascii="Courier New" w:cs="Courier New" w:eastAsia="Courier New" w:hAnsi="Courier New"/>
          <w:sz w:val="16"/>
          <w:szCs w:val="16"/>
          <w:color w:val="auto"/>
        </w:rPr>
        <w:t>STATEMENT OF OPERATIONS</w:t>
      </w:r>
    </w:p>
    <w:p>
      <w:pPr>
        <w:spacing w:after="0" w:line="185"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 1996</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40" w:type="dxa"/>
            <w:vAlign w:val="bottom"/>
          </w:tcPr>
          <w:p>
            <w:pPr>
              <w:spacing w:after="0"/>
              <w:rPr>
                <w:sz w:val="24"/>
                <w:szCs w:val="24"/>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PRO FORMA</w:t>
            </w:r>
          </w:p>
        </w:tc>
        <w:tc>
          <w:tcPr>
            <w:tcW w:w="2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USA WASTE</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ADJUSTMENTS</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24"/>
                <w:szCs w:val="24"/>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1,649,131</w:t>
            </w: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$ 9,225,636</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$10,874,767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shown below)............................................</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881,401</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6,660,766</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21,135(b)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6,498,708</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(1,064,594)(f)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200,101</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1,095,459</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(1,089)(f)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1,294,471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191,044</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1,065,683(f)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1,256,727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126,626</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126,626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63,800</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435,464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499,264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held for sale, net of</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1,462,972</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8,191,374</w:t>
            </w:r>
          </w:p>
        </w:tc>
        <w:tc>
          <w:tcPr>
            <w:tcW w:w="24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21,135</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9,675,481</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operations......................................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186,159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1,034,262</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(21,135)</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1,199,286</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(60,497)</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(462,424)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(522,921)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6,699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27,904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34,603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(41,289)</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6,376</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102,014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108,390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(47,422)</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(373,795)</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(421,217)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 before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138,737</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660,467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(21,135)</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778,069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70,398</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436,473</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(20,255)(b)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486,616</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68,339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223,994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(880)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291,453</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0.46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0.37</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0.46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0.54</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number of 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173,993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489,171</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(134,522)(g)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528,642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182,680</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490,029</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(134,758)(g)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537,951</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1440"/>
          </w:cols>
          <w:pgMar w:left="240" w:top="473" w:right="219" w:bottom="1440" w:gutter="0" w:footer="0" w:header="0"/>
        </w:sectPr>
      </w:pPr>
    </w:p>
    <w:bookmarkStart w:id="34" w:name="page35"/>
    <w:bookmarkEnd w:id="34"/>
    <w:p>
      <w:pPr>
        <w:jc w:val="center"/>
        <w:ind w:right="3940"/>
        <w:spacing w:after="0"/>
        <w:rPr>
          <w:sz w:val="20"/>
          <w:szCs w:val="20"/>
          <w:color w:val="auto"/>
        </w:rPr>
      </w:pPr>
      <w:r>
        <w:rPr>
          <w:rFonts w:ascii="Courier New" w:cs="Courier New" w:eastAsia="Courier New" w:hAnsi="Courier New"/>
          <w:sz w:val="16"/>
          <w:szCs w:val="16"/>
          <w:color w:val="auto"/>
        </w:rPr>
        <w:t>USA WASTE AND WASTE MANAGEMENT</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rPr>
          <w:sz w:val="20"/>
          <w:szCs w:val="20"/>
          <w:color w:val="auto"/>
        </w:rPr>
      </w:pPr>
      <w:r>
        <w:rPr>
          <w:rFonts w:ascii="Courier New" w:cs="Courier New" w:eastAsia="Courier New" w:hAnsi="Courier New"/>
          <w:sz w:val="16"/>
          <w:szCs w:val="16"/>
          <w:color w:val="auto"/>
        </w:rPr>
        <w:t>STATEMENT OF OPERATIONS</w:t>
      </w:r>
    </w:p>
    <w:p>
      <w:pPr>
        <w:spacing w:after="0" w:line="184"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 1995</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PRO FORMA</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USA WASTE</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ADJUSTMENTS</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15"/>
                <w:szCs w:val="15"/>
                <w:color w:val="auto"/>
              </w:rPr>
            </w:pPr>
          </w:p>
        </w:tc>
      </w:tr>
      <w:tr>
        <w:trPr>
          <w:trHeight w:val="54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1,216,082</w:t>
            </w: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$ 9,100,225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$10,316,307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shown below)............................................</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672,117</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6,514,932</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22,924(b)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6,176,196</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(1,033,777)(f)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169,686</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1,091,747</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(1,241)(f)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1,260,192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143,878</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1,035,018(f)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1,178,896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26,539</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26,539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4,733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389,359</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394,092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held for sale, net of</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(25,110)</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1,016,953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7,970,928</w:t>
            </w:r>
          </w:p>
        </w:tc>
        <w:tc>
          <w:tcPr>
            <w:tcW w:w="24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22,924</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9,010,805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operations......................................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199,129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1,129,297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(22,924)</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1,305,502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Nonrecurring............................................</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(10,994)</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(58,619)</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(463,861)</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(522,480)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6,682</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34,883</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41,565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(81,367)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4,891</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252,695</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257,586</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(58,040)</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(257,650)</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(315,690)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 before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141,089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871,647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(22,924)</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989,812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60,313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451,741</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(19,169)(b)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492,885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80,776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419,906</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(3,755)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496,927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0.99</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number of 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143,346</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485,346</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(133,470)(g)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495,222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150,575</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500,312</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(137,586)(g)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513,301</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1440"/>
          </w:cols>
          <w:pgMar w:left="240" w:top="473" w:right="219" w:bottom="1440" w:gutter="0" w:footer="0" w:header="0"/>
        </w:sectPr>
      </w:pPr>
    </w:p>
    <w:bookmarkStart w:id="35" w:name="page36"/>
    <w:bookmarkEnd w:id="35"/>
    <w:p>
      <w:pPr>
        <w:ind w:left="2344"/>
        <w:spacing w:after="0"/>
        <w:rPr>
          <w:sz w:val="20"/>
          <w:szCs w:val="20"/>
          <w:color w:val="auto"/>
        </w:rPr>
      </w:pPr>
      <w:r>
        <w:rPr>
          <w:rFonts w:ascii="Courier New" w:cs="Courier New" w:eastAsia="Courier New" w:hAnsi="Courier New"/>
          <w:sz w:val="16"/>
          <w:szCs w:val="16"/>
          <w:color w:val="auto"/>
        </w:rPr>
        <w:t>USA WASTE AND WASTE MANAGEMENT</w:t>
      </w:r>
    </w:p>
    <w:p>
      <w:pPr>
        <w:ind w:left="1504"/>
        <w:spacing w:after="0"/>
        <w:rPr>
          <w:sz w:val="20"/>
          <w:szCs w:val="20"/>
          <w:color w:val="auto"/>
        </w:rPr>
      </w:pPr>
      <w:r>
        <w:rPr>
          <w:rFonts w:ascii="Courier New" w:cs="Courier New" w:eastAsia="Courier New" w:hAnsi="Courier New"/>
          <w:sz w:val="16"/>
          <w:szCs w:val="16"/>
          <w:color w:val="auto"/>
        </w:rPr>
        <w:t>NOTES TO COMBINED UNAUDITED PRO FORMA CONDENSED</w:t>
      </w:r>
    </w:p>
    <w:p>
      <w:pPr>
        <w:ind w:left="2824"/>
        <w:spacing w:after="0" w:line="237" w:lineRule="auto"/>
        <w:rPr>
          <w:sz w:val="20"/>
          <w:szCs w:val="20"/>
          <w:color w:val="auto"/>
        </w:rPr>
      </w:pPr>
      <w:r>
        <w:rPr>
          <w:rFonts w:ascii="Courier New" w:cs="Courier New" w:eastAsia="Courier New" w:hAnsi="Courier New"/>
          <w:sz w:val="16"/>
          <w:szCs w:val="16"/>
          <w:color w:val="auto"/>
        </w:rPr>
        <w:t>FINANCIAL STATEMENTS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 BASIS OF PRESENTATION</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86"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7"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81" w:lineRule="exact"/>
        <w:rPr>
          <w:sz w:val="20"/>
          <w:szCs w:val="20"/>
          <w:color w:val="auto"/>
        </w:rPr>
      </w:pPr>
    </w:p>
    <w:p>
      <w:pPr>
        <w:ind w:left="284" w:hanging="284"/>
        <w:spacing w:after="0"/>
        <w:tabs>
          <w:tab w:leader="none" w:pos="2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ADJUSTMENTS</w:t>
      </w:r>
    </w:p>
    <w:p>
      <w:pPr>
        <w:spacing w:after="0" w:line="184"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9"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84"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1997, USA Waste purchased a 49% limited partner interest in a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23"/>
          </w:cols>
          <w:pgMar w:left="236" w:top="473" w:right="1440" w:bottom="1440" w:gutter="0" w:footer="0" w:header="0"/>
        </w:sectPr>
      </w:pPr>
    </w:p>
    <w:bookmarkStart w:id="36" w:name="page37"/>
    <w:bookmarkEnd w:id="36"/>
    <w:p>
      <w:pPr>
        <w:ind w:left="4"/>
        <w:spacing w:after="0"/>
        <w:rPr>
          <w:sz w:val="20"/>
          <w:szCs w:val="20"/>
          <w:color w:val="auto"/>
        </w:rPr>
      </w:pPr>
      <w:r>
        <w:rPr>
          <w:rFonts w:ascii="Courier New" w:cs="Courier New" w:eastAsia="Courier New" w:hAnsi="Courier New"/>
          <w:sz w:val="16"/>
          <w:szCs w:val="16"/>
          <w:color w:val="auto"/>
        </w:rPr>
        <w:t>2. PRO FORMA ADJUSTMENTS (CONTINUED)</w:t>
      </w:r>
    </w:p>
    <w:p>
      <w:pPr>
        <w:spacing w:after="0" w:line="4"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partnership. An adjustment has been made to reverse USA Waste's equity in the earnings of the limited partnership to account for the transaction as if the companies had been combined since their inception.</w:t>
      </w:r>
    </w:p>
    <w:p>
      <w:pPr>
        <w:spacing w:after="0" w:line="185" w:lineRule="exact"/>
        <w:rPr>
          <w:sz w:val="20"/>
          <w:szCs w:val="20"/>
          <w:color w:val="auto"/>
        </w:rPr>
      </w:pPr>
    </w:p>
    <w:p>
      <w:pPr>
        <w:ind w:left="4" w:right="2719" w:firstLine="371"/>
        <w:spacing w:after="0" w:line="255" w:lineRule="auto"/>
        <w:tabs>
          <w:tab w:leader="none" w:pos="754"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that were issued to reverse certain share repurchases effected by Waste Management. The 20 million shares of Waste Management Common Stock were assumed to be issued through a public sale at an offering price of $32 per share and net issuance costs of 4% with net proceeds of $614,400,000 used to reduce the obligation to former WTI stockholders. The actual proceeds from the Waste Management Common Stock offering did not differ materially from the amounts assumed.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77" w:lineRule="exact"/>
        <w:rPr>
          <w:rFonts w:ascii="Courier New" w:cs="Courier New" w:eastAsia="Courier New" w:hAnsi="Courier New"/>
          <w:sz w:val="15"/>
          <w:szCs w:val="15"/>
          <w:color w:val="auto"/>
        </w:rPr>
      </w:pPr>
    </w:p>
    <w:p>
      <w:pPr>
        <w:ind w:left="4" w:right="2719" w:firstLine="371"/>
        <w:spacing w:after="0" w:line="237" w:lineRule="auto"/>
        <w:tabs>
          <w:tab w:leader="none" w:pos="75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85" w:lineRule="exact"/>
        <w:rPr>
          <w:rFonts w:ascii="Courier New" w:cs="Courier New" w:eastAsia="Courier New" w:hAnsi="Courier New"/>
          <w:sz w:val="16"/>
          <w:szCs w:val="16"/>
          <w:color w:val="auto"/>
        </w:rPr>
      </w:pPr>
    </w:p>
    <w:p>
      <w:pPr>
        <w:jc w:val="both"/>
        <w:ind w:left="4" w:right="2719" w:firstLine="371"/>
        <w:spacing w:after="0" w:line="237" w:lineRule="auto"/>
        <w:tabs>
          <w:tab w:leader="none" w:pos="75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85" w:lineRule="exact"/>
        <w:rPr>
          <w:rFonts w:ascii="Courier New" w:cs="Courier New" w:eastAsia="Courier New" w:hAnsi="Courier New"/>
          <w:sz w:val="16"/>
          <w:szCs w:val="16"/>
          <w:color w:val="auto"/>
        </w:rPr>
      </w:pPr>
    </w:p>
    <w:p>
      <w:pPr>
        <w:ind w:left="4" w:right="2719" w:firstLine="371"/>
        <w:spacing w:after="0" w:line="255" w:lineRule="auto"/>
        <w:tabs>
          <w:tab w:leader="none" w:pos="754"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357" w:lineRule="exact"/>
        <w:rPr>
          <w:rFonts w:ascii="Courier New" w:cs="Courier New" w:eastAsia="Courier New" w:hAnsi="Courier New"/>
          <w:sz w:val="15"/>
          <w:szCs w:val="15"/>
          <w:color w:val="auto"/>
        </w:rPr>
      </w:pPr>
    </w:p>
    <w:p>
      <w:pPr>
        <w:ind w:left="284" w:hanging="284"/>
        <w:spacing w:after="0"/>
        <w:tabs>
          <w:tab w:leader="none" w:pos="2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91"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As previously discussed, in order for the Merger to qualify as a pooling of</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interests, approximately 20 million shares of Waste Management Common Stock were</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issued to reverse certain share repurchases effected by Waste Management. The 20</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million shares were assumed to be issued at an offering price of $32 per share,</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with net issuance costs of 4% and net proceeds to Waste Management of</w:t>
      </w:r>
    </w:p>
    <w:p>
      <w:pPr>
        <w:ind w:left="4"/>
        <w:spacing w:after="0"/>
        <w:rPr>
          <w:sz w:val="20"/>
          <w:szCs w:val="20"/>
          <w:color w:val="auto"/>
        </w:rPr>
      </w:pPr>
      <w:r>
        <w:rPr>
          <w:rFonts w:ascii="Courier New" w:cs="Courier New" w:eastAsia="Courier New" w:hAnsi="Courier New"/>
          <w:sz w:val="16"/>
          <w:szCs w:val="16"/>
          <w:color w:val="auto"/>
        </w:rPr>
        <w:t>$614,400,000. The actual proceeds from the Waste Management Common Stock</w:t>
      </w:r>
    </w:p>
    <w:p>
      <w:pPr>
        <w:ind w:left="4"/>
        <w:spacing w:after="0" w:line="237" w:lineRule="auto"/>
        <w:rPr>
          <w:sz w:val="20"/>
          <w:szCs w:val="20"/>
          <w:color w:val="auto"/>
        </w:rPr>
      </w:pPr>
      <w:r>
        <w:rPr>
          <w:rFonts w:ascii="Courier New" w:cs="Courier New" w:eastAsia="Courier New" w:hAnsi="Courier New"/>
          <w:sz w:val="16"/>
          <w:szCs w:val="16"/>
          <w:color w:val="auto"/>
        </w:rPr>
        <w:t>offering did not differ materially from the</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23"/>
          </w:cols>
          <w:pgMar w:left="236" w:top="473" w:right="1440" w:bottom="1440" w:gutter="0" w:footer="0" w:header="0"/>
        </w:sectPr>
      </w:pPr>
    </w:p>
    <w:bookmarkStart w:id="37" w:name="page38"/>
    <w:bookmarkEnd w:id="37"/>
    <w:p>
      <w:pPr>
        <w:ind w:left="4" w:right="3100" w:hanging="4"/>
        <w:spacing w:after="0" w:line="236" w:lineRule="auto"/>
        <w:tabs>
          <w:tab w:leader="none" w:pos="2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EFFECT OF WASTE MANAGEMENT EQUITY OFFERING ON RESULTS OF OPERATIONS (CONTINUED)</w:t>
      </w:r>
    </w:p>
    <w:p>
      <w:pPr>
        <w:spacing w:after="0" w:line="4" w:lineRule="exact"/>
        <w:rPr>
          <w:rFonts w:ascii="Courier New" w:cs="Courier New" w:eastAsia="Courier New" w:hAnsi="Courier New"/>
          <w:sz w:val="16"/>
          <w:szCs w:val="16"/>
          <w:color w:val="auto"/>
        </w:rPr>
      </w:pPr>
    </w:p>
    <w:p>
      <w:pPr>
        <w:ind w:left="4" w:right="3100"/>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amounts assumed. The assumed proceeds from the sale of stock of $614,400,000, after payment of dividends on such stock based on the historical dividend rate, were used to reduce outstanding indebtedness at an average borrowing rate of 6%. The 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6"/>
                <w:szCs w:val="16"/>
                <w:color w:val="auto"/>
              </w:rPr>
              <w:t>YEAR</w:t>
            </w:r>
          </w:p>
        </w:tc>
        <w:tc>
          <w:tcPr>
            <w:tcW w:w="25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ENDED DECEMBER 31,</w:t>
            </w:r>
          </w:p>
        </w:tc>
        <w:tc>
          <w:tcPr>
            <w:tcW w:w="15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ENDED MARCH 31,</w:t>
            </w:r>
          </w:p>
        </w:tc>
      </w:tr>
      <w:tr>
        <w:trPr>
          <w:trHeight w:val="180"/>
        </w:trPr>
        <w:tc>
          <w:tcPr>
            <w:tcW w:w="534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9"/>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1995</w:t>
            </w:r>
          </w:p>
        </w:tc>
        <w:tc>
          <w:tcPr>
            <w:tcW w:w="220" w:type="dxa"/>
            <w:vAlign w:val="bottom"/>
          </w:tcPr>
          <w:p>
            <w:pPr>
              <w:spacing w:after="0"/>
              <w:rPr>
                <w:sz w:val="15"/>
                <w:szCs w:val="15"/>
                <w:color w:val="auto"/>
              </w:rPr>
            </w:pP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spacing w:after="0"/>
              <w:rPr>
                <w:sz w:val="15"/>
                <w:szCs w:val="15"/>
                <w:color w:val="auto"/>
              </w:rPr>
            </w:pPr>
          </w:p>
        </w:tc>
        <w:tc>
          <w:tcPr>
            <w:tcW w:w="10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gridSpan w:val="7"/>
          </w:tcPr>
          <w:p>
            <w:pPr>
              <w:ind w:left="380"/>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Pro forma income (loss) from 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496,927</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291,453</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(1,029,977)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179,272</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Decrease in interest expense as a result of equity</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offering, net of tax benefit..........................</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20,964</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20,943</w:t>
            </w:r>
          </w:p>
        </w:tc>
        <w:tc>
          <w:tcPr>
            <w:tcW w:w="2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20,915</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5,316</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 forma income (loss) from continuing operations after</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equity offering.......................................</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517,891</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312,396</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(1,009,062)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184,588</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 forma basic earnings per common share from</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 after equity offering...........</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0.58</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0.33</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 forma diluted earnings per common share from</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 after equity offering...........</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0.57</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after equity offering.................................</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509,722</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543,142</w:t>
            </w:r>
          </w:p>
        </w:tc>
        <w:tc>
          <w:tcPr>
            <w:tcW w:w="2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561,032</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563,646</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number of common and potential dilutive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 outstanding after equity offering..............</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527,801</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552,451</w:t>
            </w:r>
          </w:p>
        </w:tc>
        <w:tc>
          <w:tcPr>
            <w:tcW w:w="2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561,032</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588,840</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541"/>
        </w:trPr>
        <w:tc>
          <w:tcPr>
            <w:tcW w:w="53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F-11</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604"/>
          </w:cols>
          <w:pgMar w:left="236" w:top="478" w:right="1059" w:bottom="1440" w:gutter="0" w:footer="0" w:header="0"/>
        </w:sectPr>
      </w:pPr>
    </w:p>
    <w:bookmarkStart w:id="38" w:name="page39"/>
    <w:bookmarkEnd w:id="38"/>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TO ANY REPRESENTATIONS OTHER THAN THOSE CONTAINED OR INCORPORATED BY REFERENCE IN THIS PROSPECTUS SUPPLEMENT AND THE PROSPECTUS AND,</w:t>
      </w:r>
    </w:p>
    <w:tbl>
      <w:tblPr>
        <w:tblLayout w:type="fixed"/>
        <w:tblInd w:w="4" w:type="dxa"/>
        <w:tblCellMar>
          <w:top w:w="0" w:type="dxa"/>
          <w:left w:w="0" w:type="dxa"/>
          <w:bottom w:w="0" w:type="dxa"/>
          <w:right w:w="0" w:type="dxa"/>
        </w:tblCellMar>
      </w:tblPr>
      <w:tr>
        <w:trPr>
          <w:trHeight w:val="178"/>
        </w:trPr>
        <w:tc>
          <w:tcPr>
            <w:tcW w:w="5480" w:type="dxa"/>
            <w:vAlign w:val="bottom"/>
            <w:gridSpan w:val="2"/>
          </w:tcPr>
          <w:p>
            <w:pPr>
              <w:spacing w:after="0" w:line="178" w:lineRule="exact"/>
              <w:rPr>
                <w:sz w:val="20"/>
                <w:szCs w:val="20"/>
                <w:color w:val="auto"/>
              </w:rPr>
            </w:pPr>
            <w:r>
              <w:rPr>
                <w:rFonts w:ascii="Courier New" w:cs="Courier New" w:eastAsia="Courier New" w:hAnsi="Courier New"/>
                <w:sz w:val="16"/>
                <w:szCs w:val="16"/>
                <w:color w:val="auto"/>
                <w:w w:val="98"/>
              </w:rPr>
              <w:t>IF GIVEN OR MADE, SUCH INFORMATION OR REPRESENTATIONS MUST</w:t>
            </w:r>
          </w:p>
        </w:tc>
        <w:tc>
          <w:tcPr>
            <w:tcW w:w="2020" w:type="dxa"/>
            <w:vAlign w:val="bottom"/>
          </w:tcPr>
          <w:p>
            <w:pPr>
              <w:ind w:left="60"/>
              <w:spacing w:after="0" w:line="178" w:lineRule="exact"/>
              <w:rPr>
                <w:sz w:val="20"/>
                <w:szCs w:val="20"/>
                <w:color w:val="auto"/>
              </w:rPr>
            </w:pPr>
            <w:r>
              <w:rPr>
                <w:rFonts w:ascii="Courier New" w:cs="Courier New" w:eastAsia="Courier New" w:hAnsi="Courier New"/>
                <w:sz w:val="16"/>
                <w:szCs w:val="16"/>
                <w:color w:val="auto"/>
                <w:w w:val="96"/>
              </w:rPr>
              <w:t>NOT BE RELIED UPON AS</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HAVING BEEN AUTHORIZED BY THE COMPANY OR ANY OF THE UNDERWRITERS. THIS</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PROSPECTUS SUPPLEMENT AND THE PROSPECTUS DO NOT CONSTITUTE</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w w:val="96"/>
              </w:rPr>
              <w:t>AN OFFER TO SELL OR A</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w w:val="99"/>
              </w:rPr>
              <w:t>SOLICITATION OF AN OFFER TO BUY THE SECURITIES OFFERED HEREBY BY ANYONE IN ANY</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w w:val="98"/>
              </w:rPr>
              <w:t>JURISDICTION IN WHICH SUCH OFFER OR SOLICITATION IS NOT AUTHORIZED, OR IN WHICH</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w w:val="97"/>
              </w:rPr>
              <w:t>THE PERSON MAKING SUCH OFFER OR SOLICITATION IS NOT QUALIFIED TO DO SO OR TO ANY</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PERSON TO WHOM IT IS UNLAWFUL TO MAKE SUCH OFFER OR SOLICITATION. NEITHER THE</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DELIVERY OF THIS PROSPECTUS SUPPLEMENT AND THE PROSPECTUS NOR ANY SALE MADE</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w w:val="98"/>
              </w:rPr>
              <w:t>HEREUNDER AND THEREUNDER SHALL CREATE ANY IMPLICATION THAT</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THE INFORMATION</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CONTAINED HEREIN IS CORRECT AS OF ANY TIME SUBSEQUENT TO ITS DATE.</w:t>
            </w:r>
          </w:p>
        </w:tc>
      </w:tr>
      <w:tr>
        <w:trPr>
          <w:trHeight w:val="361"/>
        </w:trPr>
        <w:tc>
          <w:tcPr>
            <w:tcW w:w="5480" w:type="dxa"/>
            <w:vAlign w:val="bottom"/>
            <w:gridSpan w:val="2"/>
          </w:tcPr>
          <w:p>
            <w:pPr>
              <w:jc w:val="right"/>
              <w:ind w:right="90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24"/>
                <w:szCs w:val="24"/>
                <w:color w:val="auto"/>
              </w:rPr>
            </w:pPr>
          </w:p>
        </w:tc>
      </w:tr>
      <w:tr>
        <w:trPr>
          <w:trHeight w:val="361"/>
        </w:trPr>
        <w:tc>
          <w:tcPr>
            <w:tcW w:w="548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2020" w:type="dxa"/>
            <w:vAlign w:val="bottom"/>
          </w:tcPr>
          <w:p>
            <w:pPr>
              <w:spacing w:after="0"/>
              <w:rPr>
                <w:sz w:val="24"/>
                <w:szCs w:val="24"/>
                <w:color w:val="auto"/>
              </w:rPr>
            </w:pPr>
          </w:p>
        </w:tc>
      </w:tr>
      <w:tr>
        <w:trPr>
          <w:trHeight w:val="541"/>
        </w:trPr>
        <w:tc>
          <w:tcPr>
            <w:tcW w:w="3940" w:type="dxa"/>
            <w:vAlign w:val="bottom"/>
          </w:tcPr>
          <w:p>
            <w:pPr>
              <w:ind w:left="740"/>
              <w:spacing w:after="0"/>
              <w:rPr>
                <w:sz w:val="20"/>
                <w:szCs w:val="20"/>
                <w:color w:val="auto"/>
              </w:rPr>
            </w:pPr>
            <w:r>
              <w:rPr>
                <w:rFonts w:ascii="Courier New" w:cs="Courier New" w:eastAsia="Courier New" w:hAnsi="Courier New"/>
                <w:sz w:val="16"/>
                <w:szCs w:val="16"/>
                <w:color w:val="auto"/>
              </w:rPr>
              <w:t>PROSPECTUS SUPPLEMENT</w:t>
            </w:r>
          </w:p>
        </w:tc>
        <w:tc>
          <w:tcPr>
            <w:tcW w:w="1540" w:type="dxa"/>
            <w:vAlign w:val="bottom"/>
          </w:tcPr>
          <w:p>
            <w:pPr>
              <w:jc w:val="right"/>
              <w:ind w:right="1082"/>
              <w:spacing w:after="0"/>
              <w:rPr>
                <w:sz w:val="20"/>
                <w:szCs w:val="20"/>
                <w:color w:val="auto"/>
              </w:rPr>
            </w:pPr>
            <w:r>
              <w:rPr>
                <w:rFonts w:ascii="Courier New" w:cs="Courier New" w:eastAsia="Courier New" w:hAnsi="Courier New"/>
                <w:sz w:val="16"/>
                <w:szCs w:val="16"/>
                <w:color w:val="auto"/>
                <w:w w:val="93"/>
              </w:rPr>
              <w:t>PAGE</w:t>
            </w:r>
          </w:p>
        </w:tc>
        <w:tc>
          <w:tcPr>
            <w:tcW w:w="2020" w:type="dxa"/>
            <w:vAlign w:val="bottom"/>
          </w:tcPr>
          <w:p>
            <w:pPr>
              <w:spacing w:after="0"/>
              <w:rPr>
                <w:sz w:val="24"/>
                <w:szCs w:val="24"/>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Prospectus Supplement Summary..................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Use of Proceeds................................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Ratios of Earnings to Fixed Charges............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Capitalization.................................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S-7</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Selected Historical and Summary Combined</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97"/>
              </w:rPr>
              <w:t>Unauditied Pro Forma Condensed Financial</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86"/>
              </w:rPr>
              <w:t>Information..................................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S-8</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Description of the Notes.......................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S-12</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Certain United States Federal Income Tax</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86"/>
              </w:rPr>
              <w:t>Considerations...............................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S-21</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Underwriting...................................</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S-25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Legal Matters..................................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S-26</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Index to Financial Statements..................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F-1</w:t>
            </w:r>
          </w:p>
        </w:tc>
        <w:tc>
          <w:tcPr>
            <w:tcW w:w="2020" w:type="dxa"/>
            <w:vAlign w:val="bottom"/>
          </w:tcPr>
          <w:p>
            <w:pPr>
              <w:spacing w:after="0"/>
              <w:rPr>
                <w:sz w:val="15"/>
                <w:szCs w:val="15"/>
                <w:color w:val="auto"/>
              </w:rPr>
            </w:pPr>
          </w:p>
        </w:tc>
      </w:tr>
      <w:tr>
        <w:trPr>
          <w:trHeight w:val="721"/>
        </w:trPr>
        <w:tc>
          <w:tcPr>
            <w:tcW w:w="3940" w:type="dxa"/>
            <w:vAlign w:val="bottom"/>
          </w:tcPr>
          <w:p>
            <w:pPr>
              <w:ind w:left="1680"/>
              <w:spacing w:after="0"/>
              <w:rPr>
                <w:sz w:val="20"/>
                <w:szCs w:val="20"/>
                <w:color w:val="auto"/>
              </w:rPr>
            </w:pPr>
            <w:r>
              <w:rPr>
                <w:rFonts w:ascii="Courier New" w:cs="Courier New" w:eastAsia="Courier New" w:hAnsi="Courier New"/>
                <w:sz w:val="16"/>
                <w:szCs w:val="16"/>
                <w:color w:val="auto"/>
              </w:rPr>
              <w:t>PROSPECTUS</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Available Information..........................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2020" w:type="dxa"/>
            <w:vAlign w:val="bottom"/>
          </w:tcPr>
          <w:p>
            <w:pPr>
              <w:spacing w:after="0"/>
              <w:rPr>
                <w:sz w:val="24"/>
                <w:szCs w:val="24"/>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 by</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86"/>
              </w:rPr>
              <w:t>Reference....................................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The Company....................................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Recent Developments............................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Use of Proceeds................................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Ratios of Earnings to Fixed Charges............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Description of Debt Securities.................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Description of Capital Stock...................</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Plan of Distribution...........................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Validity of Securities.........................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Experts........................................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2020" w:type="dxa"/>
            <w:vAlign w:val="bottom"/>
          </w:tcPr>
          <w:p>
            <w:pPr>
              <w:spacing w:after="0"/>
              <w:rPr>
                <w:sz w:val="15"/>
                <w:szCs w:val="15"/>
                <w:color w:val="auto"/>
              </w:rPr>
            </w:pPr>
          </w:p>
        </w:tc>
      </w:tr>
      <w:tr>
        <w:trPr>
          <w:trHeight w:val="541"/>
        </w:trPr>
        <w:tc>
          <w:tcPr>
            <w:tcW w:w="5480" w:type="dxa"/>
            <w:vAlign w:val="bottom"/>
            <w:gridSpan w:val="2"/>
          </w:tcPr>
          <w:p>
            <w:pPr>
              <w:jc w:val="right"/>
              <w:ind w:right="1082"/>
              <w:spacing w:after="0"/>
              <w:rPr>
                <w:sz w:val="20"/>
                <w:szCs w:val="20"/>
                <w:color w:val="auto"/>
              </w:rPr>
            </w:pPr>
            <w:r>
              <w:rPr>
                <w:rFonts w:ascii="Courier New" w:cs="Courier New" w:eastAsia="Courier New" w:hAnsi="Courier New"/>
                <w:sz w:val="16"/>
                <w:szCs w:val="16"/>
                <w:color w:val="auto"/>
              </w:rPr>
              <w:t>$600,000,000</w:t>
            </w:r>
          </w:p>
        </w:tc>
        <w:tc>
          <w:tcPr>
            <w:tcW w:w="2020" w:type="dxa"/>
            <w:vAlign w:val="bottom"/>
          </w:tcPr>
          <w:p>
            <w:pPr>
              <w:spacing w:after="0"/>
              <w:rPr>
                <w:sz w:val="24"/>
                <w:szCs w:val="24"/>
                <w:color w:val="auto"/>
              </w:rPr>
            </w:pPr>
          </w:p>
        </w:tc>
      </w:tr>
    </w:tbl>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USA WASTE</w:t>
      </w:r>
    </w:p>
    <w:p>
      <w:pPr>
        <w:ind w:left="3104"/>
        <w:spacing w:after="0"/>
        <w:rPr>
          <w:sz w:val="20"/>
          <w:szCs w:val="20"/>
          <w:color w:val="auto"/>
        </w:rPr>
      </w:pPr>
      <w:r>
        <w:rPr>
          <w:rFonts w:ascii="Courier New" w:cs="Courier New" w:eastAsia="Courier New" w:hAnsi="Courier New"/>
          <w:sz w:val="16"/>
          <w:szCs w:val="16"/>
          <w:color w:val="auto"/>
        </w:rPr>
        <w:t>SERVICES, INC.</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6 1/8% MANDATORILY TENDERED</w:t>
      </w:r>
    </w:p>
    <w:p>
      <w:pPr>
        <w:jc w:val="center"/>
        <w:ind w:right="2815"/>
        <w:spacing w:after="0"/>
        <w:rPr>
          <w:sz w:val="20"/>
          <w:szCs w:val="20"/>
          <w:color w:val="auto"/>
        </w:rPr>
      </w:pPr>
      <w:r>
        <w:rPr>
          <w:rFonts w:ascii="Courier New" w:cs="Courier New" w:eastAsia="Courier New" w:hAnsi="Courier New"/>
          <w:sz w:val="16"/>
          <w:szCs w:val="16"/>
          <w:color w:val="auto"/>
        </w:rPr>
        <w:t>SENIOR NOTES DUE 2011</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PROSPECTUS SUPPLEMENT</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DONALDSON, LUFKIN &amp; JENRETTE</w:t>
      </w:r>
    </w:p>
    <w:p>
      <w:pPr>
        <w:ind w:left="2904"/>
        <w:spacing w:after="0"/>
        <w:rPr>
          <w:sz w:val="20"/>
          <w:szCs w:val="20"/>
          <w:color w:val="auto"/>
        </w:rPr>
      </w:pPr>
      <w:r>
        <w:rPr>
          <w:rFonts w:ascii="Courier New" w:cs="Courier New" w:eastAsia="Courier New" w:hAnsi="Courier New"/>
          <w:sz w:val="16"/>
          <w:szCs w:val="16"/>
          <w:color w:val="auto"/>
        </w:rPr>
        <w:t>J.P. MORGAN &amp; CO.</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BANCAMERICA ROBERTSON STEPHENS</w:t>
      </w:r>
    </w:p>
    <w:p>
      <w:pPr>
        <w:ind w:left="2724"/>
        <w:spacing w:after="0"/>
        <w:rPr>
          <w:sz w:val="20"/>
          <w:szCs w:val="20"/>
          <w:color w:val="auto"/>
        </w:rPr>
      </w:pPr>
      <w:r>
        <w:rPr>
          <w:rFonts w:ascii="Courier New" w:cs="Courier New" w:eastAsia="Courier New" w:hAnsi="Courier New"/>
          <w:sz w:val="16"/>
          <w:szCs w:val="16"/>
          <w:color w:val="auto"/>
        </w:rPr>
        <w:t>CHASE SECURITIES INC.</w:t>
      </w:r>
    </w:p>
    <w:p>
      <w:pPr>
        <w:ind w:left="2624"/>
        <w:spacing w:after="0" w:line="237" w:lineRule="auto"/>
        <w:rPr>
          <w:sz w:val="20"/>
          <w:szCs w:val="20"/>
          <w:color w:val="auto"/>
        </w:rPr>
      </w:pPr>
      <w:r>
        <w:rPr>
          <w:rFonts w:ascii="Courier New" w:cs="Courier New" w:eastAsia="Courier New" w:hAnsi="Courier New"/>
          <w:sz w:val="16"/>
          <w:szCs w:val="16"/>
          <w:color w:val="auto"/>
        </w:rPr>
        <w:t>DEUTSCHE BANK SECURITIES</w:t>
      </w:r>
    </w:p>
    <w:p>
      <w:pPr>
        <w:spacing w:after="0" w:line="180"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JULY 14, 1998</w:t>
      </w:r>
    </w:p>
    <w:p>
      <w:pPr>
        <w:spacing w:after="0" w:line="185" w:lineRule="exact"/>
        <w:rPr>
          <w:sz w:val="20"/>
          <w:szCs w:val="20"/>
          <w:color w:val="auto"/>
        </w:rPr>
      </w:pPr>
    </w:p>
    <w:p>
      <w:pPr>
        <w:ind w:left="184" w:hanging="184"/>
        <w:spacing w:after="0"/>
        <w:tabs>
          <w:tab w:leader="none" w:pos="1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3"/>
      </w:cols>
      <w:pgMar w:left="236"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lowerLetter"/>
      <w:start w:val="24"/>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1."/>
      <w:numFmt w:val="decimal"/>
      <w:start w:val="2"/>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4"/>
    </w:lvl>
  </w:abstractNum>
  <w:abstractNum w:abstractNumId="12">
    <w:nsid w:val="7FDCC233"/>
    <w:multiLevelType w:val="hybridMultilevel"/>
    <w:lvl w:ilvl="0">
      <w:lvlJc w:val="left"/>
      <w:lvlText w:val="%1."/>
      <w:numFmt w:val="decimal"/>
      <w:start w:val="3"/>
    </w:lvl>
    <w:lvl w:ilvl="1">
      <w:lvlJc w:val="left"/>
      <w:lvlText w:val="%2"/>
      <w:numFmt w:val="lowerLetter"/>
      <w:start w:val="1"/>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2019-12-20T11:17:03Z</dcterms:created>
  <dcterms:modified xsi:type="dcterms:W3CDTF">2019-12-20T11:17:03Z</dcterms:modified>
</cp:coreProperties>
</file>