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r>
      <w:tr>
        <w:trPr>
          <w:trHeight w:val="493"/>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96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99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568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2014 and 2013</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2014</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7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46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53"/>
        </w:trPr>
        <w:tc>
          <w:tcPr>
            <w:tcW w:w="9900" w:type="dxa"/>
            <w:vAlign w:val="bottom"/>
            <w:gridSpan w:val="12"/>
          </w:tcPr>
          <w:p>
            <w:pPr>
              <w:spacing w:after="0"/>
              <w:rPr>
                <w:sz w:val="20"/>
                <w:szCs w:val="20"/>
                <w:color w:val="auto"/>
              </w:rPr>
            </w:pPr>
            <w:r>
              <w:rPr>
                <w:rFonts w:ascii="Arial" w:cs="Arial" w:eastAsia="Arial" w:hAnsi="Arial"/>
                <w:sz w:val="18"/>
                <w:szCs w:val="18"/>
                <w:color w:val="auto"/>
              </w:rPr>
              <w:t>Supplemental Schedule</w:t>
            </w: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47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Schedule H, Line 4(i) - Schedule of Assets (Held At End of Year)</w:t>
              </w:r>
            </w:hyperlink>
          </w:p>
        </w:tc>
        <w:tc>
          <w:tcPr>
            <w:tcW w:w="4800" w:type="dxa"/>
            <w:vAlign w:val="bottom"/>
            <w:gridSpan w:val="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2014 and 2013, and the related statement of changes in net assets available for benefits for the year ended December 31, 2014. These financial statements are the responsibility of Plan management. Our responsibility is to express an opinion on these financial statements based on our audits.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2014 has been subjected to audit procedures performed in conjunction with the audit of the Plan’s financial statements. The supplementary information is presented for the purpose of additional analysis and is not a required part of the financial statements but includes supplementary information required by the Department of Labor’s Rules and Regulations for Reporting and Disclosure under the Employee Retirement Income Security Act of 1974. The supplementary information is the responsibility of Plan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in the accompanying schedule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the Master Trust (Note 3)</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1,961,567,598</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1,879,605,637</w:t>
            </w:r>
          </w:p>
        </w:tc>
      </w:tr>
      <w:tr>
        <w:trPr>
          <w:trHeight w:val="230"/>
        </w:trPr>
        <w:tc>
          <w:tcPr>
            <w:tcW w:w="20" w:type="dxa"/>
            <w:vAlign w:val="bottom"/>
          </w:tcPr>
          <w:p>
            <w:pPr>
              <w:spacing w:after="0"/>
              <w:rPr>
                <w:sz w:val="20"/>
                <w:szCs w:val="20"/>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investments</w:t>
            </w:r>
          </w:p>
        </w:tc>
        <w:tc>
          <w:tcPr>
            <w:tcW w:w="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1,961,567,598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1,879,605,637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Employee contributions</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766,861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822,284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 contributions</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545,323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567,417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66,733,064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67,640,023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receivables</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68,045,248</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69,029,724</w:t>
            </w:r>
          </w:p>
        </w:tc>
      </w:tr>
      <w:tr>
        <w:trPr>
          <w:trHeight w:val="224"/>
        </w:trPr>
        <w:tc>
          <w:tcPr>
            <w:tcW w:w="87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2,029,612,846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1,948,635,361</w:t>
            </w:r>
          </w:p>
        </w:tc>
        <w:tc>
          <w:tcPr>
            <w:tcW w:w="120" w:type="dxa"/>
            <w:vAlign w:val="bottom"/>
          </w:tcPr>
          <w:p>
            <w:pPr>
              <w:spacing w:after="0"/>
              <w:rPr>
                <w:sz w:val="19"/>
                <w:szCs w:val="19"/>
                <w:color w:val="auto"/>
              </w:rPr>
            </w:pPr>
          </w:p>
        </w:tc>
      </w:tr>
      <w:tr>
        <w:trPr>
          <w:trHeight w:val="107"/>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(6,215,721)</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(4,524,041)</w:t>
            </w: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2,023,397,125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$ 1,944,111,320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2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840" w:type="dxa"/>
            <w:vAlign w:val="bottom"/>
          </w:tcPr>
          <w:p>
            <w:pPr>
              <w:jc w:val="center"/>
              <w:ind w:right="30"/>
              <w:spacing w:after="0"/>
              <w:rPr>
                <w:sz w:val="20"/>
                <w:szCs w:val="20"/>
                <w:color w:val="auto"/>
              </w:rPr>
            </w:pPr>
            <w:r>
              <w:rPr>
                <w:rFonts w:ascii="Arial" w:cs="Arial" w:eastAsia="Arial" w:hAnsi="Arial"/>
                <w:sz w:val="18"/>
                <w:szCs w:val="18"/>
                <w:color w:val="auto"/>
                <w:w w:val="88"/>
              </w:rPr>
              <w:t>Waste Management Retirement Savings Plan</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40" w:type="dxa"/>
            <w:vAlign w:val="bottom"/>
          </w:tcPr>
          <w:p>
            <w:pPr>
              <w:jc w:val="center"/>
              <w:ind w:right="5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40" w:type="dxa"/>
            <w:vAlign w:val="bottom"/>
          </w:tcPr>
          <w:p>
            <w:pPr>
              <w:jc w:val="center"/>
              <w:ind w:right="50"/>
              <w:spacing w:after="0"/>
              <w:rPr>
                <w:sz w:val="20"/>
                <w:szCs w:val="20"/>
                <w:color w:val="auto"/>
              </w:rPr>
            </w:pPr>
            <w:r>
              <w:rPr>
                <w:rFonts w:ascii="Arial" w:cs="Arial" w:eastAsia="Arial" w:hAnsi="Arial"/>
                <w:sz w:val="18"/>
                <w:szCs w:val="18"/>
                <w:color w:val="auto"/>
                <w:w w:val="89"/>
              </w:rPr>
              <w:t>Year Ended December 31, 2014</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34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Employee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90,354,872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700"/>
              <w:spacing w:after="0"/>
              <w:rPr>
                <w:sz w:val="20"/>
                <w:szCs w:val="20"/>
                <w:color w:val="auto"/>
              </w:rPr>
            </w:pPr>
            <w:r>
              <w:rPr>
                <w:rFonts w:ascii="Arial" w:cs="Arial" w:eastAsia="Arial" w:hAnsi="Arial"/>
                <w:sz w:val="18"/>
                <w:szCs w:val="18"/>
                <w:color w:val="auto"/>
              </w:rPr>
              <w:t>Employer</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54,403,813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Rollover</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149,880,162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investment gain from the Master Trust (Note 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123,073,359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tcPr>
          <w:p>
            <w:pPr>
              <w:ind w:left="340"/>
              <w:spacing w:after="0"/>
              <w:rPr>
                <w:sz w:val="20"/>
                <w:szCs w:val="20"/>
                <w:color w:val="auto"/>
              </w:rPr>
            </w:pPr>
            <w:r>
              <w:rPr>
                <w:rFonts w:ascii="Arial" w:cs="Arial" w:eastAsia="Arial" w:hAnsi="Arial"/>
                <w:sz w:val="18"/>
                <w:szCs w:val="18"/>
                <w:color w:val="auto"/>
              </w:rPr>
              <w:t>Interest income on notes receivable from participants</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2,812,929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additions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275,766,450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0" w:type="dxa"/>
            <w:vAlign w:val="bottom"/>
            <w:gridSpan w:val="3"/>
          </w:tcPr>
          <w:p>
            <w:pPr>
              <w:spacing w:after="0"/>
              <w:rPr>
                <w:sz w:val="20"/>
                <w:szCs w:val="20"/>
                <w:color w:val="auto"/>
              </w:rPr>
            </w:pPr>
            <w:r>
              <w:rPr>
                <w:rFonts w:ascii="Arial" w:cs="Arial" w:eastAsia="Arial" w:hAnsi="Arial"/>
                <w:sz w:val="18"/>
                <w:szCs w:val="18"/>
                <w:color w:val="auto"/>
              </w:rPr>
              <w:t>DEDUCTIONS FROM NET ASSETS AVAILABLE FOR BENEFITS:</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Benefits paid to participants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196,999,857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80" w:type="dxa"/>
            <w:vAlign w:val="bottom"/>
            <w:gridSpan w:val="2"/>
          </w:tcPr>
          <w:p>
            <w:pPr>
              <w:ind w:left="1060"/>
              <w:spacing w:after="0"/>
              <w:rPr>
                <w:sz w:val="20"/>
                <w:szCs w:val="20"/>
                <w:color w:val="auto"/>
              </w:rPr>
            </w:pPr>
            <w:r>
              <w:rPr>
                <w:rFonts w:ascii="Arial" w:cs="Arial" w:eastAsia="Arial" w:hAnsi="Arial"/>
                <w:sz w:val="18"/>
                <w:szCs w:val="18"/>
                <w:color w:val="auto"/>
              </w:rPr>
              <w:t>Total deductions</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196,999,857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BEFORE TRANSFERS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78,766,593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0200" w:type="dxa"/>
            <w:vAlign w:val="bottom"/>
            <w:gridSpan w:val="3"/>
          </w:tcPr>
          <w:p>
            <w:pPr>
              <w:spacing w:after="0"/>
              <w:rPr>
                <w:sz w:val="20"/>
                <w:szCs w:val="20"/>
                <w:color w:val="auto"/>
              </w:rPr>
            </w:pPr>
            <w:r>
              <w:rPr>
                <w:rFonts w:ascii="Arial" w:cs="Arial" w:eastAsia="Arial" w:hAnsi="Arial"/>
                <w:sz w:val="18"/>
                <w:szCs w:val="18"/>
                <w:color w:val="auto"/>
              </w:rPr>
              <w:t>TRANSFERS TO THE PLAN</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79,285,805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00" w:type="dxa"/>
            <w:vAlign w:val="bottom"/>
            <w:gridSpan w:val="3"/>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1,944,111,320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tcPr>
          <w:p>
            <w:pPr>
              <w:ind w:left="340"/>
              <w:spacing w:after="0"/>
              <w:rPr>
                <w:sz w:val="20"/>
                <w:szCs w:val="20"/>
                <w:color w:val="auto"/>
              </w:rPr>
            </w:pPr>
            <w:r>
              <w:rPr>
                <w:rFonts w:ascii="Arial" w:cs="Arial" w:eastAsia="Arial" w:hAnsi="Arial"/>
                <w:sz w:val="18"/>
                <w:szCs w:val="18"/>
                <w:color w:val="auto"/>
              </w:rPr>
              <w:t>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2,023,397,125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eligible affiliates (as defined in the Plan) (collectively “Waste Management”). The Plan is subject to the provisions of the Employee Retirement Income Security Act of 1974, as amended (“ERISA”).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Board of Directors of the Company has named the Administrative Committee of the Waste Management Employee Benefit Plans (the “Administrative Committee”) to serve as administrator and fiduciary of the Plan. Waste Management, Inc. has entered into a Defined Contribution Plans Master Trust Agreement (the “Master Trust”) with State Street Bank and Trust Company (“State Street”) whereby State Street serves as trustee of the Plan. Voya Institutional Plan Services, LLC, formerly ING Institutional Plan Services, LLC, serves as recordkeeper.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2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(c) 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Participants may contribute from one percent to 25 percent of their pre-tax compensation, as defined by the Plan, not to exceed certain limits as described in the plan document (“Employee Contribution”). In addition, participants that are age 50 or older are eligible to make pre-tax catch-up contributions not to exceed certain limits described in the Plan document. After-tax contributions are not permitted by the Plan. Participants may also contribute amounts representing distributions from other qualified plans (“Rollover Contributions”). Waste Management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Plan, through its investments in the Master Trust, offers participants diversified investment options. During 2014, the Plan offered the following: (a) 12 common collective trust funds (including 10 target retirement-date funds); (b) five mutual funds; (c) a Company common stock fund (which is an Employee Stock Ownership Plan); (d) a stable value fund, which includes direct investments and investments in common collective trust funds, managed by Galliard Capital Management (“Galliard”); and (e) a self-managed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participant invests in the Company common stock fund, the participant can elect to receive in cash any dividends paid on the common stock in the participant’s account. If a participant does not make such an election, dividends will automatically be reinvested in the Company common stock fund. Each participant who has invested in the Company common stock fund has the right to vote the shares of stock in his or her account with respect to any matter that comes before the shareholders for a vote.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the self-managed account, several restrictions apply and a minimum balance is required to participate. Additionally, if a participant invests in the self-managed account, the participant has the right to vote the shares of securities held in the participant’s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a participant’s account based upon a participant’s proportionate share of the funds within the Master Trust.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Company common stock may be taken in whole shares of common stock or cash.</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2014 and 2013.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2014, Waste Management elected to pay certain audit and legal fees of the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6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6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 collective trust funds herein) are stated at cost, which approximates fair value.</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2014 and 2013, the Plan’s beneficial interest in the net assets of the Master Trust was 98.39% and 98.95%, respectively.</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400" w:type="dxa"/>
            <w:vAlign w:val="bottom"/>
          </w:tcPr>
          <w:p>
            <w:pPr>
              <w:spacing w:after="0"/>
              <w:rPr>
                <w:sz w:val="14"/>
                <w:szCs w:val="14"/>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Master Trust</w:t>
            </w:r>
          </w:p>
        </w:tc>
        <w:tc>
          <w:tcPr>
            <w:tcW w:w="8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Master Trust</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Interest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collective trust funds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729,470,207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w:t>
            </w:r>
          </w:p>
        </w:tc>
        <w:tc>
          <w:tcPr>
            <w:tcW w:w="3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711,493,257</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Stable value fund</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326,846,943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339,126,374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WM common stock</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128,857,131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119,504,017</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Corporate stocks – other than WM common stock</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24,240,291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22,870,460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Mutual funds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777,063,986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706,220,160</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Money market portfolio</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7,572,399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964,187</w:t>
            </w:r>
          </w:p>
        </w:tc>
        <w:tc>
          <w:tcPr>
            <w:tcW w:w="0" w:type="dxa"/>
            <w:vAlign w:val="bottom"/>
          </w:tcPr>
          <w:p>
            <w:pPr>
              <w:spacing w:after="0"/>
              <w:rPr>
                <w:sz w:val="1"/>
                <w:szCs w:val="1"/>
                <w:color w:val="auto"/>
              </w:rPr>
            </w:pPr>
          </w:p>
        </w:tc>
      </w:tr>
      <w:tr>
        <w:trPr>
          <w:trHeight w:val="224"/>
        </w:trPr>
        <w:tc>
          <w:tcPr>
            <w:tcW w:w="5620" w:type="dxa"/>
            <w:vAlign w:val="bottom"/>
          </w:tcPr>
          <w:p>
            <w:pPr>
              <w:ind w:left="1080"/>
              <w:spacing w:after="0"/>
              <w:rPr>
                <w:sz w:val="20"/>
                <w:szCs w:val="20"/>
                <w:color w:val="auto"/>
              </w:rPr>
            </w:pPr>
            <w:r>
              <w:rPr>
                <w:rFonts w:ascii="Arial" w:cs="Arial" w:eastAsia="Arial" w:hAnsi="Arial"/>
                <w:sz w:val="18"/>
                <w:szCs w:val="18"/>
                <w:color w:val="auto"/>
              </w:rPr>
              <w:t>Total investments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1,994,056,905</w:t>
            </w: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1,900,178,455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263,913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226,396</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Cash, non-interest bearing</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1,994,344,061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1,900,548,786</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payable,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19,908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652,689</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Administrative fees payable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742,634</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762,542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1,073,381</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1,993,581,519</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1,899,475,405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responsive investment contracts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(6,296,952)</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(4,570,317)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w w:val="95"/>
              </w:rPr>
              <w:t>Net assets, fully benefit-responsive investment contracts at contract value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1,987,284,567</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1,894,905,088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520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4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$1,961,567,598</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$1,879,605,637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Union Plan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32,013,921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19,869,768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1,993,581,519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1,899,475,405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Adjustment from fair value to contract value for fully benefit-responsive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contracts: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(6,215,721)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(4,524,041)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Union Plan interest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(46,276)</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(6,296,952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(4,570,317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assets, fully benefit-responsive investment contracts at contract value: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$1,955,351,877</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$1,875,081,596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Union Plan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31,932,690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19,823,492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1,987,284,567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1,894,905,088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$128,857,131</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$119,504,017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320,549,991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334,556,057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EuroPacific Growth R6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127,299,843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108,660,536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Vanguard S&amp;P Small Cap 600 Fund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119,719,987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122,231,647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350,173,838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317,231,916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124,640,792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98,025,550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157,597,738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168,530,063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208,785,431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205,986,669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Master Trust’s investment in the Stable Value Fund was $326,846,943 and $339,126,374 at December 31, 2014 and 2013, respectively.</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240" w:top="459" w:right="9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2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640" w:type="dxa"/>
            <w:vAlign w:val="bottom"/>
            <w:gridSpan w:val="3"/>
          </w:tcPr>
          <w:p>
            <w:pPr>
              <w:spacing w:after="0"/>
              <w:rPr>
                <w:sz w:val="20"/>
                <w:szCs w:val="20"/>
                <w:color w:val="auto"/>
              </w:rPr>
            </w:pPr>
            <w:r>
              <w:rPr>
                <w:rFonts w:ascii="Arial" w:cs="Arial" w:eastAsia="Arial" w:hAnsi="Arial"/>
                <w:sz w:val="18"/>
                <w:szCs w:val="18"/>
                <w:color w:val="auto"/>
                <w:w w:val="98"/>
              </w:rPr>
              <w:t>Changes in net assets of the Master Trust for the year ended December 31, 2014, are as follows: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Stable value fund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6,031,388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WM common stock</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Corporate stocks – other than WM common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34,477,148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appreciation in fair value of investments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108,975,221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15,074,730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0" w:type="dxa"/>
            <w:vAlign w:val="bottom"/>
          </w:tcPr>
          <w:p>
            <w:pPr>
              <w:ind w:left="1080"/>
              <w:spacing w:after="0"/>
              <w:rPr>
                <w:sz w:val="20"/>
                <w:szCs w:val="20"/>
                <w:color w:val="auto"/>
              </w:rPr>
            </w:pPr>
            <w:r>
              <w:rPr>
                <w:rFonts w:ascii="Arial" w:cs="Arial" w:eastAsia="Arial" w:hAnsi="Arial"/>
                <w:sz w:val="18"/>
                <w:szCs w:val="18"/>
                <w:color w:val="auto"/>
              </w:rPr>
              <w:t>Total additions</w:t>
            </w: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127,943,372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Administrative fees</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deductions</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3,281,767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60" w:type="dxa"/>
            <w:vAlign w:val="bottom"/>
          </w:tcPr>
          <w:p>
            <w:pPr>
              <w:spacing w:after="0"/>
              <w:rPr>
                <w:sz w:val="19"/>
                <w:szCs w:val="19"/>
                <w:color w:val="auto"/>
              </w:rPr>
            </w:pPr>
          </w:p>
        </w:tc>
        <w:tc>
          <w:tcPr>
            <w:tcW w:w="6280" w:type="dxa"/>
            <w:vAlign w:val="bottom"/>
            <w:gridSpan w:val="2"/>
          </w:tcPr>
          <w:p>
            <w:pPr>
              <w:ind w:left="480"/>
              <w:spacing w:after="0"/>
              <w:rPr>
                <w:sz w:val="20"/>
                <w:szCs w:val="20"/>
                <w:color w:val="auto"/>
              </w:rPr>
            </w:pPr>
            <w:r>
              <w:rPr>
                <w:rFonts w:ascii="Arial" w:cs="Arial" w:eastAsia="Arial" w:hAnsi="Arial"/>
                <w:sz w:val="18"/>
                <w:szCs w:val="18"/>
                <w:color w:val="auto"/>
              </w:rPr>
              <w:t>NET INCREASE BEFORE TRANSFERS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124,661,605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rPr>
                <w:sz w:val="9"/>
                <w:szCs w:val="9"/>
                <w:color w:val="auto"/>
              </w:rPr>
            </w:pPr>
          </w:p>
        </w:tc>
        <w:tc>
          <w:tcPr>
            <w:tcW w:w="48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TRANSFERS IN (a)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167,968,821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360" w:type="dxa"/>
            <w:vAlign w:val="bottom"/>
          </w:tcPr>
          <w:p>
            <w:pPr>
              <w:spacing w:after="0"/>
              <w:rPr>
                <w:sz w:val="24"/>
                <w:szCs w:val="24"/>
                <w:color w:val="auto"/>
              </w:rPr>
            </w:pPr>
          </w:p>
        </w:tc>
        <w:tc>
          <w:tcPr>
            <w:tcW w:w="6280" w:type="dxa"/>
            <w:vAlign w:val="bottom"/>
            <w:gridSpan w:val="2"/>
          </w:tcPr>
          <w:p>
            <w:pPr>
              <w:ind w:left="480"/>
              <w:spacing w:after="0"/>
              <w:rPr>
                <w:sz w:val="20"/>
                <w:szCs w:val="20"/>
                <w:color w:val="auto"/>
              </w:rPr>
            </w:pPr>
            <w:r>
              <w:rPr>
                <w:rFonts w:ascii="Arial" w:cs="Arial" w:eastAsia="Arial" w:hAnsi="Arial"/>
                <w:sz w:val="18"/>
                <w:szCs w:val="18"/>
                <w:color w:val="auto"/>
              </w:rPr>
              <w:t>TRANSFERS OUT (b)</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(200,250,947)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92,379,479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4"/>
                <w:szCs w:val="24"/>
                <w:color w:val="auto"/>
              </w:rPr>
            </w:pPr>
          </w:p>
        </w:tc>
        <w:tc>
          <w:tcPr>
            <w:tcW w:w="6280" w:type="dxa"/>
            <w:vAlign w:val="bottom"/>
            <w:gridSpan w:val="2"/>
          </w:tcPr>
          <w:p>
            <w:pPr>
              <w:ind w:left="480"/>
              <w:spacing w:after="0"/>
              <w:rPr>
                <w:sz w:val="20"/>
                <w:szCs w:val="20"/>
                <w:color w:val="auto"/>
              </w:rPr>
            </w:pPr>
            <w:r>
              <w:rPr>
                <w:rFonts w:ascii="Arial" w:cs="Arial" w:eastAsia="Arial" w:hAnsi="Arial"/>
                <w:sz w:val="18"/>
                <w:szCs w:val="18"/>
                <w:color w:val="auto"/>
              </w:rPr>
              <w:t>NET ASSETS: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1,894,905,088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End of year</w:t>
            </w:r>
          </w:p>
        </w:tc>
        <w:tc>
          <w:tcPr>
            <w:tcW w:w="7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1,987,284,567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123,073,359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124,661,605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(a)</w:t>
        <w:tab/>
        <w:t>Includes contributions, rollovers, transfers and net participant loan activity.</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benefit payments to participants.</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46"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Plan’s investments that represented 5% or more of the Plan’s net assets available for benefits as of December 31, 2014 and 2013 are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2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2014</w:t>
            </w:r>
          </w:p>
        </w:tc>
        <w:tc>
          <w:tcPr>
            <w:tcW w:w="15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$127,942,768</w:t>
            </w:r>
          </w:p>
        </w:tc>
        <w:tc>
          <w:tcPr>
            <w:tcW w:w="5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$118,783,995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316,414,888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331,168,574</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EuroPacific Growth R6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125,281,945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107,859,954</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Vanguard S&amp;P Small Cap 600 Fund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118,436,310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121,476,285</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347,594,793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315,415,443</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Vanguard Total Bond Market Index Institutional Plus Fund (b)</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122,994,523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96,978,763</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153,100,280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164,228,127</w:t>
            </w:r>
          </w:p>
        </w:tc>
        <w:tc>
          <w:tcPr>
            <w:tcW w:w="100" w:type="dxa"/>
            <w:vAlign w:val="bottom"/>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204,458,627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202,956,447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the Plan’s investment in the Stable Value Fund was $322,630,609 and $335,692,615 at December 31, 2014 and 2013, respectively.</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amount represents less than 5% of the Plan’s net assets available for benefits at December 31, 2013.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Plan’s Stable Value Fund are measured by the investment manager using a discounted cash flow methodology at market rates.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31" w:lineRule="exact"/>
        <w:rPr>
          <w:sz w:val="20"/>
          <w:szCs w:val="20"/>
          <w:color w:val="auto"/>
        </w:rPr>
      </w:pPr>
    </w:p>
    <w:p>
      <w:pPr>
        <w:ind w:left="460" w:hanging="452"/>
        <w:spacing w:after="0" w:line="27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color w:val="auto"/>
        </w:rPr>
      </w:pPr>
    </w:p>
    <w:p>
      <w:pPr>
        <w:ind w:left="460" w:right="20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the income approach discounting methodology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incorporates 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stable value fund’s average yield based on actual earnings was 1.58% and 1.62% during 2014 and 2013, respectively, and its average yield based on the interest rate credited to participants was 2.00% and 2.06% during 2014 and 2013,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Plan defines fair value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The Plan had no Level 3 assets at December 31, 2014 or 2013.</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by level, within the fair value hierarchy, a summary of investments of the Master Trust measured at fair value on a recurring basis: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880" w:type="dxa"/>
            <w:vAlign w:val="bottom"/>
          </w:tcPr>
          <w:p>
            <w:pPr>
              <w:ind w:left="360"/>
              <w:spacing w:after="0"/>
              <w:rPr>
                <w:sz w:val="20"/>
                <w:szCs w:val="20"/>
                <w:color w:val="auto"/>
              </w:rPr>
            </w:pPr>
            <w:r>
              <w:rPr>
                <w:rFonts w:ascii="Arial" w:cs="Arial" w:eastAsia="Arial" w:hAnsi="Arial"/>
                <w:sz w:val="18"/>
                <w:szCs w:val="18"/>
                <w:color w:val="auto"/>
              </w:rPr>
              <w:t>WM common stock</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128,857,131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119,504,017</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stocks – other than WM common stock</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24,240,291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22,870,460</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ind w:left="360"/>
              <w:spacing w:after="0"/>
              <w:rPr>
                <w:sz w:val="20"/>
                <w:szCs w:val="20"/>
                <w:color w:val="auto"/>
              </w:rPr>
            </w:pPr>
            <w:r>
              <w:rPr>
                <w:rFonts w:ascii="Arial" w:cs="Arial" w:eastAsia="Arial" w:hAnsi="Arial"/>
                <w:sz w:val="18"/>
                <w:szCs w:val="18"/>
                <w:color w:val="auto"/>
              </w:rPr>
              <w:t>Mutual Funds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EuroPacific growth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127,299,843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108,660,536</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720"/>
              <w:spacing w:after="0"/>
              <w:rPr>
                <w:sz w:val="20"/>
                <w:szCs w:val="20"/>
                <w:color w:val="auto"/>
              </w:rPr>
            </w:pPr>
            <w:r>
              <w:rPr>
                <w:rFonts w:ascii="Arial" w:cs="Arial" w:eastAsia="Arial" w:hAnsi="Arial"/>
                <w:sz w:val="18"/>
                <w:szCs w:val="18"/>
                <w:color w:val="auto"/>
              </w:rPr>
              <w:t>Emerging markets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39,207,790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41,692,377</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Small cap investment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119,719,987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122,231,647</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720"/>
              <w:spacing w:after="0"/>
              <w:rPr>
                <w:sz w:val="20"/>
                <w:szCs w:val="20"/>
                <w:color w:val="auto"/>
              </w:rPr>
            </w:pPr>
            <w:r>
              <w:rPr>
                <w:rFonts w:ascii="Arial" w:cs="Arial" w:eastAsia="Arial" w:hAnsi="Arial"/>
                <w:sz w:val="18"/>
                <w:szCs w:val="18"/>
                <w:color w:val="auto"/>
              </w:rPr>
              <w:t>Stock market index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350,173,838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317,231,916</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Bond market index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124,640,792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98,025,550</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ind w:left="720"/>
              <w:spacing w:after="0"/>
              <w:rPr>
                <w:sz w:val="20"/>
                <w:szCs w:val="20"/>
                <w:color w:val="auto"/>
              </w:rPr>
            </w:pPr>
            <w:r>
              <w:rPr>
                <w:rFonts w:ascii="Arial" w:cs="Arial" w:eastAsia="Arial" w:hAnsi="Arial"/>
                <w:sz w:val="18"/>
                <w:szCs w:val="18"/>
                <w:color w:val="auto"/>
              </w:rPr>
              <w:t>Self-directed mutual funds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16,021,736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18,378,134</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777,063,986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706,220,160</w:t>
            </w:r>
          </w:p>
        </w:tc>
        <w:tc>
          <w:tcPr>
            <w:tcW w:w="100" w:type="dxa"/>
            <w:vAlign w:val="bottom"/>
            <w:shd w:val="clear" w:color="auto" w:fill="CCEEFF"/>
          </w:tcPr>
          <w:p>
            <w:pPr>
              <w:spacing w:after="0"/>
              <w:rPr>
                <w:sz w:val="18"/>
                <w:szCs w:val="18"/>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964,187</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 Level 1</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930,167,356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849,558,824</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720"/>
              <w:spacing w:after="0"/>
              <w:rPr>
                <w:sz w:val="20"/>
                <w:szCs w:val="20"/>
                <w:color w:val="auto"/>
              </w:rPr>
            </w:pPr>
            <w:r>
              <w:rPr>
                <w:rFonts w:ascii="Arial" w:cs="Arial" w:eastAsia="Arial" w:hAnsi="Arial"/>
                <w:sz w:val="18"/>
                <w:szCs w:val="18"/>
                <w:color w:val="auto"/>
              </w:rPr>
              <w:t>Short-term investment fund (a)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2,090,414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1,822,199</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income investment fund (b)</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73,418,103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68,734,970</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720"/>
              <w:spacing w:after="0"/>
              <w:rPr>
                <w:sz w:val="20"/>
                <w:szCs w:val="20"/>
                <w:color w:val="auto"/>
              </w:rPr>
            </w:pPr>
            <w:r>
              <w:rPr>
                <w:rFonts w:ascii="Arial" w:cs="Arial" w:eastAsia="Arial" w:hAnsi="Arial"/>
                <w:sz w:val="18"/>
                <w:szCs w:val="18"/>
                <w:color w:val="auto"/>
              </w:rPr>
              <w:t>Growth investment fund (c)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88,579,688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82,605,485</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Target date retirement funds (d)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565,382,002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558,330,603</w:t>
            </w:r>
          </w:p>
        </w:tc>
        <w:tc>
          <w:tcPr>
            <w:tcW w:w="100" w:type="dxa"/>
            <w:vAlign w:val="bottom"/>
            <w:shd w:val="clear" w:color="auto" w:fill="CCEEFF"/>
          </w:tcPr>
          <w:p>
            <w:pPr>
              <w:spacing w:after="0"/>
              <w:rPr>
                <w:sz w:val="18"/>
                <w:szCs w:val="18"/>
                <w:color w:val="auto"/>
              </w:rPr>
            </w:pPr>
          </w:p>
        </w:tc>
      </w:tr>
      <w:tr>
        <w:trPr>
          <w:trHeight w:val="230"/>
        </w:trPr>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729,470,207</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711,493,257</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portfolio (e)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7,572,399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Stable value fund (f)</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326,846,943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339,126,374</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 Level 2</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1,063,889,549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1,050,619,631</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ind w:left="1440"/>
              <w:spacing w:after="0"/>
              <w:rPr>
                <w:sz w:val="20"/>
                <w:szCs w:val="20"/>
                <w:color w:val="auto"/>
              </w:rPr>
            </w:pPr>
            <w:r>
              <w:rPr>
                <w:rFonts w:ascii="Arial" w:cs="Arial" w:eastAsia="Arial" w:hAnsi="Arial"/>
                <w:sz w:val="18"/>
                <w:szCs w:val="18"/>
                <w:color w:val="auto"/>
              </w:rPr>
              <w:t>Total Investments of the Master Trust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1,994,056,905</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1,900,178,455</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0" w:hanging="452"/>
        <w:spacing w:after="0" w:line="28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2014 and December 31, 2013, the trustee had waived the notice period.</w:t>
      </w:r>
    </w:p>
    <w:p>
      <w:pPr>
        <w:ind w:left="460" w:right="3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category represents a common 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undervalued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2014 and December 31, 2013, the trustee had waived the notice period for participants.</w:t>
      </w:r>
    </w:p>
    <w:p>
      <w:pPr>
        <w:spacing w:after="0" w:line="2"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category represents a common 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2014 and December 31, 2013, the trustee had waived the notice period for participants.</w:t>
      </w:r>
    </w:p>
    <w:p>
      <w:pPr>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category represents common 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2014 and December 31, 2013, there were no redemption restrictions on these funds for participants but each fund requires the Plan to provide sixty days advance notice to liquidate its entire share.</w:t>
      </w:r>
    </w:p>
    <w:p>
      <w:pPr>
        <w:spacing w:after="0" w:line="4"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objective of this fund is to seek maximum current income to the extent consistent with liquidity and preservation of capital and a stable share price of $1.00 per share. This fund has the flexibility to invest broadly in U.S. dollar-denominated securities of domestic and foreign issuers. At December 31, 2014, there were no redemption restrictions on this fund.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 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Plan has received a determination letter from the Internal Revenue Service (the “IRS”) dated April 30, 2015, stating that the Plan, as amended and restated as of January 1, 2015, is in compliance with the applicable requirements of the Internal Revenue Code (the “Code”), subject to the adoption of proposed submitted amendments. The Plan sponsor has committed to timely adopting the proposed amendments. No other amendments have been adopted under the Plan since the issuance of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2014,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2014 and 2013:</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3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$2,023,397,125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$ 1,944,111,320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Amounts pending distribution to participants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(1,932,343)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(832,141)</w:t>
            </w: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responsive investment contracts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6,215,721</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4,524,041</w:t>
            </w:r>
          </w:p>
        </w:tc>
        <w:tc>
          <w:tcPr>
            <w:tcW w:w="120" w:type="dxa"/>
            <w:vAlign w:val="bottom"/>
            <w:shd w:val="clear" w:color="auto" w:fill="CCEEFF"/>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2,027,680,503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1,947,803,220</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$79,285,805</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Amounts pending distribution to participants at December 31, 2013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832,141</w:t>
            </w: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pending distribution to participants at December 31, 2014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(1,932,343)</w:t>
            </w:r>
          </w:p>
        </w:tc>
      </w:tr>
      <w:tr>
        <w:trPr>
          <w:trHeight w:val="202"/>
        </w:trPr>
        <w:tc>
          <w:tcPr>
            <w:tcW w:w="6740" w:type="dxa"/>
            <w:vAlign w:val="bottom"/>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740" w:type="dxa"/>
            <w:vAlign w:val="bottom"/>
          </w:tcPr>
          <w:p>
            <w:pPr>
              <w:ind w:left="540"/>
              <w:spacing w:after="0"/>
              <w:rPr>
                <w:sz w:val="20"/>
                <w:szCs w:val="20"/>
                <w:color w:val="auto"/>
              </w:rPr>
            </w:pPr>
            <w:r>
              <w:rPr>
                <w:rFonts w:ascii="Arial" w:cs="Arial" w:eastAsia="Arial" w:hAnsi="Arial"/>
                <w:sz w:val="18"/>
                <w:szCs w:val="18"/>
                <w:color w:val="auto"/>
              </w:rPr>
              <w:t>investment contracts at December 31, 2013</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(4,524,041)</w:t>
            </w:r>
          </w:p>
        </w:tc>
      </w:tr>
      <w:tr>
        <w:trPr>
          <w:trHeight w:val="202"/>
        </w:trPr>
        <w:tc>
          <w:tcPr>
            <w:tcW w:w="6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contracts at December 31, 2014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6,215,721</w:t>
            </w:r>
          </w:p>
        </w:tc>
        <w:tc>
          <w:tcPr>
            <w:tcW w:w="120" w:type="dxa"/>
            <w:vAlign w:val="bottom"/>
            <w:shd w:val="clear" w:color="auto" w:fill="CCEEFF"/>
          </w:tcPr>
          <w:p>
            <w:pPr>
              <w:spacing w:after="0"/>
              <w:rPr>
                <w:sz w:val="20"/>
                <w:szCs w:val="20"/>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79,877,283</w:t>
            </w:r>
          </w:p>
        </w:tc>
        <w:tc>
          <w:tcPr>
            <w:tcW w:w="1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Certain investments of the Plan are managed by State Street, which is the trustee of the Plan, and TD Ameritrade, Inc., which provides securities brokerage services for the self-managed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the Company’s common stock. Because the Company is the Plan sponsor, transactions involving the Company’s common stock also qualify as party-in-interest transactions. All of these transactions are exempt from the prohibited transactions rules.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EIN: 73-1309529</w:t>
      </w:r>
      <w:r>
        <w:rPr>
          <w:sz w:val="20"/>
          <w:szCs w:val="20"/>
          <w:color w:val="auto"/>
        </w:rPr>
        <w:tab/>
      </w:r>
      <w:r>
        <w:rPr>
          <w:rFonts w:ascii="Arial" w:cs="Arial" w:eastAsia="Arial" w:hAnsi="Arial"/>
          <w:sz w:val="16"/>
          <w:szCs w:val="16"/>
          <w:color w:val="auto"/>
        </w:rPr>
        <w:t>Plan: 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Identity of Issue</w:t>
            </w:r>
          </w:p>
        </w:tc>
        <w:tc>
          <w:tcPr>
            <w:tcW w:w="2720" w:type="dxa"/>
            <w:vAlign w:val="bottom"/>
            <w:tcBorders>
              <w:bottom w:val="single" w:sz="8" w:color="CCEEFF"/>
            </w:tcBorders>
            <w:gridSpan w:val="2"/>
          </w:tcPr>
          <w:p>
            <w:pPr>
              <w:spacing w:after="0"/>
              <w:rPr>
                <w:sz w:val="16"/>
                <w:szCs w:val="16"/>
                <w:color w:val="auto"/>
              </w:rPr>
            </w:pPr>
          </w:p>
        </w:tc>
        <w:tc>
          <w:tcPr>
            <w:tcW w:w="6480" w:type="dxa"/>
            <w:vAlign w:val="bottom"/>
            <w:tcBorders>
              <w:bottom w:val="single" w:sz="8" w:color="auto"/>
            </w:tcBorders>
          </w:tcPr>
          <w:p>
            <w:pPr>
              <w:jc w:val="right"/>
              <w:ind w:right="2356"/>
              <w:spacing w:after="0"/>
              <w:rPr>
                <w:sz w:val="20"/>
                <w:szCs w:val="20"/>
                <w:color w:val="auto"/>
              </w:rPr>
            </w:pPr>
            <w:r>
              <w:rPr>
                <w:rFonts w:ascii="Arial" w:cs="Arial" w:eastAsia="Arial" w:hAnsi="Arial"/>
                <w:sz w:val="14"/>
                <w:szCs w:val="14"/>
                <w:b w:val="1"/>
                <w:bCs w:val="1"/>
                <w:color w:val="auto"/>
              </w:rPr>
              <w:t>Description of Investment</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Current Value</w:t>
            </w:r>
          </w:p>
        </w:tc>
        <w:tc>
          <w:tcPr>
            <w:tcW w:w="100" w:type="dxa"/>
            <w:vAlign w:val="bottom"/>
            <w:tcBorders>
              <w:bottom w:val="single" w:sz="8" w:color="CCEEFF"/>
            </w:tcBorders>
          </w:tcPr>
          <w:p>
            <w:pPr>
              <w:spacing w:after="0"/>
              <w:rPr>
                <w:sz w:val="16"/>
                <w:szCs w:val="16"/>
                <w:color w:val="auto"/>
              </w:rPr>
            </w:pPr>
          </w:p>
        </w:tc>
      </w:tr>
      <w:tr>
        <w:trPr>
          <w:trHeight w:val="210"/>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receivable from participants</w:t>
            </w:r>
          </w:p>
        </w:tc>
        <w:tc>
          <w:tcPr>
            <w:tcW w:w="6480" w:type="dxa"/>
            <w:vAlign w:val="bottom"/>
            <w:shd w:val="clear" w:color="auto" w:fill="CCEEFF"/>
          </w:tcPr>
          <w:p>
            <w:pPr>
              <w:jc w:val="right"/>
              <w:ind w:right="2596"/>
              <w:spacing w:after="0"/>
              <w:rPr>
                <w:sz w:val="20"/>
                <w:szCs w:val="20"/>
                <w:color w:val="auto"/>
              </w:rPr>
            </w:pPr>
            <w:r>
              <w:rPr>
                <w:rFonts w:ascii="Arial" w:cs="Arial" w:eastAsia="Arial" w:hAnsi="Arial"/>
                <w:sz w:val="18"/>
                <w:szCs w:val="18"/>
                <w:color w:val="auto"/>
                <w:w w:val="90"/>
              </w:rPr>
              <w:t>Various maturity dates with an interest rate of 4.25%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$66,733,064</w:t>
            </w:r>
          </w:p>
        </w:tc>
        <w:tc>
          <w:tcPr>
            <w:tcW w:w="10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256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3720" w:type="dxa"/>
            <w:vAlign w:val="bottom"/>
            <w:gridSpan w:val="3"/>
          </w:tcPr>
          <w:p>
            <w:pPr>
              <w:spacing w:after="0"/>
              <w:rPr>
                <w:sz w:val="20"/>
                <w:szCs w:val="20"/>
                <w:color w:val="auto"/>
              </w:rPr>
            </w:pPr>
            <w:r>
              <w:rPr>
                <w:rFonts w:ascii="Arial" w:cs="Arial" w:eastAsia="Arial" w:hAnsi="Arial"/>
                <w:sz w:val="18"/>
                <w:szCs w:val="18"/>
                <w:color w:val="auto"/>
              </w:rPr>
              <w:t>*  Party-in-interest</w:t>
            </w:r>
          </w:p>
        </w:tc>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480" w:type="dxa"/>
            <w:vAlign w:val="bottom"/>
          </w:tcPr>
          <w:p>
            <w:pPr>
              <w:jc w:val="right"/>
              <w:ind w:right="4316"/>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June 19, 2015</w:t>
      </w:r>
      <w:r>
        <w:rPr>
          <w:sz w:val="20"/>
          <w:szCs w:val="20"/>
          <w:color w:val="auto"/>
        </w:rPr>
        <w:tab/>
      </w:r>
      <w:r>
        <w:rPr>
          <w:rFonts w:ascii="Arial" w:cs="Arial" w:eastAsia="Arial" w:hAnsi="Arial"/>
          <w:sz w:val="17"/>
          <w:szCs w:val="17"/>
          <w:color w:val="auto"/>
        </w:rPr>
        <w:t>By: /s/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Gordon Blasius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Member, Administrative Committee of the Waste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Employee Benefit Plans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No. 333-184156) pertaining to the Waste Management Retirement Savings Plan of our report dated June 19, 2015, with respect to the financial statements and supplemental schedule of the Waste Management Retirement Savings Plan included in this Annual Report (Form 11-K)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Weaver &amp;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2019-12-06T03:03:07Z</dcterms:created>
  <dcterms:modified xsi:type="dcterms:W3CDTF">2019-12-06T03:03:07Z</dcterms:modified>
</cp:coreProperties>
</file>