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23,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223520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On February 23, 2011, Waste Management, Inc. (the “Company”) commenced an underwritten public offering of $400,000,000 aggregate principal amount of its 4.60% Senior Notes due 2021 (the “Notes”) under the Company’s Registration Statement on Form S-3 (No. 333-162059) (the “Registration Statement”). The Notes, which will be fully and unconditionally guaranteed by the Company’s wholly owned subsidiary Waste Management Holdings, Inc. (“WM Holdings”), were sold pursuant to an underwriting agreement (the “Underwriting Agreement”) entered into on February 23, 2011 among the Company and WM Holdings and Deutsche Bank Securities Inc. and RBS Securities Inc. as representatives of the several underwriters set forth therein.</w:t>
      </w:r>
    </w:p>
    <w:p>
      <w:pPr>
        <w:spacing w:after="0" w:line="5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and their respective affiliates have, from time to time, performed, and may in the future perform, various financial advisory, investment banking and commercial banking services for the Company, for which they have received or will receive customary fees and expense reimbursements.</w:t>
      </w:r>
    </w:p>
    <w:p>
      <w:pPr>
        <w:spacing w:after="0" w:line="79" w:lineRule="exact"/>
        <w:rPr>
          <w:sz w:val="20"/>
          <w:szCs w:val="20"/>
          <w:color w:val="auto"/>
        </w:rPr>
      </w:pPr>
    </w:p>
    <w:p>
      <w:pPr>
        <w:jc w:val="both"/>
        <w:ind w:right="160" w:firstLine="222"/>
        <w:spacing w:after="0" w:line="259" w:lineRule="auto"/>
        <w:rPr>
          <w:sz w:val="20"/>
          <w:szCs w:val="20"/>
          <w:color w:val="auto"/>
        </w:rPr>
      </w:pPr>
      <w:r>
        <w:rPr>
          <w:rFonts w:ascii="Arial" w:cs="Arial" w:eastAsia="Arial" w:hAnsi="Arial"/>
          <w:sz w:val="18"/>
          <w:szCs w:val="18"/>
          <w:color w:val="auto"/>
        </w:rPr>
        <w:t>The Notes will be issued under an indenture dated as of September 10, 1997, between the Company and The Bank of New York Mellon Trust Company, N.A. (the current successor to Texas Commerce Bank National Association), as trustee (the “Indenture”). The terms of the Notes and the guarantee by WM Holdings will be set forth in an officer’s certificate of the Company (the “Officer’s Certificate”) delivered pursuant to the Indenture. Closing of the issuance and sale of the Notes is scheduled to occur on February 28, 2011.</w:t>
      </w:r>
    </w:p>
    <w:p>
      <w:pPr>
        <w:spacing w:after="0" w:line="79"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Copies of the Underwriting Agreement, the Indenture, the Officer’s Certificate and the guarantee agreement by WM Holdings are being filed as Exhibit 1.1, 4.1, 4.2 and 4.4 to this Form 8-K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Exhibit</w:t>
      </w:r>
    </w:p>
    <w:p>
      <w:pPr>
        <w:ind w:left="120"/>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375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ind w:left="1060" w:right="320" w:hanging="818"/>
        <w:spacing w:after="0" w:line="249" w:lineRule="auto"/>
        <w:tabs>
          <w:tab w:leader="none" w:pos="10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Underwriting Agreement dated February 23, 2011 by and among the Company, WM Holdings and Deutsche Bank Securities Inc. and RBS Securities Inc. as representatives of the several Underwriters named therein.</w:t>
      </w:r>
    </w:p>
    <w:p>
      <w:pPr>
        <w:spacing w:after="0" w:line="1" w:lineRule="exact"/>
        <w:rPr>
          <w:sz w:val="20"/>
          <w:szCs w:val="20"/>
          <w:color w:val="auto"/>
        </w:rPr>
      </w:pPr>
    </w:p>
    <w:p>
      <w:pPr>
        <w:jc w:val="both"/>
        <w:ind w:left="1060" w:right="480" w:hanging="818"/>
        <w:spacing w:after="0" w:line="255" w:lineRule="auto"/>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dated September 10, 1997 by and between the Company and The Bank of New York Mellon Trust Company, N.A. (the current successor to Texas Commerce Bank National Association), as Trustee, relating to senior debt securities of the Company (incorporated by reference to Exhibit 4.1 to Current Report on Form 8-K filed September 24, 1997).</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ind w:left="140"/>
        <w:spacing w:after="0"/>
        <w:rPr>
          <w:sz w:val="20"/>
          <w:szCs w:val="20"/>
          <w:color w:val="auto"/>
        </w:rPr>
      </w:pPr>
      <w:r>
        <w:rPr>
          <w:rFonts w:ascii="Arial" w:cs="Arial" w:eastAsia="Arial" w:hAnsi="Arial"/>
          <w:sz w:val="14"/>
          <w:szCs w:val="14"/>
          <w:color w:val="auto"/>
        </w:rPr>
        <w:t>Exhibit</w:t>
      </w:r>
    </w:p>
    <w:p>
      <w:pPr>
        <w:ind w:left="120"/>
        <w:spacing w:after="0" w:line="231" w:lineRule="auto"/>
        <w:rPr>
          <w:sz w:val="20"/>
          <w:szCs w:val="20"/>
          <w:color w:val="auto"/>
        </w:rPr>
      </w:pPr>
      <w:r>
        <w:rPr>
          <w:rFonts w:ascii="Arial" w:cs="Arial" w:eastAsia="Arial" w:hAnsi="Arial"/>
          <w:sz w:val="14"/>
          <w:szCs w:val="14"/>
          <w:color w:val="auto"/>
        </w:rPr>
        <w:t>Number</w:t>
      </w:r>
    </w:p>
    <w:tbl>
      <w:tblPr>
        <w:tblLayout w:type="fixed"/>
        <w:tblInd w:w="0" w:type="dxa"/>
        <w:tblCellMar>
          <w:top w:w="0" w:type="dxa"/>
          <w:left w:w="0" w:type="dxa"/>
          <w:bottom w:w="0" w:type="dxa"/>
          <w:right w:w="0" w:type="dxa"/>
        </w:tblCellMar>
      </w:tblPr>
      <w:tr>
        <w:trPr>
          <w:trHeight w:val="195"/>
        </w:trPr>
        <w:tc>
          <w:tcPr>
            <w:tcW w:w="70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4.2</w:t>
            </w:r>
          </w:p>
        </w:tc>
        <w:tc>
          <w:tcPr>
            <w:tcW w:w="10720" w:type="dxa"/>
            <w:vAlign w:val="bottom"/>
          </w:tcPr>
          <w:p>
            <w:pPr>
              <w:ind w:left="360"/>
              <w:spacing w:after="0" w:line="195" w:lineRule="exact"/>
              <w:rPr>
                <w:sz w:val="20"/>
                <w:szCs w:val="20"/>
                <w:color w:val="auto"/>
              </w:rPr>
            </w:pPr>
            <w:r>
              <w:rPr>
                <w:rFonts w:ascii="Arial" w:cs="Arial" w:eastAsia="Arial" w:hAnsi="Arial"/>
                <w:sz w:val="18"/>
                <w:szCs w:val="18"/>
                <w:color w:val="auto"/>
              </w:rPr>
              <w:t>Form of Officers’ Certificate delivered pursuant to Section 3.01 of the Indenture establishing the terms and form of the Notes.</w:t>
            </w:r>
          </w:p>
        </w:tc>
      </w:tr>
      <w:tr>
        <w:trPr>
          <w:trHeight w:val="216"/>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10720" w:type="dxa"/>
            <w:vAlign w:val="bottom"/>
          </w:tcPr>
          <w:p>
            <w:pPr>
              <w:ind w:left="360"/>
              <w:spacing w:after="0"/>
              <w:rPr>
                <w:sz w:val="20"/>
                <w:szCs w:val="20"/>
                <w:color w:val="auto"/>
              </w:rPr>
            </w:pPr>
            <w:r>
              <w:rPr>
                <w:rFonts w:ascii="Arial" w:cs="Arial" w:eastAsia="Arial" w:hAnsi="Arial"/>
                <w:sz w:val="18"/>
                <w:szCs w:val="18"/>
                <w:color w:val="auto"/>
              </w:rPr>
              <w:t>Form of Note (included in Exhibit 4.2 above).</w:t>
            </w:r>
          </w:p>
        </w:tc>
      </w:tr>
      <w:tr>
        <w:trPr>
          <w:trHeight w:val="216"/>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0720" w:type="dxa"/>
            <w:vAlign w:val="bottom"/>
          </w:tcPr>
          <w:p>
            <w:pPr>
              <w:ind w:left="360"/>
              <w:spacing w:after="0"/>
              <w:rPr>
                <w:sz w:val="20"/>
                <w:szCs w:val="20"/>
                <w:color w:val="auto"/>
              </w:rPr>
            </w:pPr>
            <w:r>
              <w:rPr>
                <w:rFonts w:ascii="Arial" w:cs="Arial" w:eastAsia="Arial" w:hAnsi="Arial"/>
                <w:sz w:val="18"/>
                <w:szCs w:val="18"/>
                <w:color w:val="auto"/>
                <w:w w:val="98"/>
              </w:rPr>
              <w:t>Form of Guarantee Agreement by WM Holdings in favor of the holders of Waste Management, Inc.’s 4.60% Senior Notes due 2021.</w:t>
            </w:r>
          </w:p>
        </w:tc>
      </w:tr>
      <w:tr>
        <w:trPr>
          <w:trHeight w:val="230"/>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10720" w:type="dxa"/>
            <w:vAlign w:val="bottom"/>
          </w:tcPr>
          <w:p>
            <w:pPr>
              <w:ind w:left="360"/>
              <w:spacing w:after="0"/>
              <w:rPr>
                <w:sz w:val="20"/>
                <w:szCs w:val="20"/>
                <w:color w:val="auto"/>
              </w:rPr>
            </w:pPr>
            <w:r>
              <w:rPr>
                <w:rFonts w:ascii="Arial" w:cs="Arial" w:eastAsia="Arial" w:hAnsi="Arial"/>
                <w:sz w:val="18"/>
                <w:szCs w:val="18"/>
                <w:color w:val="auto"/>
              </w:rPr>
              <w:t>Opinion of Baker Botts L.L.P.</w:t>
            </w:r>
          </w:p>
        </w:tc>
      </w:tr>
      <w:tr>
        <w:trPr>
          <w:trHeight w:val="405"/>
        </w:trPr>
        <w:tc>
          <w:tcPr>
            <w:tcW w:w="700" w:type="dxa"/>
            <w:vAlign w:val="bottom"/>
          </w:tcPr>
          <w:p>
            <w:pPr>
              <w:spacing w:after="0"/>
              <w:rPr>
                <w:sz w:val="24"/>
                <w:szCs w:val="24"/>
                <w:color w:val="auto"/>
              </w:rPr>
            </w:pPr>
          </w:p>
        </w:tc>
        <w:tc>
          <w:tcPr>
            <w:tcW w:w="10720" w:type="dxa"/>
            <w:vAlign w:val="bottom"/>
          </w:tcPr>
          <w:p>
            <w:pPr>
              <w:ind w:left="4960"/>
              <w:spacing w:after="0"/>
              <w:rPr>
                <w:sz w:val="20"/>
                <w:szCs w:val="20"/>
                <w:color w:val="auto"/>
              </w:rPr>
            </w:pPr>
            <w:r>
              <w:rPr>
                <w:rFonts w:ascii="Arial" w:cs="Arial" w:eastAsia="Arial" w:hAnsi="Arial"/>
                <w:sz w:val="18"/>
                <w:szCs w:val="18"/>
                <w:color w:val="auto"/>
              </w:rPr>
              <w:t>3</w:t>
            </w:r>
          </w:p>
        </w:tc>
      </w:tr>
      <w:tr>
        <w:trPr>
          <w:trHeight w:val="226"/>
        </w:trPr>
        <w:tc>
          <w:tcPr>
            <w:tcW w:w="700" w:type="dxa"/>
            <w:vAlign w:val="bottom"/>
            <w:tcBorders>
              <w:bottom w:val="single" w:sz="8" w:color="808080"/>
            </w:tcBorders>
          </w:tcPr>
          <w:p>
            <w:pPr>
              <w:spacing w:after="0"/>
              <w:rPr>
                <w:sz w:val="19"/>
                <w:szCs w:val="19"/>
                <w:color w:val="auto"/>
              </w:rPr>
            </w:pPr>
          </w:p>
        </w:tc>
        <w:tc>
          <w:tcPr>
            <w:tcW w:w="10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25, 2011</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21"/>
        </w:trPr>
        <w:tc>
          <w:tcPr>
            <w:tcW w:w="3560" w:type="dxa"/>
            <w:vAlign w:val="bottom"/>
          </w:tcPr>
          <w:p>
            <w:pPr>
              <w:spacing w:after="0"/>
              <w:rPr>
                <w:sz w:val="24"/>
                <w:szCs w:val="24"/>
                <w:color w:val="auto"/>
              </w:rPr>
            </w:pPr>
          </w:p>
        </w:tc>
        <w:tc>
          <w:tcPr>
            <w:tcW w:w="6180" w:type="dxa"/>
            <w:vAlign w:val="bottom"/>
            <w:gridSpan w:val="2"/>
          </w:tcPr>
          <w:p>
            <w:pPr>
              <w:jc w:val="right"/>
              <w:ind w:right="3890"/>
              <w:spacing w:after="0"/>
              <w:rPr>
                <w:sz w:val="20"/>
                <w:szCs w:val="20"/>
                <w:color w:val="auto"/>
              </w:rPr>
            </w:pPr>
            <w:r>
              <w:rPr>
                <w:rFonts w:ascii="Arial" w:cs="Arial" w:eastAsia="Arial" w:hAnsi="Arial"/>
                <w:sz w:val="18"/>
                <w:szCs w:val="18"/>
                <w:color w:val="auto"/>
              </w:rPr>
              <w:t>4</w:t>
            </w:r>
          </w:p>
        </w:tc>
        <w:tc>
          <w:tcPr>
            <w:tcW w:w="1680" w:type="dxa"/>
            <w:vAlign w:val="bottom"/>
          </w:tcPr>
          <w:p>
            <w:pPr>
              <w:spacing w:after="0"/>
              <w:rPr>
                <w:sz w:val="24"/>
                <w:szCs w:val="24"/>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jc w:val="center"/>
              <w:ind w:right="1072"/>
              <w:spacing w:after="0"/>
              <w:rPr>
                <w:sz w:val="20"/>
                <w:szCs w:val="20"/>
                <w:color w:val="auto"/>
              </w:rPr>
            </w:pPr>
            <w:r>
              <w:rPr>
                <w:rFonts w:ascii="Arial" w:cs="Arial" w:eastAsia="Arial" w:hAnsi="Arial"/>
                <w:sz w:val="18"/>
                <w:szCs w:val="18"/>
                <w:b w:val="1"/>
                <w:bCs w:val="1"/>
                <w:color w:val="auto"/>
              </w:rPr>
              <w:t>INDEX TO EXHIBITS</w:t>
            </w:r>
          </w:p>
        </w:tc>
      </w:tr>
      <w:tr>
        <w:trPr>
          <w:trHeight w:val="365"/>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340" w:type="dxa"/>
            <w:vAlign w:val="bottom"/>
          </w:tcPr>
          <w:p>
            <w:pPr>
              <w:spacing w:after="0"/>
              <w:rPr>
                <w:sz w:val="24"/>
                <w:szCs w:val="24"/>
                <w:color w:val="auto"/>
              </w:rPr>
            </w:pPr>
          </w:p>
        </w:tc>
        <w:tc>
          <w:tcPr>
            <w:tcW w:w="10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w w:val="95"/>
              </w:rPr>
              <w:t>1.1</w:t>
            </w:r>
          </w:p>
        </w:tc>
        <w:tc>
          <w:tcPr>
            <w:tcW w:w="340" w:type="dxa"/>
            <w:vAlign w:val="bottom"/>
          </w:tcPr>
          <w:p>
            <w:pPr>
              <w:spacing w:after="0"/>
              <w:rPr>
                <w:sz w:val="16"/>
                <w:szCs w:val="16"/>
                <w:color w:val="auto"/>
              </w:rPr>
            </w:pPr>
          </w:p>
        </w:tc>
        <w:tc>
          <w:tcPr>
            <w:tcW w:w="10240" w:type="dxa"/>
            <w:vAlign w:val="bottom"/>
          </w:tcPr>
          <w:p>
            <w:pPr>
              <w:spacing w:after="0" w:line="195" w:lineRule="exact"/>
              <w:rPr>
                <w:sz w:val="20"/>
                <w:szCs w:val="20"/>
                <w:color w:val="auto"/>
              </w:rPr>
            </w:pPr>
            <w:r>
              <w:rPr>
                <w:rFonts w:ascii="Arial" w:cs="Arial" w:eastAsia="Arial" w:hAnsi="Arial"/>
                <w:sz w:val="18"/>
                <w:szCs w:val="18"/>
                <w:color w:val="auto"/>
                <w:w w:val="92"/>
              </w:rPr>
              <w:t>Underwriting Agreement dated February 23, 2011 by and among the Company, WM Holdings and Deutsche Bank Securities Inc. and RBS</w:t>
            </w:r>
          </w:p>
        </w:tc>
      </w:tr>
      <w:tr>
        <w:trPr>
          <w:trHeight w:val="216"/>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Securities Inc. as representatives of the several Underwriters named therein.</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3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Indenture dated September 10, 1997 by and between the Company and The Bank of New York Mellon Trust Company, N.A. (the current</w:t>
            </w:r>
          </w:p>
        </w:tc>
      </w:tr>
      <w:tr>
        <w:trPr>
          <w:trHeight w:val="216"/>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successor to Texas Commerce Bank National Association), as Trustee, relating to senior debt securities of the Company (incorporated by</w:t>
            </w:r>
          </w:p>
        </w:tc>
      </w:tr>
      <w:tr>
        <w:trPr>
          <w:trHeight w:val="216"/>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reference to Exhibit 4.1 to Current Report on Form 8-K filed September 24, 1997).</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3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Officers’ Certificate delivered pursuant to Section 3.01 of the Indenture establishing the terms and form of the Notes.</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3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of Note (included in Exhibit 4.2 above).</w:t>
            </w:r>
          </w:p>
        </w:tc>
      </w:tr>
      <w:tr>
        <w:trPr>
          <w:trHeight w:val="216"/>
        </w:trPr>
        <w:tc>
          <w:tcPr>
            <w:tcW w:w="84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3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7"/>
              </w:rPr>
              <w:t>Form of Guarantee Agreement by WM Holdings in favor of the holders of Waste Management, Inc.’s 4.60% Senior Notes due 2021.</w:t>
            </w:r>
          </w:p>
        </w:tc>
      </w:tr>
      <w:tr>
        <w:trPr>
          <w:trHeight w:val="230"/>
        </w:trPr>
        <w:tc>
          <w:tcPr>
            <w:tcW w:w="84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34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Opinion of Baker Botts L.L.P.</w:t>
            </w:r>
          </w:p>
        </w:tc>
      </w:tr>
      <w:tr>
        <w:trPr>
          <w:trHeight w:val="405"/>
        </w:trPr>
        <w:tc>
          <w:tcPr>
            <w:tcW w:w="840" w:type="dxa"/>
            <w:vAlign w:val="bottom"/>
          </w:tcPr>
          <w:p>
            <w:pPr>
              <w:spacing w:after="0"/>
              <w:rPr>
                <w:sz w:val="24"/>
                <w:szCs w:val="24"/>
                <w:color w:val="auto"/>
              </w:rPr>
            </w:pPr>
          </w:p>
        </w:tc>
        <w:tc>
          <w:tcPr>
            <w:tcW w:w="10580" w:type="dxa"/>
            <w:vAlign w:val="bottom"/>
            <w:gridSpan w:val="2"/>
          </w:tcPr>
          <w:p>
            <w:pPr>
              <w:jc w:val="right"/>
              <w:ind w:right="5572"/>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95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$400,000,000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4.60% Senior Notes due 2021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23, 2011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named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 hereto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RBS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Washington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 06901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Waste Management,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named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Schedule II 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you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are acting as representatives, the principal amounts of its securities identified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Schedule I hereto (the “</w:t>
      </w:r>
      <w:r>
        <w:rPr>
          <w:rFonts w:ascii="Arial" w:cs="Arial" w:eastAsia="Arial" w:hAnsi="Arial"/>
          <w:sz w:val="16"/>
          <w:szCs w:val="16"/>
          <w:u w:val="single" w:color="auto"/>
          <w:color w:val="auto"/>
        </w:rPr>
        <w:t>Notes</w:t>
      </w:r>
      <w:r>
        <w:rPr>
          <w:rFonts w:ascii="Arial" w:cs="Arial" w:eastAsia="Arial" w:hAnsi="Arial"/>
          <w:sz w:val="16"/>
          <w:szCs w:val="16"/>
          <w:color w:val="auto"/>
        </w:rPr>
        <w:t>”), to be issued under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as of September 10, 1997, between the Company and The Bank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Mellon Trust Company, N.A. (as the current successor to the initial trustee, Texas Commerce Bank National Association),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and to be guaranteed on a senior unsecured basis (the “</w:t>
      </w:r>
      <w:r>
        <w:rPr>
          <w:rFonts w:ascii="Arial" w:cs="Arial" w:eastAsia="Arial" w:hAnsi="Arial"/>
          <w:sz w:val="16"/>
          <w:szCs w:val="16"/>
          <w:u w:val="single" w:color="auto"/>
          <w:color w:val="auto"/>
        </w:rPr>
        <w:t>Guarantee</w:t>
      </w:r>
      <w:r>
        <w:rPr>
          <w:rFonts w:ascii="Arial" w:cs="Arial" w:eastAsia="Arial" w:hAnsi="Arial"/>
          <w:sz w:val="16"/>
          <w:szCs w:val="16"/>
          <w:color w:val="auto"/>
        </w:rPr>
        <w:t>”) by Waste Management Holdings, Inc. (“</w:t>
      </w:r>
      <w:r>
        <w:rPr>
          <w:rFonts w:ascii="Arial" w:cs="Arial" w:eastAsia="Arial" w:hAnsi="Arial"/>
          <w:sz w:val="16"/>
          <w:szCs w:val="16"/>
          <w:u w:val="single" w:color="auto"/>
          <w:color w:val="auto"/>
        </w:rPr>
        <w:t>Holdings</w:t>
      </w:r>
      <w:r>
        <w:rPr>
          <w:rFonts w:ascii="Arial" w:cs="Arial" w:eastAsia="Arial" w:hAnsi="Arial"/>
          <w:sz w:val="16"/>
          <w:szCs w:val="16"/>
          <w:color w:val="auto"/>
        </w:rPr>
        <w:t>”) pursuant to a guarantee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in favor of the holders of the Notes to be dated as of the Closing Date (as defined in Section 3 hereof). The Notes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Guarantee are sometimes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Any reference herein to the Registration Statement, the Preliminary Prospectus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Final Prospectus shall be deemed to refer to and include the documents incorporated by reference therein pursuant to Item 12 of Form S-3 under the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were filed under the Exchange Act on or before the Effective Date of the Registration Statement or the date of the Preliminary Prospectus or the Final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as the case may be; and any reference herein to the terms “amend,” “amendment” or “supplement” with respect to the Registration Statement,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Preliminary Prospectus or the Final Prospectus shall be deemed to refer to and include the filing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right="120"/>
        <w:spacing w:after="0" w:line="277" w:lineRule="auto"/>
        <w:rPr>
          <w:sz w:val="20"/>
          <w:szCs w:val="20"/>
          <w:color w:val="auto"/>
        </w:rPr>
      </w:pPr>
      <w:r>
        <w:rPr>
          <w:rFonts w:ascii="Arial" w:cs="Arial" w:eastAsia="Arial" w:hAnsi="Arial"/>
          <w:sz w:val="18"/>
          <w:szCs w:val="18"/>
          <w:color w:val="auto"/>
        </w:rPr>
        <w:t>document under the Exchange Act after the Effective Date of the Registration Statement or the date of the Preliminary Prospectus or the Final Prospectus, as the case may be, deemed to be incorporated therein by reference. Certain terms used herein are defined in Section 18 hereof.</w:t>
      </w:r>
    </w:p>
    <w:p>
      <w:pPr>
        <w:spacing w:after="0" w:line="62"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At or prior to the Time of Sale, the Company had prepared the following information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Act) listed on Annex A hereto.</w:t>
      </w:r>
    </w:p>
    <w:p>
      <w:pPr>
        <w:spacing w:after="0" w:line="62" w:lineRule="exact"/>
        <w:rPr>
          <w:sz w:val="20"/>
          <w:szCs w:val="20"/>
          <w:color w:val="auto"/>
        </w:rPr>
      </w:pPr>
    </w:p>
    <w:p>
      <w:pPr>
        <w:ind w:right="80" w:firstLine="233"/>
        <w:spacing w:after="0" w:line="277"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Company and Holdings represents and warrants to, and agrees with, each Underwriter as set forth below in this Section 1.</w:t>
      </w:r>
    </w:p>
    <w:p>
      <w:pPr>
        <w:spacing w:after="0" w:line="62" w:lineRule="exact"/>
        <w:rPr>
          <w:rFonts w:ascii="Arial" w:cs="Arial" w:eastAsia="Arial" w:hAnsi="Arial"/>
          <w:sz w:val="18"/>
          <w:szCs w:val="18"/>
          <w:color w:val="auto"/>
        </w:rPr>
      </w:pPr>
    </w:p>
    <w:p>
      <w:pPr>
        <w:ind w:left="240" w:right="20" w:firstLine="221"/>
        <w:spacing w:after="0" w:line="289" w:lineRule="auto"/>
        <w:tabs>
          <w:tab w:leader="none" w:pos="710" w:val="left"/>
        </w:tabs>
        <w:numPr>
          <w:ilvl w:val="2"/>
          <w:numId w:val="2"/>
        </w:numPr>
        <w:rPr>
          <w:rFonts w:ascii="Arial" w:cs="Arial" w:eastAsia="Arial" w:hAnsi="Arial"/>
          <w:sz w:val="16"/>
          <w:szCs w:val="16"/>
          <w:color w:val="auto"/>
        </w:rPr>
      </w:pPr>
      <w:r>
        <w:rPr>
          <w:rFonts w:ascii="Arial" w:cs="Arial" w:eastAsia="Arial" w:hAnsi="Arial"/>
          <w:sz w:val="16"/>
          <w:szCs w:val="16"/>
          <w:color w:val="auto"/>
        </w:rPr>
        <w:t>The Company meets the requirements for use of Form S-3 under the Act and has prepared and filed with the Commission a registration statement (File Number 333-162059) on Form S-3, including a related basic prospectus, for registration under the Act of the offering and sale of the Securities. The Registration Statement is an “automatic effective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58" w:lineRule="exact"/>
        <w:rPr>
          <w:rFonts w:ascii="Arial" w:cs="Arial" w:eastAsia="Arial" w:hAnsi="Arial"/>
          <w:sz w:val="16"/>
          <w:szCs w:val="16"/>
          <w:color w:val="auto"/>
        </w:rPr>
      </w:pPr>
    </w:p>
    <w:p>
      <w:pPr>
        <w:ind w:left="240" w:firstLine="221"/>
        <w:spacing w:after="0" w:line="283" w:lineRule="auto"/>
        <w:tabs>
          <w:tab w:leader="none" w:pos="720" w:val="left"/>
        </w:tabs>
        <w:numPr>
          <w:ilvl w:val="2"/>
          <w:numId w:val="2"/>
        </w:numPr>
        <w:rPr>
          <w:rFonts w:ascii="Arial" w:cs="Arial" w:eastAsia="Arial" w:hAnsi="Arial"/>
          <w:sz w:val="16"/>
          <w:szCs w:val="16"/>
          <w:color w:val="auto"/>
        </w:rPr>
      </w:pPr>
      <w:r>
        <w:rPr>
          <w:rFonts w:ascii="Arial" w:cs="Arial" w:eastAsia="Arial" w:hAnsi="Arial"/>
          <w:sz w:val="16"/>
          <w:szCs w:val="16"/>
          <w:color w:val="auto"/>
        </w:rPr>
        <w:t xml:space="preserve">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(i) that part of the Registration Statement which shall constitute the Statement of Eligibility and Qualification (Form T-</w:t>
      </w:r>
    </w:p>
    <w:p>
      <w:pPr>
        <w:spacing w:after="0" w:line="5" w:lineRule="exact"/>
        <w:rPr>
          <w:rFonts w:ascii="Arial" w:cs="Arial" w:eastAsia="Arial" w:hAnsi="Arial"/>
          <w:sz w:val="16"/>
          <w:szCs w:val="16"/>
          <w:color w:val="auto"/>
        </w:rPr>
      </w:pPr>
    </w:p>
    <w:p>
      <w:pPr>
        <w:ind w:left="440" w:hanging="204"/>
        <w:spacing w:after="0"/>
        <w:tabs>
          <w:tab w:leader="none" w:pos="440" w:val="left"/>
        </w:tabs>
        <w:numPr>
          <w:ilvl w:val="1"/>
          <w:numId w:val="2"/>
        </w:numPr>
        <w:rPr>
          <w:rFonts w:ascii="Arial" w:cs="Arial" w:eastAsia="Arial" w:hAnsi="Arial"/>
          <w:sz w:val="18"/>
          <w:szCs w:val="18"/>
          <w:color w:val="auto"/>
        </w:rPr>
      </w:pPr>
      <w:r>
        <w:rPr>
          <w:rFonts w:ascii="Arial" w:cs="Arial" w:eastAsia="Arial" w:hAnsi="Arial"/>
          <w:sz w:val="18"/>
          <w:szCs w:val="18"/>
          <w:color w:val="auto"/>
        </w:rPr>
        <w:t>under the Trust Indenture Act of the Trustee or (ii) the information contained in or omitted from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40"/>
        <w:spacing w:after="0" w:line="264" w:lineRule="auto"/>
        <w:rPr>
          <w:sz w:val="20"/>
          <w:szCs w:val="20"/>
          <w:color w:val="auto"/>
        </w:rPr>
      </w:pPr>
      <w:r>
        <w:rPr>
          <w:rFonts w:ascii="Arial" w:cs="Arial" w:eastAsia="Arial" w:hAnsi="Arial"/>
          <w:sz w:val="18"/>
          <w:szCs w:val="18"/>
          <w:color w:val="auto"/>
        </w:rPr>
        <w:t>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73" w:lineRule="exact"/>
        <w:rPr>
          <w:sz w:val="20"/>
          <w:szCs w:val="20"/>
          <w:color w:val="auto"/>
        </w:rPr>
      </w:pPr>
    </w:p>
    <w:p>
      <w:pPr>
        <w:ind w:right="80" w:firstLine="221"/>
        <w:spacing w:after="0" w:line="293" w:lineRule="auto"/>
        <w:tabs>
          <w:tab w:leader="none" w:pos="47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56" w:lineRule="exact"/>
        <w:rPr>
          <w:rFonts w:ascii="Arial" w:cs="Arial" w:eastAsia="Arial" w:hAnsi="Arial"/>
          <w:sz w:val="16"/>
          <w:szCs w:val="16"/>
          <w:color w:val="auto"/>
        </w:rPr>
      </w:pPr>
    </w:p>
    <w:p>
      <w:pPr>
        <w:ind w:firstLine="221"/>
        <w:spacing w:after="0" w:line="286"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Act or Rule 134 under the Act, (ii) the Preliminary Prospectus, (iii) the Final Prospectus, (iv) the documents constituting the Time of Sale Information,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66" w:lineRule="exact"/>
        <w:rPr>
          <w:rFonts w:ascii="Arial" w:cs="Arial" w:eastAsia="Arial" w:hAnsi="Arial"/>
          <w:sz w:val="16"/>
          <w:szCs w:val="16"/>
          <w:color w:val="auto"/>
        </w:rPr>
      </w:pPr>
    </w:p>
    <w:p>
      <w:pPr>
        <w:ind w:right="140" w:firstLine="221"/>
        <w:spacing w:after="0" w:line="259"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w:t>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8" w:name="page9"/>
    <w:bookmarkEnd w:id="8"/>
    <w:p>
      <w:pPr>
        <w:ind w:right="60"/>
        <w:spacing w:after="0" w:line="302" w:lineRule="auto"/>
        <w:rPr>
          <w:sz w:val="20"/>
          <w:szCs w:val="20"/>
          <w:color w:val="auto"/>
        </w:rPr>
      </w:pPr>
      <w:r>
        <w:rPr>
          <w:rFonts w:ascii="Arial" w:cs="Arial" w:eastAsia="Arial" w:hAnsi="Arial"/>
          <w:sz w:val="16"/>
          <w:szCs w:val="16"/>
          <w:color w:val="auto"/>
        </w:rPr>
        <w:t>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46" w:lineRule="exact"/>
        <w:rPr>
          <w:sz w:val="20"/>
          <w:szCs w:val="20"/>
          <w:color w:val="auto"/>
        </w:rPr>
      </w:pPr>
    </w:p>
    <w:p>
      <w:pPr>
        <w:ind w:firstLine="221"/>
        <w:spacing w:after="0" w:line="255"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85" w:lineRule="exact"/>
        <w:rPr>
          <w:rFonts w:ascii="Arial" w:cs="Arial" w:eastAsia="Arial" w:hAnsi="Arial"/>
          <w:sz w:val="18"/>
          <w:szCs w:val="18"/>
          <w:color w:val="auto"/>
        </w:rPr>
      </w:pPr>
    </w:p>
    <w:p>
      <w:pPr>
        <w:ind w:firstLine="221"/>
        <w:spacing w:after="0" w:line="255"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81" w:lineRule="exact"/>
        <w:rPr>
          <w:rFonts w:ascii="Arial" w:cs="Arial" w:eastAsia="Arial" w:hAnsi="Arial"/>
          <w:sz w:val="18"/>
          <w:szCs w:val="18"/>
          <w:color w:val="auto"/>
        </w:rPr>
      </w:pPr>
    </w:p>
    <w:p>
      <w:pPr>
        <w:ind w:right="80" w:firstLine="221"/>
        <w:spacing w:after="0" w:line="273" w:lineRule="auto"/>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Guarantee Agreement has been duly authorized and, when executed and delivered by Holdings against payment for the Notes in accordance with the terms thereof, will have been validly executed and delivered, and will constitute a valid and binding agreement of Holdings, enforceable against Holdings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 conforms to the description thereof in the Registration Statement, the Time of Sale Information and the Final Prospectus.</w:t>
      </w:r>
    </w:p>
    <w:p>
      <w:pPr>
        <w:spacing w:after="0" w:line="70" w:lineRule="exact"/>
        <w:rPr>
          <w:rFonts w:ascii="Arial" w:cs="Arial" w:eastAsia="Arial" w:hAnsi="Arial"/>
          <w:sz w:val="17"/>
          <w:szCs w:val="17"/>
          <w:color w:val="auto"/>
        </w:rPr>
      </w:pPr>
    </w:p>
    <w:p>
      <w:pPr>
        <w:ind w:right="460" w:firstLine="221"/>
        <w:spacing w:after="0" w:line="312"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9" w:name="page10"/>
    <w:bookmarkEnd w:id="9"/>
    <w:p>
      <w:pPr>
        <w:ind w:right="120"/>
        <w:spacing w:after="0" w:line="312" w:lineRule="auto"/>
        <w:rPr>
          <w:sz w:val="20"/>
          <w:szCs w:val="20"/>
          <w:color w:val="auto"/>
        </w:rPr>
      </w:pPr>
      <w:r>
        <w:rPr>
          <w:rFonts w:ascii="Arial" w:cs="Arial" w:eastAsia="Arial" w:hAnsi="Arial"/>
          <w:sz w:val="16"/>
          <w:szCs w:val="16"/>
          <w:color w:val="auto"/>
        </w:rPr>
        <w:t>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39" w:lineRule="exact"/>
        <w:rPr>
          <w:sz w:val="20"/>
          <w:szCs w:val="20"/>
          <w:color w:val="auto"/>
        </w:rPr>
      </w:pPr>
    </w:p>
    <w:p>
      <w:pPr>
        <w:ind w:firstLine="221"/>
        <w:spacing w:after="0" w:line="25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80" w:lineRule="exact"/>
        <w:rPr>
          <w:rFonts w:ascii="Arial" w:cs="Arial" w:eastAsia="Arial" w:hAnsi="Arial"/>
          <w:sz w:val="18"/>
          <w:szCs w:val="18"/>
          <w:color w:val="auto"/>
        </w:rPr>
      </w:pPr>
    </w:p>
    <w:p>
      <w:pPr>
        <w:ind w:right="80" w:firstLine="221"/>
        <w:spacing w:after="0" w:line="272"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of the Company’s “significant subsidiaries” (as such term is defined in Regulation S-X under the Exchange Act) is included in the list of subsidiaries on Exhibit 21.1 of the Annual Report on Form 10-K for the year ended December 31, 2010 (the “</w:t>
      </w:r>
      <w:r>
        <w:rPr>
          <w:rFonts w:ascii="Arial" w:cs="Arial" w:eastAsia="Arial" w:hAnsi="Arial"/>
          <w:sz w:val="17"/>
          <w:szCs w:val="17"/>
          <w:u w:val="single" w:color="auto"/>
          <w:color w:val="auto"/>
        </w:rPr>
        <w:t>Subsidiaries</w:t>
      </w:r>
      <w:r>
        <w:rPr>
          <w:rFonts w:ascii="Arial" w:cs="Arial" w:eastAsia="Arial" w:hAnsi="Arial"/>
          <w:sz w:val="17"/>
          <w:szCs w:val="17"/>
          <w:color w:val="auto"/>
        </w:rPr>
        <w:t>”),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69" w:lineRule="exact"/>
        <w:rPr>
          <w:rFonts w:ascii="Arial" w:cs="Arial" w:eastAsia="Arial" w:hAnsi="Arial"/>
          <w:sz w:val="17"/>
          <w:szCs w:val="17"/>
          <w:color w:val="auto"/>
        </w:rPr>
      </w:pPr>
    </w:p>
    <w:p>
      <w:pPr>
        <w:ind w:firstLine="221"/>
        <w:spacing w:after="0" w:line="255"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Arial" w:cs="Arial" w:eastAsia="Arial" w:hAnsi="Arial"/>
          <w:sz w:val="18"/>
          <w:szCs w:val="18"/>
          <w:u w:val="single" w:color="auto"/>
          <w:color w:val="auto"/>
        </w:rPr>
        <w:t>Lien</w:t>
      </w:r>
      <w:r>
        <w:rPr>
          <w:rFonts w:ascii="Arial" w:cs="Arial" w:eastAsia="Arial" w:hAnsi="Arial"/>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81" w:lineRule="exact"/>
        <w:rPr>
          <w:rFonts w:ascii="Arial" w:cs="Arial" w:eastAsia="Arial" w:hAnsi="Arial"/>
          <w:sz w:val="18"/>
          <w:szCs w:val="18"/>
          <w:color w:val="auto"/>
        </w:rPr>
      </w:pPr>
    </w:p>
    <w:p>
      <w:pPr>
        <w:ind w:left="520" w:hanging="299"/>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 and Holdings.</w:t>
      </w:r>
    </w:p>
    <w:p>
      <w:pPr>
        <w:spacing w:after="0" w:line="117" w:lineRule="exact"/>
        <w:rPr>
          <w:rFonts w:ascii="Arial" w:cs="Arial" w:eastAsia="Arial" w:hAnsi="Arial"/>
          <w:sz w:val="18"/>
          <w:szCs w:val="18"/>
          <w:color w:val="auto"/>
        </w:rPr>
      </w:pPr>
    </w:p>
    <w:p>
      <w:pPr>
        <w:ind w:right="420" w:firstLine="221"/>
        <w:spacing w:after="0" w:line="277"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Time of Sale Information and the Final Prospectus, there is no action, suit or proceeding before or by any court or governmental agency or body or any arbitrator pending against the Company</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0" w:name="page11"/>
    <w:bookmarkEnd w:id="10"/>
    <w:p>
      <w:pPr>
        <w:spacing w:after="0" w:line="289" w:lineRule="auto"/>
        <w:rPr>
          <w:sz w:val="20"/>
          <w:szCs w:val="20"/>
          <w:color w:val="auto"/>
        </w:rPr>
      </w:pPr>
      <w:r>
        <w:rPr>
          <w:rFonts w:ascii="Arial" w:cs="Arial" w:eastAsia="Arial" w:hAnsi="Arial"/>
          <w:sz w:val="16"/>
          <w:szCs w:val="16"/>
          <w:color w:val="auto"/>
        </w:rPr>
        <w:t>or any of its subsidiaries that is required to be disclosed in the Registration Statement, the Time of Sale Information and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59" w:lineRule="exact"/>
        <w:rPr>
          <w:sz w:val="20"/>
          <w:szCs w:val="20"/>
          <w:color w:val="auto"/>
        </w:rPr>
      </w:pPr>
    </w:p>
    <w:p>
      <w:pPr>
        <w:ind w:firstLine="221"/>
        <w:spacing w:after="0" w:line="291"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59" w:lineRule="exact"/>
        <w:rPr>
          <w:rFonts w:ascii="Arial" w:cs="Arial" w:eastAsia="Arial" w:hAnsi="Arial"/>
          <w:sz w:val="16"/>
          <w:szCs w:val="16"/>
          <w:color w:val="auto"/>
        </w:rPr>
      </w:pPr>
    </w:p>
    <w:p>
      <w:pPr>
        <w:ind w:right="60" w:firstLine="221"/>
        <w:spacing w:after="0" w:line="255"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81" w:lineRule="exact"/>
        <w:rPr>
          <w:rFonts w:ascii="Arial" w:cs="Arial" w:eastAsia="Arial" w:hAnsi="Arial"/>
          <w:sz w:val="18"/>
          <w:szCs w:val="18"/>
          <w:color w:val="auto"/>
        </w:rPr>
      </w:pPr>
    </w:p>
    <w:p>
      <w:pPr>
        <w:ind w:right="140" w:firstLine="221"/>
        <w:spacing w:after="0" w:line="286"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1" w:name="page12"/>
    <w:bookmarkEnd w:id="11"/>
    <w:p>
      <w:pPr>
        <w:ind w:right="40"/>
        <w:spacing w:after="0" w:line="342" w:lineRule="auto"/>
        <w:rPr>
          <w:sz w:val="20"/>
          <w:szCs w:val="20"/>
          <w:color w:val="auto"/>
        </w:rPr>
      </w:pPr>
      <w:r>
        <w:rPr>
          <w:rFonts w:ascii="Arial" w:cs="Arial" w:eastAsia="Arial" w:hAnsi="Arial"/>
          <w:sz w:val="16"/>
          <w:szCs w:val="16"/>
          <w:color w:val="auto"/>
        </w:rPr>
        <w:t>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16" w:lineRule="exact"/>
        <w:rPr>
          <w:sz w:val="20"/>
          <w:szCs w:val="20"/>
          <w:color w:val="auto"/>
        </w:rPr>
      </w:pPr>
    </w:p>
    <w:p>
      <w:pPr>
        <w:ind w:right="20" w:firstLine="221"/>
        <w:spacing w:after="0" w:line="264" w:lineRule="auto"/>
        <w:tabs>
          <w:tab w:leader="none" w:pos="45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73" w:lineRule="exact"/>
        <w:rPr>
          <w:rFonts w:ascii="Arial" w:cs="Arial" w:eastAsia="Arial" w:hAnsi="Arial"/>
          <w:sz w:val="18"/>
          <w:szCs w:val="18"/>
          <w:color w:val="auto"/>
        </w:rPr>
      </w:pPr>
    </w:p>
    <w:p>
      <w:pPr>
        <w:ind w:firstLine="221"/>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80" w:lineRule="exact"/>
        <w:rPr>
          <w:rFonts w:ascii="Arial" w:cs="Arial" w:eastAsia="Arial" w:hAnsi="Arial"/>
          <w:sz w:val="18"/>
          <w:szCs w:val="18"/>
          <w:color w:val="auto"/>
        </w:rPr>
      </w:pPr>
    </w:p>
    <w:p>
      <w:pPr>
        <w:jc w:val="both"/>
        <w:ind w:right="80" w:firstLine="221"/>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73" w:lineRule="exact"/>
        <w:rPr>
          <w:rFonts w:ascii="Arial" w:cs="Arial" w:eastAsia="Arial" w:hAnsi="Arial"/>
          <w:sz w:val="18"/>
          <w:szCs w:val="18"/>
          <w:color w:val="auto"/>
        </w:rPr>
      </w:pPr>
    </w:p>
    <w:p>
      <w:pPr>
        <w:ind w:firstLine="221"/>
        <w:spacing w:after="0" w:line="25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78" w:lineRule="exact"/>
        <w:rPr>
          <w:rFonts w:ascii="Arial" w:cs="Arial" w:eastAsia="Arial" w:hAnsi="Arial"/>
          <w:sz w:val="18"/>
          <w:szCs w:val="18"/>
          <w:color w:val="auto"/>
        </w:rPr>
      </w:pPr>
    </w:p>
    <w:p>
      <w:pPr>
        <w:ind w:right="40" w:firstLine="221"/>
        <w:spacing w:after="0" w:line="291"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14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2" w:name="page13"/>
    <w:bookmarkEnd w:id="12"/>
    <w:p>
      <w:pPr>
        <w:ind w:firstLine="221"/>
        <w:spacing w:after="0" w:line="25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80" w:lineRule="exact"/>
        <w:rPr>
          <w:rFonts w:ascii="Arial" w:cs="Arial" w:eastAsia="Arial" w:hAnsi="Arial"/>
          <w:sz w:val="18"/>
          <w:szCs w:val="18"/>
          <w:color w:val="auto"/>
        </w:rPr>
      </w:pPr>
    </w:p>
    <w:p>
      <w:pPr>
        <w:ind w:right="100" w:firstLine="221"/>
        <w:spacing w:after="0" w:line="279"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Ernst &amp; Young LLP, who have audited certain financial statements of the Company and its consolidated subsidiaries and delivered their report with respect to the audited consolidated financial statements and schedules included in the Registration Statement, the Time of Sale Information and the Final Prospectus, are an independent registered public accounting firm with respect to the Company within the applicable rules and regulations adopted by the Commission and the Public Accounting Oversight Board (United States) and as required by the Act.</w:t>
      </w:r>
    </w:p>
    <w:p>
      <w:pPr>
        <w:spacing w:after="0" w:line="63" w:lineRule="exact"/>
        <w:rPr>
          <w:rFonts w:ascii="Arial" w:cs="Arial" w:eastAsia="Arial" w:hAnsi="Arial"/>
          <w:sz w:val="17"/>
          <w:szCs w:val="17"/>
          <w:color w:val="auto"/>
        </w:rPr>
      </w:pPr>
    </w:p>
    <w:p>
      <w:pPr>
        <w:ind w:right="100" w:firstLine="221"/>
        <w:spacing w:after="0" w:line="25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81" w:lineRule="exact"/>
        <w:rPr>
          <w:rFonts w:ascii="Arial" w:cs="Arial" w:eastAsia="Arial" w:hAnsi="Arial"/>
          <w:sz w:val="18"/>
          <w:szCs w:val="18"/>
          <w:color w:val="auto"/>
        </w:rPr>
      </w:pPr>
    </w:p>
    <w:p>
      <w:pPr>
        <w:ind w:right="60" w:firstLine="221"/>
        <w:spacing w:after="0" w:line="259" w:lineRule="auto"/>
        <w:tabs>
          <w:tab w:leader="none" w:pos="47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79" w:lineRule="exact"/>
        <w:rPr>
          <w:sz w:val="20"/>
          <w:szCs w:val="20"/>
          <w:color w:val="auto"/>
        </w:rPr>
      </w:pPr>
    </w:p>
    <w:p>
      <w:pPr>
        <w:ind w:right="120" w:firstLine="221"/>
        <w:spacing w:after="0" w:line="273" w:lineRule="auto"/>
        <w:tabs>
          <w:tab w:leader="none" w:pos="55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there are no claims by the Company or any of its Subsidiaries under any such policy or instrument as to which any insurance company is denying liability or defending under a reservation of rights clause; and neither the Company nor any such Subsidiary has been refused any insurance coverage</w:t>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3" w:name="page14"/>
    <w:bookmarkEnd w:id="13"/>
    <w:p>
      <w:pPr>
        <w:ind w:left="4" w:right="40"/>
        <w:spacing w:after="0" w:line="297" w:lineRule="auto"/>
        <w:rPr>
          <w:sz w:val="20"/>
          <w:szCs w:val="20"/>
          <w:color w:val="auto"/>
        </w:rPr>
      </w:pPr>
      <w:r>
        <w:rPr>
          <w:rFonts w:ascii="Arial" w:cs="Arial" w:eastAsia="Arial" w:hAnsi="Arial"/>
          <w:sz w:val="16"/>
          <w:szCs w:val="16"/>
          <w:color w:val="auto"/>
        </w:rPr>
        <w:t>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50" w:lineRule="exact"/>
        <w:rPr>
          <w:sz w:val="20"/>
          <w:szCs w:val="20"/>
          <w:color w:val="auto"/>
        </w:rPr>
      </w:pPr>
    </w:p>
    <w:p>
      <w:pPr>
        <w:jc w:val="both"/>
        <w:ind w:left="4" w:firstLine="221"/>
        <w:spacing w:after="0" w:line="279" w:lineRule="auto"/>
        <w:tabs>
          <w:tab w:leader="none" w:pos="574"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Time of Sale Information and the Final Prospectus (exclusive of any amendment or supplement thereto).</w:t>
      </w:r>
    </w:p>
    <w:p>
      <w:pPr>
        <w:spacing w:after="0" w:line="63" w:lineRule="exact"/>
        <w:rPr>
          <w:rFonts w:ascii="Arial" w:cs="Arial" w:eastAsia="Arial" w:hAnsi="Arial"/>
          <w:sz w:val="17"/>
          <w:szCs w:val="17"/>
          <w:color w:val="auto"/>
        </w:rPr>
      </w:pPr>
    </w:p>
    <w:p>
      <w:pPr>
        <w:ind w:left="4" w:right="20" w:firstLine="221"/>
        <w:spacing w:after="0" w:line="255" w:lineRule="auto"/>
        <w:tabs>
          <w:tab w:leader="none" w:pos="5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85" w:lineRule="exact"/>
        <w:rPr>
          <w:rFonts w:ascii="Arial" w:cs="Arial" w:eastAsia="Arial" w:hAnsi="Arial"/>
          <w:sz w:val="18"/>
          <w:szCs w:val="18"/>
          <w:color w:val="auto"/>
        </w:rPr>
      </w:pPr>
    </w:p>
    <w:p>
      <w:pPr>
        <w:ind w:left="564" w:hanging="339"/>
        <w:spacing w:after="0"/>
        <w:tabs>
          <w:tab w:leader="none" w:pos="5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a system of internal accounting controls sufficient to provide reasonable assurance that</w:t>
      </w:r>
    </w:p>
    <w:p>
      <w:pPr>
        <w:spacing w:after="0" w:line="34" w:lineRule="exact"/>
        <w:rPr>
          <w:rFonts w:ascii="Arial" w:cs="Arial" w:eastAsia="Arial" w:hAnsi="Arial"/>
          <w:sz w:val="17"/>
          <w:szCs w:val="17"/>
          <w:color w:val="auto"/>
        </w:rPr>
      </w:pPr>
    </w:p>
    <w:p>
      <w:pPr>
        <w:ind w:left="4" w:right="140" w:hanging="4"/>
        <w:spacing w:after="0" w:line="281" w:lineRule="auto"/>
        <w:tabs>
          <w:tab w:leader="none" w:pos="21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w:t>
      </w:r>
    </w:p>
    <w:p>
      <w:pPr>
        <w:spacing w:after="0" w:line="1" w:lineRule="exact"/>
        <w:rPr>
          <w:rFonts w:ascii="Arial" w:cs="Arial" w:eastAsia="Arial" w:hAnsi="Arial"/>
          <w:sz w:val="16"/>
          <w:szCs w:val="16"/>
          <w:color w:val="auto"/>
        </w:rPr>
      </w:pPr>
    </w:p>
    <w:p>
      <w:pPr>
        <w:ind w:left="4" w:right="40" w:hanging="4"/>
        <w:spacing w:after="0" w:line="290" w:lineRule="auto"/>
        <w:tabs>
          <w:tab w:leader="none" w:pos="319"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53" w:lineRule="exact"/>
        <w:rPr>
          <w:rFonts w:ascii="Arial" w:cs="Arial" w:eastAsia="Arial" w:hAnsi="Arial"/>
          <w:sz w:val="17"/>
          <w:szCs w:val="17"/>
          <w:color w:val="auto"/>
        </w:rPr>
      </w:pPr>
    </w:p>
    <w:p>
      <w:pPr>
        <w:jc w:val="both"/>
        <w:ind w:left="4" w:right="280" w:firstLine="221"/>
        <w:spacing w:after="0" w:line="264" w:lineRule="auto"/>
        <w:tabs>
          <w:tab w:leader="none" w:pos="5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73" w:lineRule="exact"/>
        <w:rPr>
          <w:rFonts w:ascii="Arial" w:cs="Arial" w:eastAsia="Arial" w:hAnsi="Arial"/>
          <w:sz w:val="18"/>
          <w:szCs w:val="18"/>
          <w:color w:val="auto"/>
        </w:rPr>
      </w:pPr>
    </w:p>
    <w:p>
      <w:pPr>
        <w:ind w:left="4" w:right="840" w:firstLine="221"/>
        <w:spacing w:after="0" w:line="277" w:lineRule="auto"/>
        <w:tabs>
          <w:tab w:leader="none" w:pos="5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and its subsidiaries (i) are in compliance with any and all applicable foreign, federal, state and local laws, regulations and requirements relating to pollution, the protection of natural resources, human health and safety, the environment</w:t>
      </w:r>
    </w:p>
    <w:p>
      <w:pPr>
        <w:spacing w:after="0" w:line="143"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4" w:name="page15"/>
    <w:bookmarkEnd w:id="14"/>
    <w:p>
      <w:pPr>
        <w:ind w:left="4"/>
        <w:spacing w:after="0"/>
        <w:rPr>
          <w:sz w:val="20"/>
          <w:szCs w:val="20"/>
          <w:color w:val="auto"/>
        </w:rPr>
      </w:pPr>
      <w:r>
        <w:rPr>
          <w:rFonts w:ascii="Arial" w:cs="Arial" w:eastAsia="Arial" w:hAnsi="Arial"/>
          <w:sz w:val="17"/>
          <w:szCs w:val="17"/>
          <w:color w:val="auto"/>
        </w:rPr>
        <w:t>or hazardous or toxic substances or wastes, solid wastes, petroleum hydrocarbons or products, pollutants or contaminants (“</w:t>
      </w:r>
      <w:r>
        <w:rPr>
          <w:rFonts w:ascii="Arial" w:cs="Arial" w:eastAsia="Arial" w:hAnsi="Arial"/>
          <w:sz w:val="17"/>
          <w:szCs w:val="17"/>
          <w:u w:val="single" w:color="auto"/>
          <w:color w:val="auto"/>
        </w:rPr>
        <w:t>Environmental Laws</w:t>
      </w:r>
      <w:r>
        <w:rPr>
          <w:rFonts w:ascii="Arial" w:cs="Arial" w:eastAsia="Arial" w:hAnsi="Arial"/>
          <w:sz w:val="17"/>
          <w:szCs w:val="17"/>
          <w:color w:val="auto"/>
        </w:rPr>
        <w:t>”),</w:t>
      </w:r>
    </w:p>
    <w:p>
      <w:pPr>
        <w:spacing w:after="0" w:line="35" w:lineRule="exact"/>
        <w:rPr>
          <w:sz w:val="20"/>
          <w:szCs w:val="20"/>
          <w:color w:val="auto"/>
        </w:rPr>
      </w:pPr>
    </w:p>
    <w:p>
      <w:pPr>
        <w:ind w:left="4" w:right="60" w:hanging="4"/>
        <w:spacing w:after="0" w:line="251" w:lineRule="auto"/>
        <w:tabs>
          <w:tab w:leader="none" w:pos="2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90" w:lineRule="exact"/>
        <w:rPr>
          <w:rFonts w:ascii="Arial" w:cs="Arial" w:eastAsia="Arial" w:hAnsi="Arial"/>
          <w:sz w:val="18"/>
          <w:szCs w:val="18"/>
          <w:color w:val="auto"/>
        </w:rPr>
      </w:pPr>
    </w:p>
    <w:p>
      <w:pPr>
        <w:ind w:left="4" w:right="280" w:firstLine="221"/>
        <w:spacing w:after="0" w:line="272" w:lineRule="auto"/>
        <w:tabs>
          <w:tab w:leader="none" w:pos="574"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69" w:lineRule="exact"/>
        <w:rPr>
          <w:rFonts w:ascii="Arial" w:cs="Arial" w:eastAsia="Arial" w:hAnsi="Arial"/>
          <w:sz w:val="17"/>
          <w:szCs w:val="17"/>
          <w:color w:val="auto"/>
        </w:rPr>
      </w:pPr>
    </w:p>
    <w:p>
      <w:pPr>
        <w:ind w:left="4" w:firstLine="221"/>
        <w:spacing w:after="0" w:line="291" w:lineRule="auto"/>
        <w:tabs>
          <w:tab w:leader="none" w:pos="57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59" w:lineRule="exact"/>
        <w:rPr>
          <w:rFonts w:ascii="Arial" w:cs="Arial" w:eastAsia="Arial" w:hAnsi="Arial"/>
          <w:sz w:val="16"/>
          <w:szCs w:val="16"/>
          <w:color w:val="auto"/>
        </w:rPr>
      </w:pPr>
    </w:p>
    <w:p>
      <w:pPr>
        <w:ind w:left="484" w:hanging="259"/>
        <w:spacing w:after="0"/>
        <w:tabs>
          <w:tab w:leader="none" w:pos="484" w:val="left"/>
        </w:tabs>
        <w:numPr>
          <w:ilvl w:val="1"/>
          <w:numId w:val="13"/>
        </w:numPr>
        <w:rPr>
          <w:rFonts w:ascii="Arial" w:cs="Arial" w:eastAsia="Arial" w:hAnsi="Arial"/>
          <w:sz w:val="17"/>
          <w:szCs w:val="17"/>
          <w:color w:val="auto"/>
        </w:rPr>
      </w:pPr>
      <w:r>
        <w:rPr>
          <w:rFonts w:ascii="Arial" w:cs="Arial" w:eastAsia="Arial" w:hAnsi="Arial"/>
          <w:sz w:val="17"/>
          <w:szCs w:val="17"/>
          <w:color w:val="auto"/>
        </w:rPr>
        <w:t>No holders of securities of the Company or Holdings have rights to the registration of such securities under the Registration Statement.</w:t>
      </w:r>
    </w:p>
    <w:p>
      <w:pPr>
        <w:spacing w:after="0" w:line="210"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5" w:name="page16"/>
    <w:bookmarkEnd w:id="15"/>
    <w:p>
      <w:pPr>
        <w:ind w:right="20" w:firstLine="221"/>
        <w:spacing w:after="0" w:line="257" w:lineRule="auto"/>
        <w:tabs>
          <w:tab w:leader="none" w:pos="4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80" w:lineRule="exact"/>
        <w:rPr>
          <w:rFonts w:ascii="Arial" w:cs="Arial" w:eastAsia="Arial" w:hAnsi="Arial"/>
          <w:sz w:val="18"/>
          <w:szCs w:val="18"/>
          <w:color w:val="auto"/>
        </w:rPr>
      </w:pPr>
    </w:p>
    <w:p>
      <w:pPr>
        <w:ind w:firstLine="221"/>
        <w:spacing w:after="0" w:line="272" w:lineRule="auto"/>
        <w:tabs>
          <w:tab w:leader="none" w:pos="5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 in which the Company’s Annual Report on Form 10-K for the year ended December 31, 2010 was being prepared; (ii) have been evaluated for effectiveness as of the end of the period covered by the Company’s Annual Report on Form 10-K for the year ended December 31, 2010 pursuant to Rule 13a-15 of the Exchange Act; and (iii) are effective to ensure that the Company is able to collect, process and disclose the information required to be disclosed in reports filed with the Commission within required time periods.</w:t>
      </w:r>
    </w:p>
    <w:p>
      <w:pPr>
        <w:spacing w:after="0" w:line="69" w:lineRule="exact"/>
        <w:rPr>
          <w:rFonts w:ascii="Arial" w:cs="Arial" w:eastAsia="Arial" w:hAnsi="Arial"/>
          <w:sz w:val="17"/>
          <w:szCs w:val="17"/>
          <w:color w:val="auto"/>
        </w:rPr>
      </w:pPr>
    </w:p>
    <w:p>
      <w:pPr>
        <w:ind w:right="60" w:firstLine="221"/>
        <w:spacing w:after="0" w:line="276" w:lineRule="auto"/>
        <w:tabs>
          <w:tab w:leader="none" w:pos="49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the evaluation of its disclosure controls and procedures as of the end of the period covered by the Annual Report on Form 10-K for the year ended December 31, 2010,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64" w:lineRule="exact"/>
        <w:rPr>
          <w:rFonts w:ascii="Arial" w:cs="Arial" w:eastAsia="Arial" w:hAnsi="Arial"/>
          <w:sz w:val="17"/>
          <w:szCs w:val="17"/>
          <w:color w:val="auto"/>
        </w:rPr>
      </w:pPr>
    </w:p>
    <w:p>
      <w:pPr>
        <w:ind w:right="20" w:firstLine="221"/>
        <w:spacing w:after="0" w:line="255" w:lineRule="auto"/>
        <w:tabs>
          <w:tab w:leader="none" w:pos="6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maintains systems of “internal control over financial reporting” (as defined in Rule 12a-15(f)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85" w:lineRule="exact"/>
        <w:rPr>
          <w:rFonts w:ascii="Arial" w:cs="Arial" w:eastAsia="Arial" w:hAnsi="Arial"/>
          <w:sz w:val="18"/>
          <w:szCs w:val="18"/>
          <w:color w:val="auto"/>
        </w:rPr>
      </w:pPr>
    </w:p>
    <w:p>
      <w:pPr>
        <w:ind w:right="720" w:firstLine="221"/>
        <w:spacing w:after="0" w:line="277" w:lineRule="auto"/>
        <w:tabs>
          <w:tab w:leader="none" w:pos="5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Since December 31, 2010, there have been no significant changes in internal controls or in other factors that could significantly affect the Company’s internal controls over financial reporting.</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6" w:name="page17"/>
    <w:bookmarkEnd w:id="16"/>
    <w:p>
      <w:pPr>
        <w:ind w:left="240" w:right="300" w:firstLine="221"/>
        <w:spacing w:after="0" w:line="277" w:lineRule="auto"/>
        <w:tabs>
          <w:tab w:leader="none" w:pos="8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Other than Holdings, no subsidiary of the Company has guaranteed any outstanding senior indebtedness of the Company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guarantees made in the ordinary course of business.</w:t>
      </w:r>
    </w:p>
    <w:p>
      <w:pPr>
        <w:spacing w:after="0" w:line="62" w:lineRule="exact"/>
        <w:rPr>
          <w:rFonts w:ascii="Arial" w:cs="Arial" w:eastAsia="Arial" w:hAnsi="Arial"/>
          <w:sz w:val="18"/>
          <w:szCs w:val="18"/>
          <w:color w:val="auto"/>
        </w:rPr>
      </w:pPr>
    </w:p>
    <w:p>
      <w:pPr>
        <w:ind w:left="240" w:right="480" w:firstLine="221"/>
        <w:spacing w:after="0" w:line="277" w:lineRule="auto"/>
        <w:tabs>
          <w:tab w:leader="none" w:pos="8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is not an ineligible issuer and is a well-known seasoned issuer, in each case as defined under the Act, in each case at the times specified in the Act in connection with the offering of the Securities.</w:t>
      </w:r>
    </w:p>
    <w:p>
      <w:pPr>
        <w:spacing w:after="0" w:line="62" w:lineRule="exact"/>
        <w:rPr>
          <w:rFonts w:ascii="Arial" w:cs="Arial" w:eastAsia="Arial" w:hAnsi="Arial"/>
          <w:sz w:val="18"/>
          <w:szCs w:val="18"/>
          <w:color w:val="auto"/>
        </w:rPr>
      </w:pPr>
    </w:p>
    <w:p>
      <w:pPr>
        <w:ind w:left="240" w:firstLine="221"/>
        <w:spacing w:after="0" w:line="290" w:lineRule="auto"/>
        <w:tabs>
          <w:tab w:leader="none" w:pos="81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58" w:lineRule="exact"/>
        <w:rPr>
          <w:rFonts w:ascii="Arial" w:cs="Arial" w:eastAsia="Arial" w:hAnsi="Arial"/>
          <w:sz w:val="16"/>
          <w:szCs w:val="16"/>
          <w:color w:val="auto"/>
        </w:rPr>
      </w:pPr>
    </w:p>
    <w:p>
      <w:pPr>
        <w:ind w:left="240" w:right="80" w:firstLine="221"/>
        <w:spacing w:after="0" w:line="257" w:lineRule="auto"/>
        <w:tabs>
          <w:tab w:leader="none" w:pos="7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80" w:lineRule="exact"/>
        <w:rPr>
          <w:rFonts w:ascii="Arial" w:cs="Arial" w:eastAsia="Arial" w:hAnsi="Arial"/>
          <w:sz w:val="18"/>
          <w:szCs w:val="18"/>
          <w:color w:val="auto"/>
        </w:rPr>
      </w:pPr>
    </w:p>
    <w:p>
      <w:pPr>
        <w:ind w:left="240" w:right="20" w:firstLine="221"/>
        <w:spacing w:after="0" w:line="255" w:lineRule="auto"/>
        <w:tabs>
          <w:tab w:leader="none" w:pos="7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85" w:lineRule="exact"/>
        <w:rPr>
          <w:sz w:val="20"/>
          <w:szCs w:val="20"/>
          <w:color w:val="auto"/>
        </w:rPr>
      </w:pPr>
    </w:p>
    <w:p>
      <w:pPr>
        <w:jc w:val="both"/>
        <w:ind w:right="80" w:firstLine="215"/>
        <w:spacing w:after="0" w:line="264" w:lineRule="auto"/>
        <w:rPr>
          <w:sz w:val="20"/>
          <w:szCs w:val="20"/>
          <w:color w:val="auto"/>
        </w:rPr>
      </w:pPr>
      <w:r>
        <w:rPr>
          <w:rFonts w:ascii="Arial" w:cs="Arial" w:eastAsia="Arial" w:hAnsi="Arial"/>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140" w:firstLine="233"/>
        <w:spacing w:after="0" w:line="259" w:lineRule="auto"/>
        <w:tabs>
          <w:tab w:leader="none" w:pos="40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Subject to the terms and conditions and in reliance upon the representations and warranties herein set forth, the Company agrees to sell to each Underwriter, and each Underwriter agrees, severally and not jointly, to purchase from the Company, at a purchase price of 99.112% of the principal amount of the 4.60% Senior Notes due 2021 plus accrued interest, if any, from February 28, 2011 to the Closing Date, the principal amount of the Notes set forth opposite such Underwriter’s name in Schedule II hereto.</w:t>
      </w:r>
    </w:p>
    <w:p>
      <w:pPr>
        <w:spacing w:after="0" w:line="79"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71" w:lineRule="exact"/>
        <w:rPr>
          <w:sz w:val="20"/>
          <w:szCs w:val="20"/>
          <w:color w:val="auto"/>
        </w:rPr>
      </w:pPr>
    </w:p>
    <w:p>
      <w:pPr>
        <w:ind w:right="100" w:firstLine="233"/>
        <w:spacing w:after="0" w:line="272" w:lineRule="auto"/>
        <w:tabs>
          <w:tab w:leader="none" w:pos="40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69" w:lineRule="exact"/>
        <w:rPr>
          <w:rFonts w:ascii="Arial" w:cs="Arial" w:eastAsia="Arial" w:hAnsi="Arial"/>
          <w:sz w:val="17"/>
          <w:szCs w:val="17"/>
          <w:color w:val="auto"/>
        </w:rPr>
      </w:pPr>
    </w:p>
    <w:p>
      <w:pPr>
        <w:ind w:right="780" w:firstLine="233"/>
        <w:spacing w:after="0" w:line="277" w:lineRule="auto"/>
        <w:tabs>
          <w:tab w:leader="none" w:pos="40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117" w:lineRule="exact"/>
        <w:rPr>
          <w:rFonts w:ascii="Arial" w:cs="Arial" w:eastAsia="Arial" w:hAnsi="Arial"/>
          <w:sz w:val="18"/>
          <w:szCs w:val="18"/>
          <w:color w:val="auto"/>
        </w:rPr>
      </w:pPr>
    </w:p>
    <w:p>
      <w:pPr>
        <w:ind w:left="240" w:right="160" w:firstLine="221"/>
        <w:spacing w:after="0" w:line="257" w:lineRule="auto"/>
        <w:tabs>
          <w:tab w:leader="none" w:pos="7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 w:name="page19"/>
    <w:bookmarkEnd w:id="18"/>
    <w:p>
      <w:pPr>
        <w:ind w:right="20"/>
        <w:spacing w:after="0" w:line="279" w:lineRule="auto"/>
        <w:rPr>
          <w:sz w:val="20"/>
          <w:szCs w:val="20"/>
          <w:color w:val="auto"/>
        </w:rPr>
      </w:pPr>
      <w:r>
        <w:rPr>
          <w:rFonts w:ascii="Arial" w:cs="Arial" w:eastAsia="Arial" w:hAnsi="Arial"/>
          <w:sz w:val="17"/>
          <w:szCs w:val="17"/>
          <w:color w:val="auto"/>
        </w:rPr>
        <w:t>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63" w:lineRule="exact"/>
        <w:rPr>
          <w:sz w:val="20"/>
          <w:szCs w:val="20"/>
          <w:color w:val="auto"/>
        </w:rPr>
      </w:pPr>
    </w:p>
    <w:p>
      <w:pPr>
        <w:ind w:right="40" w:firstLine="221"/>
        <w:spacing w:after="0" w:line="291"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59" w:lineRule="exact"/>
        <w:rPr>
          <w:rFonts w:ascii="Arial" w:cs="Arial" w:eastAsia="Arial" w:hAnsi="Arial"/>
          <w:sz w:val="16"/>
          <w:szCs w:val="16"/>
          <w:color w:val="auto"/>
        </w:rPr>
      </w:pPr>
    </w:p>
    <w:p>
      <w:pPr>
        <w:ind w:firstLine="221"/>
        <w:spacing w:after="0" w:line="287" w:lineRule="auto"/>
        <w:tabs>
          <w:tab w:leader="none" w:pos="47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will promptly advise the Representatives (1)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(2) when, prior to termination of the offering of the Securities, any amendment to the Registration Statement shall have been filed or become effective, (3) of any request by the Commission or its staff for any amendment to the Registration Statement, or any Rule 462(b) Registration Statement, or for any supplement to the Final Prospectus or for any additional information, (4)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(5) of the receipt by the Company of any notification with respect to the suspension of the qualification of the Securities for sale in any jurisdiction or the institution or threatening of any proceeding for such purpose, and (6) 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64" w:lineRule="exact"/>
        <w:rPr>
          <w:rFonts w:ascii="Arial" w:cs="Arial" w:eastAsia="Arial" w:hAnsi="Arial"/>
          <w:sz w:val="16"/>
          <w:szCs w:val="16"/>
          <w:color w:val="auto"/>
        </w:rPr>
      </w:pPr>
    </w:p>
    <w:p>
      <w:pPr>
        <w:ind w:firstLine="221"/>
        <w:spacing w:after="0" w:line="264"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9" w:name="page20"/>
    <w:bookmarkEnd w:id="19"/>
    <w:p>
      <w:pPr>
        <w:ind w:left="4" w:right="120" w:hanging="4"/>
        <w:spacing w:after="0" w:line="279" w:lineRule="auto"/>
        <w:tabs>
          <w:tab w:leader="none" w:pos="2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you in such quantities as you may reasonably request.</w:t>
      </w:r>
    </w:p>
    <w:p>
      <w:pPr>
        <w:spacing w:after="0" w:line="63" w:lineRule="exact"/>
        <w:rPr>
          <w:rFonts w:ascii="Arial" w:cs="Arial" w:eastAsia="Arial" w:hAnsi="Arial"/>
          <w:sz w:val="17"/>
          <w:szCs w:val="17"/>
          <w:color w:val="auto"/>
        </w:rPr>
      </w:pPr>
    </w:p>
    <w:p>
      <w:pPr>
        <w:ind w:left="4" w:firstLine="221"/>
        <w:spacing w:after="0" w:line="254" w:lineRule="auto"/>
        <w:tabs>
          <w:tab w:leader="none" w:pos="4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84" w:lineRule="exact"/>
        <w:rPr>
          <w:rFonts w:ascii="Arial" w:cs="Arial" w:eastAsia="Arial" w:hAnsi="Arial"/>
          <w:sz w:val="18"/>
          <w:szCs w:val="18"/>
          <w:color w:val="auto"/>
        </w:rPr>
      </w:pPr>
    </w:p>
    <w:p>
      <w:pPr>
        <w:ind w:left="4" w:right="540" w:firstLine="221"/>
        <w:spacing w:after="0" w:line="342" w:lineRule="auto"/>
        <w:tabs>
          <w:tab w:leader="none" w:pos="45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5" w:lineRule="exact"/>
        <w:rPr>
          <w:rFonts w:ascii="Arial" w:cs="Arial" w:eastAsia="Arial" w:hAnsi="Arial"/>
          <w:sz w:val="16"/>
          <w:szCs w:val="16"/>
          <w:color w:val="auto"/>
        </w:rPr>
      </w:pPr>
    </w:p>
    <w:p>
      <w:pPr>
        <w:ind w:left="4" w:firstLine="221"/>
        <w:spacing w:after="0" w:line="297" w:lineRule="auto"/>
        <w:tabs>
          <w:tab w:leader="none" w:pos="484"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50" w:lineRule="exact"/>
        <w:rPr>
          <w:rFonts w:ascii="Arial" w:cs="Arial" w:eastAsia="Arial" w:hAnsi="Arial"/>
          <w:sz w:val="16"/>
          <w:szCs w:val="16"/>
          <w:color w:val="auto"/>
        </w:rPr>
      </w:pPr>
    </w:p>
    <w:p>
      <w:pPr>
        <w:ind w:left="4" w:right="80" w:firstLine="221"/>
        <w:spacing w:after="0" w:line="276" w:lineRule="auto"/>
        <w:tabs>
          <w:tab w:leader="none" w:pos="484"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146"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20" w:name="page21"/>
    <w:bookmarkEnd w:id="20"/>
    <w:p>
      <w:pPr>
        <w:ind w:left="220" w:firstLine="221"/>
        <w:spacing w:after="0" w:line="272" w:lineRule="auto"/>
        <w:tabs>
          <w:tab w:leader="none" w:pos="660" w:val="left"/>
        </w:tabs>
        <w:numPr>
          <w:ilvl w:val="2"/>
          <w:numId w:val="20"/>
        </w:numPr>
        <w:rPr>
          <w:rFonts w:ascii="Arial" w:cs="Arial" w:eastAsia="Arial" w:hAnsi="Arial"/>
          <w:sz w:val="17"/>
          <w:szCs w:val="17"/>
          <w:color w:val="auto"/>
        </w:rPr>
      </w:pPr>
      <w:r>
        <w:rPr>
          <w:rFonts w:ascii="Arial" w:cs="Arial" w:eastAsia="Arial" w:hAnsi="Arial"/>
          <w:sz w:val="17"/>
          <w:szCs w:val="17"/>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March 25, 2011.</w:t>
      </w:r>
    </w:p>
    <w:p>
      <w:pPr>
        <w:spacing w:after="0" w:line="69" w:lineRule="exact"/>
        <w:rPr>
          <w:rFonts w:ascii="Arial" w:cs="Arial" w:eastAsia="Arial" w:hAnsi="Arial"/>
          <w:sz w:val="17"/>
          <w:szCs w:val="17"/>
          <w:color w:val="auto"/>
        </w:rPr>
      </w:pPr>
    </w:p>
    <w:p>
      <w:pPr>
        <w:ind w:left="220" w:right="120" w:firstLine="221"/>
        <w:spacing w:after="0" w:line="264" w:lineRule="auto"/>
        <w:tabs>
          <w:tab w:leader="none" w:pos="6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73" w:lineRule="exact"/>
        <w:rPr>
          <w:rFonts w:ascii="Arial" w:cs="Arial" w:eastAsia="Arial" w:hAnsi="Arial"/>
          <w:sz w:val="18"/>
          <w:szCs w:val="18"/>
          <w:color w:val="auto"/>
        </w:rPr>
      </w:pPr>
    </w:p>
    <w:p>
      <w:pPr>
        <w:ind w:left="220" w:right="100" w:firstLine="221"/>
        <w:spacing w:after="0" w:line="277" w:lineRule="auto"/>
        <w:tabs>
          <w:tab w:leader="none" w:pos="7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62" w:lineRule="exact"/>
        <w:rPr>
          <w:rFonts w:ascii="Arial" w:cs="Arial" w:eastAsia="Arial" w:hAnsi="Arial"/>
          <w:sz w:val="18"/>
          <w:szCs w:val="18"/>
          <w:color w:val="auto"/>
        </w:rPr>
      </w:pPr>
    </w:p>
    <w:p>
      <w:pPr>
        <w:ind w:left="400" w:hanging="187"/>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220" w:right="180" w:firstLine="221"/>
        <w:spacing w:after="0" w:line="284" w:lineRule="auto"/>
        <w:tabs>
          <w:tab w:leader="none" w:pos="690" w:val="left"/>
        </w:tabs>
        <w:numPr>
          <w:ilvl w:val="2"/>
          <w:numId w:val="21"/>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1(d) or Section 5(b) above (including any electronic road show), or (iii) any free writing prospectus prepared by such Underwriter and approved by the Company in advance in writing (each such free writing prospectus referred to in clauses</w:t>
      </w:r>
    </w:p>
    <w:p>
      <w:pPr>
        <w:spacing w:after="0" w:line="4" w:lineRule="exact"/>
        <w:rPr>
          <w:rFonts w:ascii="Arial" w:cs="Arial" w:eastAsia="Arial" w:hAnsi="Arial"/>
          <w:sz w:val="16"/>
          <w:szCs w:val="16"/>
          <w:color w:val="auto"/>
        </w:rPr>
      </w:pPr>
    </w:p>
    <w:p>
      <w:pPr>
        <w:ind w:left="220" w:right="160" w:hanging="4"/>
        <w:spacing w:after="0" w:line="261" w:lineRule="auto"/>
        <w:tabs>
          <w:tab w:leader="none" w:pos="435" w:val="left"/>
        </w:tabs>
        <w:numPr>
          <w:ilvl w:val="1"/>
          <w:numId w:val="21"/>
        </w:numPr>
        <w:rPr>
          <w:rFonts w:ascii="Arial" w:cs="Arial" w:eastAsia="Arial" w:hAnsi="Arial"/>
          <w:sz w:val="18"/>
          <w:szCs w:val="18"/>
          <w:color w:val="auto"/>
        </w:rPr>
      </w:pPr>
      <w:r>
        <w:rPr>
          <w:rFonts w:ascii="Arial" w:cs="Arial" w:eastAsia="Arial" w:hAnsi="Arial"/>
          <w:sz w:val="18"/>
          <w:szCs w:val="18"/>
          <w:color w:val="auto"/>
        </w:rPr>
        <w:t>or (iii), an “</w:t>
      </w:r>
      <w:r>
        <w:rPr>
          <w:rFonts w:ascii="Arial" w:cs="Arial" w:eastAsia="Arial" w:hAnsi="Arial"/>
          <w:sz w:val="18"/>
          <w:szCs w:val="18"/>
          <w:u w:val="single" w:color="auto"/>
          <w:color w:val="auto"/>
        </w:rPr>
        <w:t>Underwriter Free Writing Prospectus</w:t>
      </w:r>
      <w:r>
        <w:rPr>
          <w:rFonts w:ascii="Arial" w:cs="Arial" w:eastAsia="Arial" w:hAnsi="Arial"/>
          <w:sz w:val="18"/>
          <w:szCs w:val="18"/>
          <w:color w:val="auto"/>
        </w:rPr>
        <w:t>”). Notwithstanding the foregoing, the Underwriters may use a term sheet substantially in the form of Schedule I hereto without the consent of the Company.</w:t>
      </w:r>
    </w:p>
    <w:p>
      <w:pPr>
        <w:spacing w:after="0" w:line="75" w:lineRule="exact"/>
        <w:rPr>
          <w:rFonts w:ascii="Arial" w:cs="Arial" w:eastAsia="Arial" w:hAnsi="Arial"/>
          <w:sz w:val="18"/>
          <w:szCs w:val="18"/>
          <w:color w:val="auto"/>
        </w:rPr>
      </w:pPr>
    </w:p>
    <w:p>
      <w:pPr>
        <w:ind w:left="220" w:right="240" w:firstLine="221"/>
        <w:spacing w:after="0" w:line="277" w:lineRule="auto"/>
        <w:tabs>
          <w:tab w:leader="none" w:pos="7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Act with respect to the offering (and will promptly notify the Company if any such proceeding against it is initiated during the Prospectus Delivery Period).</w:t>
      </w:r>
    </w:p>
    <w:p>
      <w:pPr>
        <w:spacing w:after="0" w:line="62" w:lineRule="exact"/>
        <w:rPr>
          <w:rFonts w:ascii="Arial" w:cs="Arial" w:eastAsia="Arial" w:hAnsi="Arial"/>
          <w:sz w:val="18"/>
          <w:szCs w:val="18"/>
          <w:color w:val="auto"/>
        </w:rPr>
      </w:pPr>
    </w:p>
    <w:p>
      <w:pPr>
        <w:jc w:val="both"/>
        <w:ind w:left="-20" w:right="120" w:firstLine="233"/>
        <w:spacing w:after="0" w:line="264" w:lineRule="auto"/>
        <w:tabs>
          <w:tab w:leader="none" w:pos="38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1" w:name="page22"/>
    <w:bookmarkEnd w:id="21"/>
    <w:p>
      <w:pPr>
        <w:ind w:right="480"/>
        <w:spacing w:after="0" w:line="277" w:lineRule="auto"/>
        <w:rPr>
          <w:sz w:val="20"/>
          <w:szCs w:val="20"/>
          <w:color w:val="auto"/>
        </w:rPr>
      </w:pPr>
      <w:r>
        <w:rPr>
          <w:rFonts w:ascii="Arial" w:cs="Arial" w:eastAsia="Arial" w:hAnsi="Arial"/>
          <w:sz w:val="18"/>
          <w:szCs w:val="18"/>
          <w:color w:val="auto"/>
        </w:rPr>
        <w:t>any certificates pursuant to the provisions hereof, to the performance by the Company and Holdings of their obligations hereunder and to the following additional conditions:</w:t>
      </w:r>
    </w:p>
    <w:p>
      <w:pPr>
        <w:spacing w:after="0" w:line="62" w:lineRule="exact"/>
        <w:rPr>
          <w:sz w:val="20"/>
          <w:szCs w:val="20"/>
          <w:color w:val="auto"/>
        </w:rPr>
      </w:pPr>
    </w:p>
    <w:p>
      <w:pPr>
        <w:ind w:left="240" w:right="80" w:firstLine="221"/>
        <w:spacing w:after="0" w:line="255" w:lineRule="auto"/>
        <w:tabs>
          <w:tab w:leader="none" w:pos="7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85" w:lineRule="exact"/>
        <w:rPr>
          <w:rFonts w:ascii="Arial" w:cs="Arial" w:eastAsia="Arial" w:hAnsi="Arial"/>
          <w:sz w:val="18"/>
          <w:szCs w:val="18"/>
          <w:color w:val="auto"/>
        </w:rPr>
      </w:pPr>
    </w:p>
    <w:p>
      <w:pPr>
        <w:ind w:left="240" w:right="20" w:firstLine="221"/>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62" w:lineRule="exact"/>
        <w:rPr>
          <w:rFonts w:ascii="Arial" w:cs="Arial" w:eastAsia="Arial" w:hAnsi="Arial"/>
          <w:sz w:val="18"/>
          <w:szCs w:val="18"/>
          <w:color w:val="auto"/>
        </w:rPr>
      </w:pPr>
    </w:p>
    <w:p>
      <w:pPr>
        <w:ind w:left="460" w:right="180" w:firstLine="229"/>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78" w:lineRule="exact"/>
        <w:rPr>
          <w:rFonts w:ascii="Arial" w:cs="Arial" w:eastAsia="Arial" w:hAnsi="Arial"/>
          <w:sz w:val="18"/>
          <w:szCs w:val="18"/>
          <w:color w:val="auto"/>
        </w:rPr>
      </w:pPr>
    </w:p>
    <w:p>
      <w:pPr>
        <w:ind w:left="960" w:hanging="271"/>
        <w:spacing w:after="0"/>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Holdings;</w:t>
      </w:r>
    </w:p>
    <w:p>
      <w:pPr>
        <w:spacing w:after="0" w:line="117" w:lineRule="exact"/>
        <w:rPr>
          <w:rFonts w:ascii="Arial" w:cs="Arial" w:eastAsia="Arial" w:hAnsi="Arial"/>
          <w:sz w:val="18"/>
          <w:szCs w:val="18"/>
          <w:color w:val="auto"/>
        </w:rPr>
      </w:pPr>
    </w:p>
    <w:p>
      <w:pPr>
        <w:ind w:left="460" w:firstLine="229"/>
        <w:spacing w:after="0" w:line="276" w:lineRule="auto"/>
        <w:tabs>
          <w:tab w:leader="none" w:pos="10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64" w:lineRule="exact"/>
        <w:rPr>
          <w:rFonts w:ascii="Arial" w:cs="Arial" w:eastAsia="Arial" w:hAnsi="Arial"/>
          <w:sz w:val="17"/>
          <w:szCs w:val="17"/>
          <w:color w:val="auto"/>
        </w:rPr>
      </w:pPr>
    </w:p>
    <w:p>
      <w:pPr>
        <w:ind w:left="460" w:firstLine="229"/>
        <w:spacing w:after="0" w:line="276" w:lineRule="auto"/>
        <w:tabs>
          <w:tab w:leader="none" w:pos="99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global certificates representing the Notes are in a form authorized by the Indenture, the Notes have been duly authorized by the Company and, assuming the global certificates representing the Notes have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2" w:name="page23"/>
    <w:bookmarkEnd w:id="22"/>
    <w:p>
      <w:pPr>
        <w:jc w:val="both"/>
        <w:ind w:right="60"/>
        <w:spacing w:after="0" w:line="264" w:lineRule="auto"/>
        <w:rPr>
          <w:sz w:val="20"/>
          <w:szCs w:val="20"/>
          <w:color w:val="auto"/>
        </w:rPr>
      </w:pPr>
      <w:r>
        <w:rPr>
          <w:rFonts w:ascii="Arial" w:cs="Arial" w:eastAsia="Arial" w:hAnsi="Arial"/>
          <w:sz w:val="18"/>
          <w:szCs w:val="18"/>
          <w:color w:val="auto"/>
        </w:rPr>
        <w:t>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73" w:lineRule="exact"/>
        <w:rPr>
          <w:sz w:val="20"/>
          <w:szCs w:val="20"/>
          <w:color w:val="auto"/>
        </w:rPr>
      </w:pPr>
    </w:p>
    <w:p>
      <w:pPr>
        <w:ind w:right="40" w:firstLine="229"/>
        <w:spacing w:after="0" w:line="25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Guarantee Agreement has been duly authorized, executed and delivered by Holdings and, assuming the global certificates representing the Notes have been authenticated and delivered by the Trustee in the manner provided for in the Indenture and delivered against payment of the consideration therefor as specified in this Agreement, the Guarantee Agreement constitutes a valid and binding agreement of Holdings, enforceable against Holdings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84" w:lineRule="exact"/>
        <w:rPr>
          <w:rFonts w:ascii="Arial" w:cs="Arial" w:eastAsia="Arial" w:hAnsi="Arial"/>
          <w:sz w:val="18"/>
          <w:szCs w:val="18"/>
          <w:color w:val="auto"/>
        </w:rPr>
      </w:pPr>
    </w:p>
    <w:p>
      <w:pPr>
        <w:ind w:left="540" w:hanging="31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117" w:lineRule="exact"/>
        <w:rPr>
          <w:rFonts w:ascii="Arial" w:cs="Arial" w:eastAsia="Arial" w:hAnsi="Arial"/>
          <w:sz w:val="18"/>
          <w:szCs w:val="18"/>
          <w:color w:val="auto"/>
        </w:rPr>
      </w:pPr>
    </w:p>
    <w:p>
      <w:pPr>
        <w:ind w:right="320" w:firstLine="229"/>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62" w:lineRule="exact"/>
        <w:rPr>
          <w:rFonts w:ascii="Arial" w:cs="Arial" w:eastAsia="Arial" w:hAnsi="Arial"/>
          <w:sz w:val="18"/>
          <w:szCs w:val="18"/>
          <w:color w:val="auto"/>
        </w:rPr>
      </w:pPr>
    </w:p>
    <w:p>
      <w:pPr>
        <w:ind w:firstLine="229"/>
        <w:spacing w:after="0" w:line="259" w:lineRule="auto"/>
        <w:tabs>
          <w:tab w:leader="none" w:pos="6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78" w:lineRule="exact"/>
        <w:rPr>
          <w:rFonts w:ascii="Arial" w:cs="Arial" w:eastAsia="Arial" w:hAnsi="Arial"/>
          <w:sz w:val="18"/>
          <w:szCs w:val="18"/>
          <w:color w:val="auto"/>
        </w:rPr>
      </w:pPr>
    </w:p>
    <w:p>
      <w:pPr>
        <w:ind w:right="320" w:firstLine="229"/>
        <w:spacing w:after="0" w:line="286" w:lineRule="auto"/>
        <w:tabs>
          <w:tab w:leader="none" w:pos="53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57" w:lineRule="exact"/>
        <w:rPr>
          <w:rFonts w:ascii="Arial" w:cs="Arial" w:eastAsia="Arial" w:hAnsi="Arial"/>
          <w:sz w:val="17"/>
          <w:szCs w:val="17"/>
          <w:color w:val="auto"/>
        </w:rPr>
      </w:pPr>
    </w:p>
    <w:p>
      <w:pPr>
        <w:ind w:right="220" w:firstLine="229"/>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and delivery of this Agreement, the consummation of the transactions contemplated in this Agreement and compliance with the terms of this Agreement and the Indenture do not and will not conflict with or result in a breach of any of the terms or provisions of, or constitute a default under, the charter or by-laws of the Company, Holdings or Wheelabrator Technologies Inc.,</w:t>
      </w:r>
    </w:p>
    <w:p>
      <w:pPr>
        <w:spacing w:after="0" w:line="15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935" w:right="299" w:bottom="1440" w:gutter="0" w:footer="0" w:header="0"/>
        </w:sectPr>
      </w:pPr>
    </w:p>
    <w:bookmarkStart w:id="23" w:name="page24"/>
    <w:bookmarkEnd w:id="23"/>
    <w:p>
      <w:pPr>
        <w:ind w:left="220" w:right="160"/>
        <w:spacing w:after="0" w:line="259" w:lineRule="auto"/>
        <w:rPr>
          <w:sz w:val="20"/>
          <w:szCs w:val="20"/>
          <w:color w:val="auto"/>
        </w:rPr>
      </w:pPr>
      <w:r>
        <w:rPr>
          <w:rFonts w:ascii="Arial" w:cs="Arial" w:eastAsia="Arial" w:hAnsi="Arial"/>
          <w:sz w:val="18"/>
          <w:szCs w:val="18"/>
          <w:color w:val="auto"/>
        </w:rPr>
        <w:t>or any indenture, mortgage or other agreement or instrument to which the Company or its subsidiaries is a party or by which they or any of their property is bound that is filed as an exhibit to the Registration Statement or to any of the documents incorporated by reference in the Registration Statement, the Time of Sale Information and the Final Prospectus, or any existing applicable laws, rule or regulation (excluding any state securities or state or federal anti-fraud law, rule or regulation); and</w:t>
      </w:r>
    </w:p>
    <w:p>
      <w:pPr>
        <w:spacing w:after="0" w:line="79" w:lineRule="exact"/>
        <w:rPr>
          <w:sz w:val="20"/>
          <w:szCs w:val="20"/>
          <w:color w:val="auto"/>
        </w:rPr>
      </w:pPr>
    </w:p>
    <w:p>
      <w:pPr>
        <w:ind w:left="220" w:right="20" w:firstLine="229"/>
        <w:spacing w:after="0" w:line="277" w:lineRule="auto"/>
        <w:tabs>
          <w:tab w:leader="none" w:pos="7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the Company nor Holdings is an “investment company” or an entity “controlled” by an “investment company,” as such terms are defined in the 1940 Act.</w:t>
      </w:r>
    </w:p>
    <w:p>
      <w:pPr>
        <w:spacing w:after="0" w:line="6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 (vii) above), subject to the foregoing and on the basis of the information such counsel gained in the course of performing the services referred to above, such counsel shall advise that (a) the Registration Statement, as of the latest Effective Date, the Time of Sale Information, as of the Time of Sale, and the Final Prospectus, as of its date and the date hereof, appear on their face to be appropriately responsive in all material respects to the requirements of the Act and the rules and regulations of the Commission thereunder; and (b) nothing has come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provided that in each case such counsel need not express any belief with respect to (x) the financial statements and schedules or other financial or accounting information contained or included or incorporated by reference therein or</w:t>
      </w:r>
    </w:p>
    <w:p>
      <w:pPr>
        <w:spacing w:after="0" w:line="14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4" w:name="page25"/>
    <w:bookmarkEnd w:id="24"/>
    <w:p>
      <w:pPr>
        <w:ind w:left="4" w:right="120"/>
        <w:spacing w:after="0" w:line="342" w:lineRule="auto"/>
        <w:rPr>
          <w:sz w:val="20"/>
          <w:szCs w:val="20"/>
          <w:color w:val="auto"/>
        </w:rPr>
      </w:pPr>
      <w:r>
        <w:rPr>
          <w:rFonts w:ascii="Arial" w:cs="Arial" w:eastAsia="Arial" w:hAnsi="Arial"/>
          <w:sz w:val="16"/>
          <w:szCs w:val="16"/>
          <w:color w:val="auto"/>
        </w:rPr>
        <w:t>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16" w:lineRule="exact"/>
        <w:rPr>
          <w:sz w:val="20"/>
          <w:szCs w:val="20"/>
          <w:color w:val="auto"/>
        </w:rPr>
      </w:pPr>
    </w:p>
    <w:p>
      <w:pPr>
        <w:ind w:left="4" w:firstLine="225"/>
        <w:spacing w:after="0" w:line="288" w:lineRule="auto"/>
        <w:rPr>
          <w:sz w:val="20"/>
          <w:szCs w:val="20"/>
          <w:color w:val="auto"/>
        </w:rPr>
      </w:pPr>
      <w:r>
        <w:rPr>
          <w:rFonts w:ascii="Arial" w:cs="Arial" w:eastAsia="Arial" w:hAnsi="Arial"/>
          <w:sz w:val="16"/>
          <w:szCs w:val="16"/>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w:t>
      </w:r>
    </w:p>
    <w:p>
      <w:pPr>
        <w:ind w:left="264" w:hanging="264"/>
        <w:spacing w:after="0"/>
        <w:tabs>
          <w:tab w:leader="none" w:pos="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 any supplements thereto at the Closing Date.</w:t>
      </w:r>
    </w:p>
    <w:p>
      <w:pPr>
        <w:spacing w:after="0" w:line="102" w:lineRule="exact"/>
        <w:rPr>
          <w:rFonts w:ascii="Arial" w:cs="Arial" w:eastAsia="Arial" w:hAnsi="Arial"/>
          <w:sz w:val="18"/>
          <w:szCs w:val="18"/>
          <w:color w:val="auto"/>
        </w:rPr>
      </w:pPr>
    </w:p>
    <w:p>
      <w:pPr>
        <w:ind w:left="4" w:right="40" w:firstLine="221"/>
        <w:spacing w:after="0" w:line="277" w:lineRule="auto"/>
        <w:tabs>
          <w:tab w:leader="none" w:pos="4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Rick L Wittenbraker, Senior Vice President and General Counsel of the Company, shall have furnished to the Representatives his opinion, dated the Closing Date and addressed to the Representatives, to the effect that:</w:t>
      </w:r>
    </w:p>
    <w:p>
      <w:pPr>
        <w:spacing w:after="0" w:line="62" w:lineRule="exact"/>
        <w:rPr>
          <w:rFonts w:ascii="Arial" w:cs="Arial" w:eastAsia="Arial" w:hAnsi="Arial"/>
          <w:sz w:val="18"/>
          <w:szCs w:val="18"/>
          <w:color w:val="auto"/>
        </w:rPr>
      </w:pPr>
    </w:p>
    <w:p>
      <w:pPr>
        <w:ind w:left="224" w:firstLine="229"/>
        <w:spacing w:after="0" w:line="254" w:lineRule="auto"/>
        <w:tabs>
          <w:tab w:leader="none" w:pos="664" w:val="left"/>
        </w:tabs>
        <w:numPr>
          <w:ilvl w:val="2"/>
          <w:numId w:val="27"/>
        </w:numPr>
        <w:rPr>
          <w:rFonts w:ascii="Arial" w:cs="Arial" w:eastAsia="Arial" w:hAnsi="Arial"/>
          <w:sz w:val="18"/>
          <w:szCs w:val="18"/>
          <w:color w:val="auto"/>
        </w:rPr>
      </w:pPr>
      <w:r>
        <w:rPr>
          <w:rFonts w:ascii="Arial" w:cs="Arial" w:eastAsia="Arial" w:hAnsi="Arial"/>
          <w:sz w:val="18"/>
          <w:szCs w:val="18"/>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was issued in violation of the preemptive or similar rights of any security holder thereof;</w:t>
      </w:r>
    </w:p>
    <w:p>
      <w:pPr>
        <w:spacing w:after="0" w:line="84" w:lineRule="exact"/>
        <w:rPr>
          <w:rFonts w:ascii="Arial" w:cs="Arial" w:eastAsia="Arial" w:hAnsi="Arial"/>
          <w:sz w:val="18"/>
          <w:szCs w:val="18"/>
          <w:color w:val="auto"/>
        </w:rPr>
      </w:pPr>
    </w:p>
    <w:p>
      <w:pPr>
        <w:ind w:left="224" w:right="40" w:firstLine="229"/>
        <w:spacing w:after="0" w:line="276" w:lineRule="auto"/>
        <w:tabs>
          <w:tab w:leader="none" w:pos="714" w:val="left"/>
        </w:tabs>
        <w:numPr>
          <w:ilvl w:val="2"/>
          <w:numId w:val="27"/>
        </w:numPr>
        <w:rPr>
          <w:rFonts w:ascii="Arial" w:cs="Arial" w:eastAsia="Arial" w:hAnsi="Arial"/>
          <w:sz w:val="17"/>
          <w:szCs w:val="17"/>
          <w:color w:val="auto"/>
        </w:rPr>
      </w:pPr>
      <w:r>
        <w:rPr>
          <w:rFonts w:ascii="Arial" w:cs="Arial" w:eastAsia="Arial" w:hAnsi="Arial"/>
          <w:sz w:val="17"/>
          <w:szCs w:val="17"/>
          <w:color w:val="auto"/>
        </w:rPr>
        <w:t>the documents incorporated by reference in the Registration Statement, the Time of Sale Information and the Final Prospectus (other than the financial statements, related schedules and other financial data included therein or omitted therefrom, as to which he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64" w:lineRule="exact"/>
        <w:rPr>
          <w:rFonts w:ascii="Arial" w:cs="Arial" w:eastAsia="Arial" w:hAnsi="Arial"/>
          <w:sz w:val="17"/>
          <w:szCs w:val="17"/>
          <w:color w:val="auto"/>
        </w:rPr>
      </w:pPr>
    </w:p>
    <w:p>
      <w:pPr>
        <w:ind w:left="224" w:right="140" w:firstLine="229"/>
        <w:spacing w:after="0" w:line="264" w:lineRule="auto"/>
        <w:tabs>
          <w:tab w:leader="none" w:pos="764" w:val="left"/>
        </w:tabs>
        <w:numPr>
          <w:ilvl w:val="2"/>
          <w:numId w:val="27"/>
        </w:numPr>
        <w:rPr>
          <w:rFonts w:ascii="Arial" w:cs="Arial" w:eastAsia="Arial" w:hAnsi="Arial"/>
          <w:sz w:val="18"/>
          <w:szCs w:val="18"/>
          <w:color w:val="auto"/>
        </w:rPr>
      </w:pPr>
      <w:r>
        <w:rPr>
          <w:rFonts w:ascii="Arial" w:cs="Arial" w:eastAsia="Arial" w:hAnsi="Arial"/>
          <w:sz w:val="18"/>
          <w:szCs w:val="18"/>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w:t>
      </w:r>
    </w:p>
    <w:p>
      <w:pPr>
        <w:spacing w:after="0" w:line="154"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25" w:name="page26"/>
    <w:bookmarkEnd w:id="25"/>
    <w:p>
      <w:pPr>
        <w:ind w:left="220"/>
        <w:spacing w:after="0"/>
        <w:rPr>
          <w:sz w:val="20"/>
          <w:szCs w:val="20"/>
          <w:color w:val="auto"/>
        </w:rPr>
      </w:pPr>
      <w:r>
        <w:rPr>
          <w:rFonts w:ascii="Arial" w:cs="Arial" w:eastAsia="Arial" w:hAnsi="Arial"/>
          <w:sz w:val="17"/>
          <w:szCs w:val="17"/>
          <w:color w:val="auto"/>
        </w:rPr>
        <w:t>brought by any court or governmental agency or body, domestic or foreign, in which there is a reasonable probability of a Material Adverse Effect;</w:t>
      </w:r>
    </w:p>
    <w:p>
      <w:pPr>
        <w:spacing w:after="0" w:line="129" w:lineRule="exact"/>
        <w:rPr>
          <w:sz w:val="20"/>
          <w:szCs w:val="20"/>
          <w:color w:val="auto"/>
        </w:rPr>
      </w:pPr>
    </w:p>
    <w:p>
      <w:pPr>
        <w:ind w:left="760" w:hanging="311"/>
        <w:spacing w:after="0"/>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such counsel does not know of any statutes or regulations or any pending or threatened legal or governmental proceedings required to be</w:t>
      </w:r>
    </w:p>
    <w:p>
      <w:pPr>
        <w:spacing w:after="0" w:line="34" w:lineRule="exact"/>
        <w:rPr>
          <w:rFonts w:ascii="Arial" w:cs="Arial" w:eastAsia="Arial" w:hAnsi="Arial"/>
          <w:sz w:val="17"/>
          <w:szCs w:val="17"/>
          <w:color w:val="auto"/>
        </w:rPr>
      </w:pPr>
    </w:p>
    <w:p>
      <w:pPr>
        <w:jc w:val="both"/>
        <w:ind w:left="220" w:right="40"/>
        <w:spacing w:after="0" w:line="277" w:lineRule="auto"/>
        <w:rPr>
          <w:rFonts w:ascii="Arial" w:cs="Arial" w:eastAsia="Arial" w:hAnsi="Arial"/>
          <w:sz w:val="17"/>
          <w:szCs w:val="17"/>
          <w:color w:val="auto"/>
        </w:rPr>
      </w:pPr>
      <w:r>
        <w:rPr>
          <w:rFonts w:ascii="Arial" w:cs="Arial" w:eastAsia="Arial" w:hAnsi="Arial"/>
          <w:sz w:val="17"/>
          <w:szCs w:val="17"/>
          <w:color w:val="auto"/>
        </w:rPr>
        <w:t>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65" w:lineRule="exact"/>
        <w:rPr>
          <w:rFonts w:ascii="Arial" w:cs="Arial" w:eastAsia="Arial" w:hAnsi="Arial"/>
          <w:sz w:val="17"/>
          <w:szCs w:val="17"/>
          <w:color w:val="auto"/>
        </w:rPr>
      </w:pPr>
    </w:p>
    <w:p>
      <w:pPr>
        <w:ind w:left="220" w:right="120" w:firstLine="229"/>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counsel does not know of any holders of securities of the Company or Holdings that have rights to the registration of such securities under the Registration Statement; and</w:t>
      </w:r>
    </w:p>
    <w:p>
      <w:pPr>
        <w:spacing w:after="0" w:line="62" w:lineRule="exact"/>
        <w:rPr>
          <w:rFonts w:ascii="Arial" w:cs="Arial" w:eastAsia="Arial" w:hAnsi="Arial"/>
          <w:sz w:val="18"/>
          <w:szCs w:val="18"/>
          <w:color w:val="auto"/>
        </w:rPr>
      </w:pPr>
    </w:p>
    <w:p>
      <w:pPr>
        <w:ind w:left="760" w:hanging="311"/>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execution and delivery of this Agreement, the Notes, the Guarantee Agreement and the execution and performance of the Indenture (the</w:t>
      </w:r>
    </w:p>
    <w:p>
      <w:pPr>
        <w:spacing w:after="0" w:line="46" w:lineRule="exact"/>
        <w:rPr>
          <w:sz w:val="20"/>
          <w:szCs w:val="20"/>
          <w:color w:val="auto"/>
        </w:rPr>
      </w:pPr>
    </w:p>
    <w:p>
      <w:pPr>
        <w:ind w:left="2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Operative Agreements</w:t>
      </w:r>
      <w:r>
        <w:rPr>
          <w:rFonts w:ascii="Arial" w:cs="Arial" w:eastAsia="Arial" w:hAnsi="Arial"/>
          <w:sz w:val="17"/>
          <w:szCs w:val="17"/>
          <w:color w:val="auto"/>
        </w:rPr>
        <w:t>”),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73" w:lineRule="exact"/>
        <w:rPr>
          <w:sz w:val="20"/>
          <w:szCs w:val="20"/>
          <w:color w:val="auto"/>
        </w:rPr>
      </w:pPr>
    </w:p>
    <w:p>
      <w:pPr>
        <w:jc w:val="both"/>
        <w:ind w:right="40" w:firstLine="221"/>
        <w:spacing w:after="0" w:line="302" w:lineRule="auto"/>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46" w:lineRule="exact"/>
        <w:rPr>
          <w:rFonts w:ascii="Arial" w:cs="Arial" w:eastAsia="Arial" w:hAnsi="Arial"/>
          <w:sz w:val="16"/>
          <w:szCs w:val="16"/>
          <w:color w:val="auto"/>
        </w:rPr>
      </w:pPr>
    </w:p>
    <w:p>
      <w:pPr>
        <w:ind w:right="280" w:firstLine="221"/>
        <w:spacing w:after="0" w:line="286" w:lineRule="auto"/>
        <w:tabs>
          <w:tab w:leader="none" w:pos="47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Statement, the Time of Sale Information and the Final Prospectus, any supplements to the Time of Sale Information and the Final Prospectus, and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and that:</w:t>
      </w:r>
    </w:p>
    <w:p>
      <w:pPr>
        <w:spacing w:after="0" w:line="103" w:lineRule="exact"/>
        <w:rPr>
          <w:sz w:val="20"/>
          <w:szCs w:val="20"/>
          <w:color w:val="auto"/>
        </w:rPr>
      </w:pPr>
    </w:p>
    <w:p>
      <w:pPr>
        <w:ind w:left="220" w:right="80" w:firstLine="229"/>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case of Holdings, the representations and warranties of Holdings in this Agreement are true and correct on and as of the Closing Date with the same effect as if made on the Closing Date;</w:t>
      </w:r>
    </w:p>
    <w:p>
      <w:pPr>
        <w:spacing w:after="0" w:line="62" w:lineRule="exact"/>
        <w:rPr>
          <w:rFonts w:ascii="Arial" w:cs="Arial" w:eastAsia="Arial" w:hAnsi="Arial"/>
          <w:sz w:val="18"/>
          <w:szCs w:val="18"/>
          <w:color w:val="auto"/>
        </w:rPr>
      </w:pPr>
    </w:p>
    <w:p>
      <w:pPr>
        <w:jc w:val="both"/>
        <w:ind w:left="220" w:right="120" w:firstLine="229"/>
        <w:spacing w:after="0" w:line="264" w:lineRule="auto"/>
        <w:tabs>
          <w:tab w:leader="none" w:pos="7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73" w:lineRule="exact"/>
        <w:rPr>
          <w:rFonts w:ascii="Arial" w:cs="Arial" w:eastAsia="Arial" w:hAnsi="Arial"/>
          <w:sz w:val="18"/>
          <w:szCs w:val="18"/>
          <w:color w:val="auto"/>
        </w:rPr>
      </w:pPr>
    </w:p>
    <w:p>
      <w:pPr>
        <w:ind w:left="220" w:right="640" w:firstLine="229"/>
        <w:spacing w:after="0" w:line="277" w:lineRule="auto"/>
        <w:tabs>
          <w:tab w:leader="none" w:pos="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for that purpose have been instituted or, to the Company’s knowledge, threatened; and</w:t>
      </w:r>
    </w:p>
    <w:p>
      <w:pPr>
        <w:spacing w:after="0" w:line="62" w:lineRule="exact"/>
        <w:rPr>
          <w:rFonts w:ascii="Arial" w:cs="Arial" w:eastAsia="Arial" w:hAnsi="Arial"/>
          <w:sz w:val="18"/>
          <w:szCs w:val="18"/>
          <w:color w:val="auto"/>
        </w:rPr>
      </w:pPr>
    </w:p>
    <w:p>
      <w:pPr>
        <w:ind w:left="220" w:right="60" w:firstLine="229"/>
        <w:spacing w:after="0" w:line="257" w:lineRule="auto"/>
        <w:tabs>
          <w:tab w:leader="none" w:pos="7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80" w:lineRule="exact"/>
        <w:rPr>
          <w:rFonts w:ascii="Arial" w:cs="Arial" w:eastAsia="Arial" w:hAnsi="Arial"/>
          <w:sz w:val="18"/>
          <w:szCs w:val="18"/>
          <w:color w:val="auto"/>
        </w:rPr>
      </w:pPr>
    </w:p>
    <w:p>
      <w:pPr>
        <w:ind w:firstLine="221"/>
        <w:spacing w:after="0" w:line="257" w:lineRule="auto"/>
        <w:tabs>
          <w:tab w:leader="none" w:pos="4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80" w:lineRule="exact"/>
        <w:rPr>
          <w:rFonts w:ascii="Arial" w:cs="Arial" w:eastAsia="Arial" w:hAnsi="Arial"/>
          <w:sz w:val="18"/>
          <w:szCs w:val="18"/>
          <w:color w:val="auto"/>
        </w:rPr>
      </w:pPr>
    </w:p>
    <w:p>
      <w:pPr>
        <w:ind w:left="220" w:right="540" w:firstLine="229"/>
        <w:spacing w:after="0" w:line="312"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 their opinion the audited financial statements and financial statement schedule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38" w:lineRule="exact"/>
        <w:rPr>
          <w:rFonts w:ascii="Arial" w:cs="Arial" w:eastAsia="Arial" w:hAnsi="Arial"/>
          <w:sz w:val="16"/>
          <w:szCs w:val="16"/>
          <w:color w:val="auto"/>
        </w:rPr>
      </w:pPr>
    </w:p>
    <w:p>
      <w:pPr>
        <w:ind w:left="220" w:right="520" w:firstLine="229"/>
        <w:spacing w:after="0" w:line="264"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information included or incorporated by reference in the Registration Statement, the Time of Sale Information and Final Prospectus in response to Regulation S-K, Item 301 (Selected Financial Data) and Item 503(d) (Ratio of Earnings to Fixed Charges) is in conformity with the applicable disclosure requirements of Regulation S-K; and</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7" w:name="page28"/>
    <w:bookmarkEnd w:id="27"/>
    <w:p>
      <w:pPr>
        <w:ind w:left="460" w:firstLine="229"/>
        <w:spacing w:after="0" w:line="272"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and in Exhibit 12 to the Registration Statement, the information included or incorporated by reference in the Company’s Annual Report on Form 10-K for the year ended December 31, 2010,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w:t>
      </w:r>
    </w:p>
    <w:p>
      <w:pPr>
        <w:spacing w:after="0" w:line="70"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62" w:lineRule="exact"/>
        <w:rPr>
          <w:sz w:val="20"/>
          <w:szCs w:val="20"/>
          <w:color w:val="auto"/>
        </w:rPr>
      </w:pPr>
    </w:p>
    <w:p>
      <w:pPr>
        <w:ind w:left="240" w:right="20" w:firstLine="221"/>
        <w:spacing w:after="0" w:line="270"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73" w:lineRule="exact"/>
        <w:rPr>
          <w:rFonts w:ascii="Arial" w:cs="Arial" w:eastAsia="Arial" w:hAnsi="Arial"/>
          <w:sz w:val="17"/>
          <w:szCs w:val="17"/>
          <w:color w:val="auto"/>
        </w:rPr>
      </w:pPr>
    </w:p>
    <w:p>
      <w:pPr>
        <w:ind w:left="240" w:right="60" w:firstLine="221"/>
        <w:spacing w:after="0" w:line="286"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57" w:lineRule="exact"/>
        <w:rPr>
          <w:rFonts w:ascii="Arial" w:cs="Arial" w:eastAsia="Arial" w:hAnsi="Arial"/>
          <w:sz w:val="17"/>
          <w:szCs w:val="17"/>
          <w:color w:val="auto"/>
        </w:rPr>
      </w:pPr>
    </w:p>
    <w:p>
      <w:pPr>
        <w:ind w:left="240" w:right="740" w:firstLine="221"/>
        <w:spacing w:after="0" w:line="277"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the Closing Date, the Company and Holdings shall have furnished to the Representatives such further information, certificates and documents as the Representatives may reasonably request.</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ind w:right="180"/>
        <w:spacing w:after="0" w:line="259" w:lineRule="auto"/>
        <w:rPr>
          <w:sz w:val="20"/>
          <w:szCs w:val="20"/>
          <w:color w:val="auto"/>
        </w:rPr>
      </w:pPr>
      <w:r>
        <w:rPr>
          <w:rFonts w:ascii="Arial" w:cs="Arial" w:eastAsia="Arial" w:hAnsi="Arial"/>
          <w:sz w:val="18"/>
          <w:szCs w:val="18"/>
          <w:color w:val="auto"/>
        </w:rPr>
        <w:t>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79"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62" w:lineRule="exact"/>
        <w:rPr>
          <w:sz w:val="20"/>
          <w:szCs w:val="20"/>
          <w:color w:val="auto"/>
        </w:rPr>
      </w:pPr>
    </w:p>
    <w:p>
      <w:pPr>
        <w:ind w:right="20" w:firstLine="233"/>
        <w:spacing w:after="0" w:line="273" w:lineRule="auto"/>
        <w:tabs>
          <w:tab w:leader="none" w:pos="40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Reimbursement of Underwriters’ Expenses</w:t>
      </w:r>
      <w:r>
        <w:rPr>
          <w:rFonts w:ascii="Arial" w:cs="Arial" w:eastAsia="Arial" w:hAnsi="Arial"/>
          <w:sz w:val="17"/>
          <w:szCs w:val="17"/>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70" w:lineRule="exact"/>
        <w:rPr>
          <w:rFonts w:ascii="Arial" w:cs="Arial" w:eastAsia="Arial" w:hAnsi="Arial"/>
          <w:sz w:val="17"/>
          <w:szCs w:val="17"/>
          <w:color w:val="auto"/>
        </w:rPr>
      </w:pPr>
    </w:p>
    <w:p>
      <w:pPr>
        <w:ind w:firstLine="233"/>
        <w:spacing w:after="0" w:line="286" w:lineRule="auto"/>
        <w:tabs>
          <w:tab w:leader="none" w:pos="40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xml:space="preserve">. (a) Each of the Company and Holdings, jointly and severally,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ind w:left="-8" w:firstLine="458"/>
        <w:spacing w:after="0" w:line="288" w:lineRule="auto"/>
        <w:tabs>
          <w:tab w:leader="none" w:pos="69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Arial" w:cs="Arial" w:eastAsia="Arial" w:hAnsi="Arial"/>
          <w:sz w:val="16"/>
          <w:szCs w:val="16"/>
          <w:u w:val="single" w:color="auto"/>
          <w:color w:val="auto"/>
        </w:rPr>
        <w:t>Foregoing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Indemnity</w:t>
      </w:r>
      <w:r>
        <w:rPr>
          <w:rFonts w:ascii="Arial" w:cs="Arial" w:eastAsia="Arial" w:hAnsi="Arial"/>
          <w:sz w:val="16"/>
          <w:szCs w:val="16"/>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w:t>
      </w:r>
    </w:p>
    <w:p>
      <w:pPr>
        <w:spacing w:after="0" w:line="61" w:lineRule="exact"/>
        <w:rPr>
          <w:rFonts w:ascii="Arial" w:cs="Arial" w:eastAsia="Arial" w:hAnsi="Arial"/>
          <w:sz w:val="16"/>
          <w:szCs w:val="16"/>
          <w:color w:val="auto"/>
        </w:rPr>
      </w:pPr>
    </w:p>
    <w:p>
      <w:pPr>
        <w:ind w:left="-8" w:right="40" w:firstLine="458"/>
        <w:spacing w:after="0" w:line="285" w:lineRule="auto"/>
        <w:tabs>
          <w:tab w:leader="none" w:pos="687" w:val="left"/>
        </w:tabs>
        <w:numPr>
          <w:ilvl w:val="1"/>
          <w:numId w:val="35"/>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w:t>
      </w:r>
    </w:p>
    <w:p>
      <w:pPr>
        <w:spacing w:after="0" w:line="2" w:lineRule="exact"/>
        <w:rPr>
          <w:rFonts w:ascii="Arial" w:cs="Arial" w:eastAsia="Arial" w:hAnsi="Arial"/>
          <w:sz w:val="16"/>
          <w:szCs w:val="16"/>
          <w:color w:val="auto"/>
        </w:rPr>
      </w:pPr>
    </w:p>
    <w:p>
      <w:pPr>
        <w:ind w:left="-8" w:right="40" w:firstLine="8"/>
        <w:spacing w:after="0" w:line="267" w:lineRule="auto"/>
        <w:tabs>
          <w:tab w:leader="none" w:pos="247"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w:t>
      </w:r>
    </w:p>
    <w:p>
      <w:pPr>
        <w:spacing w:after="0" w:line="1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30" w:name="page31"/>
    <w:bookmarkEnd w:id="30"/>
    <w:p>
      <w:pPr>
        <w:ind w:right="40"/>
        <w:spacing w:after="0" w:line="257" w:lineRule="auto"/>
        <w:rPr>
          <w:sz w:val="20"/>
          <w:szCs w:val="20"/>
          <w:color w:val="auto"/>
        </w:rPr>
      </w:pPr>
      <w:r>
        <w:rPr>
          <w:rFonts w:ascii="Arial" w:cs="Arial" w:eastAsia="Arial" w:hAnsi="Arial"/>
          <w:sz w:val="18"/>
          <w:szCs w:val="18"/>
          <w:color w:val="auto"/>
        </w:rPr>
        <w:t>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80" w:lineRule="exact"/>
        <w:rPr>
          <w:sz w:val="20"/>
          <w:szCs w:val="20"/>
          <w:color w:val="auto"/>
        </w:rPr>
      </w:pPr>
    </w:p>
    <w:p>
      <w:pPr>
        <w:ind w:firstLine="458"/>
        <w:spacing w:after="0" w:line="284"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have the same rights to contribution as the Company or Holdings, subject in each case to the applicable terms and conditions of this paragraph (d).</w:t>
      </w:r>
    </w:p>
    <w:p>
      <w:pPr>
        <w:spacing w:after="0" w:line="129" w:lineRule="exact"/>
        <w:rPr>
          <w:sz w:val="20"/>
          <w:szCs w:val="20"/>
          <w:color w:val="auto"/>
        </w:rPr>
      </w:pPr>
    </w:p>
    <w:p>
      <w:pPr>
        <w:ind w:firstLine="233"/>
        <w:spacing w:after="0" w:line="268" w:lineRule="auto"/>
        <w:tabs>
          <w:tab w:leader="none" w:pos="49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79" w:lineRule="exact"/>
        <w:rPr>
          <w:rFonts w:ascii="Arial" w:cs="Arial" w:eastAsia="Arial" w:hAnsi="Arial"/>
          <w:sz w:val="17"/>
          <w:szCs w:val="17"/>
          <w:color w:val="auto"/>
        </w:rPr>
      </w:pPr>
    </w:p>
    <w:p>
      <w:pPr>
        <w:ind w:right="80" w:firstLine="233"/>
        <w:spacing w:after="0" w:line="270" w:lineRule="auto"/>
        <w:tabs>
          <w:tab w:leader="none" w:pos="48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73" w:lineRule="exact"/>
        <w:rPr>
          <w:rFonts w:ascii="Arial" w:cs="Arial" w:eastAsia="Arial" w:hAnsi="Arial"/>
          <w:sz w:val="17"/>
          <w:szCs w:val="17"/>
          <w:color w:val="auto"/>
        </w:rPr>
      </w:pPr>
    </w:p>
    <w:p>
      <w:pPr>
        <w:ind w:right="80" w:firstLine="233"/>
        <w:spacing w:after="0" w:line="259"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Securities. The provisions of Sections 8 and 9 hereof shall survive the termination or cancellation of this Agreement.</w:t>
      </w:r>
    </w:p>
    <w:p>
      <w:pPr>
        <w:spacing w:after="0" w:line="117" w:lineRule="exact"/>
        <w:rPr>
          <w:sz w:val="20"/>
          <w:szCs w:val="20"/>
          <w:color w:val="auto"/>
        </w:rPr>
      </w:pPr>
    </w:p>
    <w:p>
      <w:pPr>
        <w:ind w:firstLine="233"/>
        <w:spacing w:after="0" w:line="276" w:lineRule="auto"/>
        <w:tabs>
          <w:tab w:leader="none" w:pos="49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hereunder will be in writing and effective only on receipt, and, if sent to the Representatives, will be mailed, delivered or telefaxed to: (1) Deutsche Bank Securities Inc., 60 Wall Street, 3</w:t>
      </w:r>
      <w:r>
        <w:rPr>
          <w:rFonts w:ascii="Arial" w:cs="Arial" w:eastAsia="Arial" w:hAnsi="Arial"/>
          <w:sz w:val="14"/>
          <w:szCs w:val="14"/>
          <w:color w:val="auto"/>
        </w:rPr>
        <w:t>rd</w:t>
      </w:r>
      <w:r>
        <w:rPr>
          <w:rFonts w:ascii="Arial" w:cs="Arial" w:eastAsia="Arial" w:hAnsi="Arial"/>
          <w:sz w:val="17"/>
          <w:szCs w:val="17"/>
          <w:color w:val="auto"/>
        </w:rPr>
        <w:t xml:space="preserve"> Floor, New York, New York 10005, Attention: Investment Grade Syndicate Desk (fax no.: 212.797.2201) and (2) RBS Securities Inc., 600 Washington Blvd, Stamford, CT 06901, Attn: Debt Capital Markets Syndicate (fax no.: 203.873.4534); or, if sent to the Company or Holdings, will be mailed, delivered or telefaxed to Waste Management, Inc., Attn: General Counsel (fax no.: 713-209-9710) and confirmed to it at 1001 Fannin, Suite 4000, Houston, Texas 77002, attention of the Legal Department.</w:t>
      </w:r>
    </w:p>
    <w:p>
      <w:pPr>
        <w:spacing w:after="0" w:line="64" w:lineRule="exact"/>
        <w:rPr>
          <w:rFonts w:ascii="Arial" w:cs="Arial" w:eastAsia="Arial" w:hAnsi="Arial"/>
          <w:sz w:val="17"/>
          <w:szCs w:val="17"/>
          <w:color w:val="auto"/>
        </w:rPr>
      </w:pPr>
    </w:p>
    <w:p>
      <w:pPr>
        <w:ind w:right="620" w:firstLine="233"/>
        <w:spacing w:after="0" w:line="342" w:lineRule="auto"/>
        <w:tabs>
          <w:tab w:leader="none" w:pos="49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5" w:lineRule="exact"/>
        <w:rPr>
          <w:rFonts w:ascii="Arial" w:cs="Arial" w:eastAsia="Arial" w:hAnsi="Arial"/>
          <w:sz w:val="16"/>
          <w:szCs w:val="16"/>
          <w:color w:val="auto"/>
        </w:rPr>
      </w:pPr>
    </w:p>
    <w:p>
      <w:pPr>
        <w:ind w:right="360" w:firstLine="233"/>
        <w:spacing w:after="0" w:line="27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62" w:lineRule="exact"/>
        <w:rPr>
          <w:rFonts w:ascii="Arial" w:cs="Arial" w:eastAsia="Arial" w:hAnsi="Arial"/>
          <w:sz w:val="18"/>
          <w:szCs w:val="18"/>
          <w:color w:val="auto"/>
        </w:rPr>
      </w:pPr>
    </w:p>
    <w:p>
      <w:pPr>
        <w:ind w:right="280" w:firstLine="233"/>
        <w:spacing w:after="0" w:line="27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62" w:lineRule="exact"/>
        <w:rPr>
          <w:rFonts w:ascii="Arial" w:cs="Arial" w:eastAsia="Arial" w:hAnsi="Arial"/>
          <w:sz w:val="18"/>
          <w:szCs w:val="18"/>
          <w:color w:val="auto"/>
        </w:rPr>
      </w:pPr>
    </w:p>
    <w:p>
      <w:pPr>
        <w:ind w:left="500" w:hanging="267"/>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17" w:lineRule="exact"/>
        <w:rPr>
          <w:rFonts w:ascii="Arial" w:cs="Arial" w:eastAsia="Arial" w:hAnsi="Arial"/>
          <w:sz w:val="18"/>
          <w:szCs w:val="18"/>
          <w:color w:val="auto"/>
        </w:rPr>
      </w:pPr>
    </w:p>
    <w:p>
      <w:pPr>
        <w:ind w:left="500" w:hanging="267"/>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left="240" w:right="140" w:firstLine="225"/>
        <w:spacing w:after="0" w:line="277" w:lineRule="auto"/>
        <w:rPr>
          <w:sz w:val="20"/>
          <w:szCs w:val="20"/>
          <w:color w:val="auto"/>
        </w:rPr>
      </w:pPr>
      <w:r>
        <w:rPr>
          <w:rFonts w:ascii="Arial" w:cs="Arial" w:eastAsia="Arial" w:hAnsi="Arial"/>
          <w:sz w:val="18"/>
          <w:szCs w:val="18"/>
          <w:color w:val="auto"/>
        </w:rPr>
        <w:t>“affiliate” shall mean a person that directly, or indirectly through one or more intermediaries, controls or is controlled by, or is under common control with, the person specified.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“Basic Prospectus” shall mean the prospectus referred to in Section 1(a) above contained in the Registration Statement at the Effective Date.</w:t>
      </w:r>
    </w:p>
    <w:p>
      <w:pPr>
        <w:spacing w:after="0" w:line="129" w:lineRule="exact"/>
        <w:rPr>
          <w:sz w:val="20"/>
          <w:szCs w:val="20"/>
          <w:color w:val="auto"/>
        </w:rPr>
      </w:pPr>
    </w:p>
    <w:p>
      <w:pPr>
        <w:ind w:left="240" w:right="260" w:firstLine="225"/>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3" w:name="page34"/>
    <w:bookmarkEnd w:id="33"/>
    <w:p>
      <w:pPr>
        <w:ind w:right="300" w:firstLine="225"/>
        <w:spacing w:after="0" w:line="342" w:lineRule="auto"/>
        <w:rPr>
          <w:sz w:val="20"/>
          <w:szCs w:val="20"/>
          <w:color w:val="auto"/>
        </w:rPr>
      </w:pPr>
      <w:r>
        <w:rPr>
          <w:rFonts w:ascii="Arial" w:cs="Arial" w:eastAsia="Arial" w:hAnsi="Arial"/>
          <w:sz w:val="16"/>
          <w:szCs w:val="16"/>
          <w:color w:val="auto"/>
        </w:rPr>
        <w:t>“Effective Date”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6"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Time of Sale, together with the Basic Prospectus.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“1940 Act” shall mean the Investment Company Act of 1940, as amended.</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“Preliminary Prospectus” shall mean the preliminary prospectus supplement relating to the Securities dated February 23, 2011 that was filed with the Commission pursuant to Rule 424(b) prior to the Time of Sale, together with the Basic Prospectus.</w:t>
      </w:r>
    </w:p>
    <w:p>
      <w:pPr>
        <w:spacing w:after="0" w:line="62"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“Prospectus Delivery Period”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73"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“Registration Statement”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“Rule 415,” “Rule 424,” “Rule 430A,” “Rule 430B,” “Rule 430C” and “Rule 462” refer to such rules under the Act.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“Rule 430 Information”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73"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above.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“Time of Sale” shall mean 2:40 P.M. New York time on February 23, 2011, the time when sales of the Securities were first made.</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34" w:name="page35"/>
    <w:bookmarkEnd w:id="34"/>
    <w:p>
      <w:pPr>
        <w:ind w:left="7" w:right="380" w:firstLine="225"/>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62" w:lineRule="exact"/>
        <w:rPr>
          <w:sz w:val="20"/>
          <w:szCs w:val="20"/>
          <w:color w:val="auto"/>
        </w:rPr>
      </w:pPr>
    </w:p>
    <w:p>
      <w:pPr>
        <w:ind w:left="-233" w:right="80" w:firstLine="233"/>
        <w:spacing w:after="0" w:line="312" w:lineRule="auto"/>
        <w:tabs>
          <w:tab w:leader="none" w:pos="26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Consent to Representation</w:t>
      </w:r>
      <w:r>
        <w:rPr>
          <w:rFonts w:ascii="Arial" w:cs="Arial" w:eastAsia="Arial" w:hAnsi="Arial"/>
          <w:sz w:val="16"/>
          <w:szCs w:val="16"/>
          <w:color w:val="auto"/>
        </w:rPr>
        <w:t>.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38" w:lineRule="exact"/>
        <w:rPr>
          <w:rFonts w:ascii="Arial" w:cs="Arial" w:eastAsia="Arial" w:hAnsi="Arial"/>
          <w:sz w:val="16"/>
          <w:szCs w:val="16"/>
          <w:color w:val="auto"/>
        </w:rPr>
      </w:pPr>
    </w:p>
    <w:p>
      <w:pPr>
        <w:ind w:left="-233" w:firstLine="233"/>
        <w:spacing w:after="0" w:line="259" w:lineRule="auto"/>
        <w:tabs>
          <w:tab w:leader="none" w:pos="26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95" w:lineRule="exact"/>
        <w:rPr>
          <w:sz w:val="20"/>
          <w:szCs w:val="20"/>
          <w:color w:val="auto"/>
        </w:rPr>
      </w:pPr>
    </w:p>
    <w:p>
      <w:pPr>
        <w:jc w:val="center"/>
        <w:ind w:right="-16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98" w:lineRule="exact"/>
        <w:rPr>
          <w:sz w:val="20"/>
          <w:szCs w:val="20"/>
          <w:color w:val="auto"/>
        </w:rPr>
      </w:pPr>
    </w:p>
    <w:p>
      <w:pPr>
        <w:jc w:val="center"/>
        <w:ind w:right="-166"/>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7"/>
          </w:cols>
          <w:pgMar w:left="473" w:top="936" w:right="639" w:bottom="1440" w:gutter="0" w:footer="0" w:header="0"/>
        </w:sectPr>
      </w:pPr>
    </w:p>
    <w:bookmarkStart w:id="35" w:name="page36"/>
    <w:bookmarkEnd w:id="35"/>
    <w:p>
      <w:pPr>
        <w:ind w:firstLine="225"/>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4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Cherie C. Rice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President-Finance &amp; Treasurer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Cherie C. Rice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&amp; Treasurer</w:t>
      </w:r>
    </w:p>
    <w:p>
      <w:pPr>
        <w:spacing w:after="0" w:line="319"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auto"/>
        </w:rPr>
        <w:t>Signature Page to Underwriting Agreement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935" w:right="6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The foregoing Agreement is hereby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confirmed and 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set forth above.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Marc Fratepietro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Marc Fratepietro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30956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Managing Director, CMTS North America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Jared Birnbaum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Jared Birnbaum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30956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RBS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Thomas Bausano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Thomas Bausano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30956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any, named in Schedule II to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319" w:lineRule="exact"/>
        <w:rPr>
          <w:sz w:val="20"/>
          <w:szCs w:val="20"/>
          <w:color w:val="auto"/>
        </w:rPr>
      </w:pPr>
    </w:p>
    <w:p>
      <w:pPr>
        <w:jc w:val="right"/>
        <w:ind w:right="2799"/>
        <w:spacing w:after="0"/>
        <w:rPr>
          <w:sz w:val="20"/>
          <w:szCs w:val="20"/>
          <w:color w:val="auto"/>
        </w:rPr>
      </w:pPr>
      <w:r>
        <w:rPr>
          <w:rFonts w:ascii="Arial" w:cs="Arial" w:eastAsia="Arial" w:hAnsi="Arial"/>
          <w:sz w:val="18"/>
          <w:szCs w:val="18"/>
          <w:i w:val="1"/>
          <w:iCs w:val="1"/>
          <w:color w:val="auto"/>
        </w:rPr>
        <w:t>Signature Page to Underwriting Agreement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6"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Free Writing Prospectus dated February 23, 2011 relating to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February 23, 2011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Prospectus dated September 22, 2009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333-162059</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760" w:type="dxa"/>
            <w:vAlign w:val="bottom"/>
          </w:tcPr>
          <w:p>
            <w:pPr>
              <w:ind w:left="1080"/>
              <w:spacing w:after="0"/>
              <w:rPr>
                <w:sz w:val="20"/>
                <w:szCs w:val="20"/>
                <w:color w:val="auto"/>
              </w:rPr>
            </w:pPr>
            <w:r>
              <w:rPr>
                <w:rFonts w:ascii="Arial" w:cs="Arial" w:eastAsia="Arial" w:hAnsi="Arial"/>
                <w:sz w:val="18"/>
                <w:szCs w:val="18"/>
                <w:b w:val="1"/>
                <w:bCs w:val="1"/>
                <w:color w:val="auto"/>
              </w:rPr>
              <w:t>Final Pricing Term Sheet</w:t>
            </w:r>
          </w:p>
        </w:tc>
      </w:tr>
      <w:tr>
        <w:trPr>
          <w:trHeight w:val="234"/>
        </w:trPr>
        <w:tc>
          <w:tcPr>
            <w:tcW w:w="3660" w:type="dxa"/>
            <w:vAlign w:val="bottom"/>
          </w:tcPr>
          <w:p>
            <w:pPr>
              <w:spacing w:after="0"/>
              <w:rPr>
                <w:sz w:val="20"/>
                <w:szCs w:val="20"/>
                <w:color w:val="auto"/>
              </w:rPr>
            </w:pPr>
          </w:p>
        </w:tc>
        <w:tc>
          <w:tcPr>
            <w:tcW w:w="7760" w:type="dxa"/>
            <w:vAlign w:val="bottom"/>
          </w:tcPr>
          <w:p>
            <w:pPr>
              <w:ind w:left="940"/>
              <w:spacing w:after="0"/>
              <w:rPr>
                <w:sz w:val="20"/>
                <w:szCs w:val="20"/>
                <w:color w:val="auto"/>
              </w:rPr>
            </w:pPr>
            <w:r>
              <w:rPr>
                <w:rFonts w:ascii="Arial" w:cs="Arial" w:eastAsia="Arial" w:hAnsi="Arial"/>
                <w:sz w:val="18"/>
                <w:szCs w:val="18"/>
                <w:b w:val="1"/>
                <w:bCs w:val="1"/>
                <w:color w:val="auto"/>
              </w:rPr>
              <w:t>4.60% Senior Notes due 2021</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Issuer:</w:t>
            </w:r>
          </w:p>
        </w:tc>
        <w:tc>
          <w:tcPr>
            <w:tcW w:w="7760" w:type="dxa"/>
            <w:vAlign w:val="bottom"/>
          </w:tcPr>
          <w:p>
            <w:pPr>
              <w:ind w:left="1500"/>
              <w:spacing w:after="0"/>
              <w:rPr>
                <w:sz w:val="20"/>
                <w:szCs w:val="20"/>
                <w:color w:val="auto"/>
              </w:rPr>
            </w:pPr>
            <w:r>
              <w:rPr>
                <w:rFonts w:ascii="Arial" w:cs="Arial" w:eastAsia="Arial" w:hAnsi="Arial"/>
                <w:sz w:val="18"/>
                <w:szCs w:val="18"/>
                <w:color w:val="auto"/>
              </w:rPr>
              <w:t>Waste Management,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Guarantor:</w:t>
            </w:r>
          </w:p>
        </w:tc>
        <w:tc>
          <w:tcPr>
            <w:tcW w:w="7760" w:type="dxa"/>
            <w:vAlign w:val="bottom"/>
          </w:tcPr>
          <w:p>
            <w:pPr>
              <w:ind w:left="1500"/>
              <w:spacing w:after="0"/>
              <w:rPr>
                <w:sz w:val="20"/>
                <w:szCs w:val="20"/>
                <w:color w:val="auto"/>
              </w:rPr>
            </w:pPr>
            <w:r>
              <w:rPr>
                <w:rFonts w:ascii="Arial" w:cs="Arial" w:eastAsia="Arial" w:hAnsi="Arial"/>
                <w:sz w:val="18"/>
                <w:szCs w:val="18"/>
                <w:color w:val="auto"/>
              </w:rPr>
              <w:t>Waste Management Holdings,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Principal Amount:</w:t>
            </w:r>
          </w:p>
        </w:tc>
        <w:tc>
          <w:tcPr>
            <w:tcW w:w="7760" w:type="dxa"/>
            <w:vAlign w:val="bottom"/>
          </w:tcPr>
          <w:p>
            <w:pPr>
              <w:ind w:left="1500"/>
              <w:spacing w:after="0"/>
              <w:rPr>
                <w:sz w:val="20"/>
                <w:szCs w:val="20"/>
                <w:color w:val="auto"/>
              </w:rPr>
            </w:pPr>
            <w:r>
              <w:rPr>
                <w:rFonts w:ascii="Arial" w:cs="Arial" w:eastAsia="Arial" w:hAnsi="Arial"/>
                <w:sz w:val="18"/>
                <w:szCs w:val="18"/>
                <w:color w:val="auto"/>
              </w:rPr>
              <w:t>$400,000,000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Maturity:</w:t>
            </w:r>
          </w:p>
        </w:tc>
        <w:tc>
          <w:tcPr>
            <w:tcW w:w="7760" w:type="dxa"/>
            <w:vAlign w:val="bottom"/>
          </w:tcPr>
          <w:p>
            <w:pPr>
              <w:ind w:left="1500"/>
              <w:spacing w:after="0"/>
              <w:rPr>
                <w:sz w:val="20"/>
                <w:szCs w:val="20"/>
                <w:color w:val="auto"/>
              </w:rPr>
            </w:pPr>
            <w:r>
              <w:rPr>
                <w:rFonts w:ascii="Arial" w:cs="Arial" w:eastAsia="Arial" w:hAnsi="Arial"/>
                <w:sz w:val="18"/>
                <w:szCs w:val="18"/>
                <w:color w:val="auto"/>
              </w:rPr>
              <w:t>March 1, 2021</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Coupon:</w:t>
            </w:r>
          </w:p>
        </w:tc>
        <w:tc>
          <w:tcPr>
            <w:tcW w:w="7760" w:type="dxa"/>
            <w:vAlign w:val="bottom"/>
          </w:tcPr>
          <w:p>
            <w:pPr>
              <w:ind w:left="1500"/>
              <w:spacing w:after="0"/>
              <w:rPr>
                <w:sz w:val="20"/>
                <w:szCs w:val="20"/>
                <w:color w:val="auto"/>
              </w:rPr>
            </w:pPr>
            <w:r>
              <w:rPr>
                <w:rFonts w:ascii="Arial" w:cs="Arial" w:eastAsia="Arial" w:hAnsi="Arial"/>
                <w:sz w:val="18"/>
                <w:szCs w:val="18"/>
                <w:color w:val="auto"/>
              </w:rPr>
              <w:t>4.60%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Price to Public:</w:t>
            </w:r>
          </w:p>
        </w:tc>
        <w:tc>
          <w:tcPr>
            <w:tcW w:w="7760" w:type="dxa"/>
            <w:vAlign w:val="bottom"/>
          </w:tcPr>
          <w:p>
            <w:pPr>
              <w:ind w:left="1500"/>
              <w:spacing w:after="0"/>
              <w:rPr>
                <w:sz w:val="20"/>
                <w:szCs w:val="20"/>
                <w:color w:val="auto"/>
              </w:rPr>
            </w:pPr>
            <w:r>
              <w:rPr>
                <w:rFonts w:ascii="Arial" w:cs="Arial" w:eastAsia="Arial" w:hAnsi="Arial"/>
                <w:sz w:val="18"/>
                <w:szCs w:val="18"/>
                <w:color w:val="auto"/>
              </w:rPr>
              <w:t>99.762% of face amount</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Underwriting Discount:</w:t>
            </w:r>
          </w:p>
        </w:tc>
        <w:tc>
          <w:tcPr>
            <w:tcW w:w="7760" w:type="dxa"/>
            <w:vAlign w:val="bottom"/>
          </w:tcPr>
          <w:p>
            <w:pPr>
              <w:ind w:left="1500"/>
              <w:spacing w:after="0"/>
              <w:rPr>
                <w:sz w:val="20"/>
                <w:szCs w:val="20"/>
                <w:color w:val="auto"/>
              </w:rPr>
            </w:pPr>
            <w:r>
              <w:rPr>
                <w:rFonts w:ascii="Arial" w:cs="Arial" w:eastAsia="Arial" w:hAnsi="Arial"/>
                <w:sz w:val="18"/>
                <w:szCs w:val="18"/>
                <w:color w:val="auto"/>
              </w:rPr>
              <w:t>0.650%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Benchmark Treasury:</w:t>
            </w:r>
          </w:p>
        </w:tc>
        <w:tc>
          <w:tcPr>
            <w:tcW w:w="7760" w:type="dxa"/>
            <w:vAlign w:val="bottom"/>
          </w:tcPr>
          <w:p>
            <w:pPr>
              <w:ind w:left="1500"/>
              <w:spacing w:after="0"/>
              <w:rPr>
                <w:sz w:val="20"/>
                <w:szCs w:val="20"/>
                <w:color w:val="auto"/>
              </w:rPr>
            </w:pPr>
            <w:r>
              <w:rPr>
                <w:rFonts w:ascii="Arial" w:cs="Arial" w:eastAsia="Arial" w:hAnsi="Arial"/>
                <w:sz w:val="18"/>
                <w:szCs w:val="18"/>
                <w:color w:val="auto"/>
              </w:rPr>
              <w:t>3.625% due 2/15/2021</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760" w:type="dxa"/>
            <w:vAlign w:val="bottom"/>
          </w:tcPr>
          <w:p>
            <w:pPr>
              <w:ind w:left="1500"/>
              <w:spacing w:after="0"/>
              <w:rPr>
                <w:sz w:val="20"/>
                <w:szCs w:val="20"/>
                <w:color w:val="auto"/>
              </w:rPr>
            </w:pPr>
            <w:r>
              <w:rPr>
                <w:rFonts w:ascii="Arial" w:cs="Arial" w:eastAsia="Arial" w:hAnsi="Arial"/>
                <w:sz w:val="18"/>
                <w:szCs w:val="18"/>
                <w:color w:val="auto"/>
              </w:rPr>
              <w:t>1.180%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760" w:type="dxa"/>
            <w:vAlign w:val="bottom"/>
          </w:tcPr>
          <w:p>
            <w:pPr>
              <w:ind w:left="1500"/>
              <w:spacing w:after="0"/>
              <w:rPr>
                <w:sz w:val="20"/>
                <w:szCs w:val="20"/>
                <w:color w:val="auto"/>
              </w:rPr>
            </w:pPr>
            <w:r>
              <w:rPr>
                <w:rFonts w:ascii="Arial" w:cs="Arial" w:eastAsia="Arial" w:hAnsi="Arial"/>
                <w:sz w:val="18"/>
                <w:szCs w:val="18"/>
                <w:color w:val="auto"/>
              </w:rPr>
              <w:t>101-15, 3.450%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Yield to maturity:</w:t>
            </w:r>
          </w:p>
        </w:tc>
        <w:tc>
          <w:tcPr>
            <w:tcW w:w="7760" w:type="dxa"/>
            <w:vAlign w:val="bottom"/>
          </w:tcPr>
          <w:p>
            <w:pPr>
              <w:ind w:left="1500"/>
              <w:spacing w:after="0"/>
              <w:rPr>
                <w:sz w:val="20"/>
                <w:szCs w:val="20"/>
                <w:color w:val="auto"/>
              </w:rPr>
            </w:pPr>
            <w:r>
              <w:rPr>
                <w:rFonts w:ascii="Arial" w:cs="Arial" w:eastAsia="Arial" w:hAnsi="Arial"/>
                <w:sz w:val="18"/>
                <w:szCs w:val="18"/>
                <w:color w:val="auto"/>
              </w:rPr>
              <w:t>4.630%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760" w:type="dxa"/>
            <w:vAlign w:val="bottom"/>
          </w:tcPr>
          <w:p>
            <w:pPr>
              <w:ind w:left="1500"/>
              <w:spacing w:after="0"/>
              <w:rPr>
                <w:sz w:val="20"/>
                <w:szCs w:val="20"/>
                <w:color w:val="auto"/>
              </w:rPr>
            </w:pPr>
            <w:r>
              <w:rPr>
                <w:rFonts w:ascii="Arial" w:cs="Arial" w:eastAsia="Arial" w:hAnsi="Arial"/>
                <w:sz w:val="18"/>
                <w:szCs w:val="18"/>
                <w:color w:val="auto"/>
                <w:w w:val="95"/>
              </w:rPr>
              <w:t>Semi-annually on March 1 and September 1, commencing on September 1, 2011.</w:t>
            </w: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Redemption Provisions:</w:t>
            </w:r>
          </w:p>
        </w:tc>
        <w:tc>
          <w:tcPr>
            <w:tcW w:w="7760" w:type="dxa"/>
            <w:vAlign w:val="bottom"/>
          </w:tcPr>
          <w:p>
            <w:pPr>
              <w:ind w:left="1500"/>
              <w:spacing w:after="0"/>
              <w:rPr>
                <w:sz w:val="20"/>
                <w:szCs w:val="20"/>
                <w:color w:val="auto"/>
              </w:rPr>
            </w:pPr>
            <w:r>
              <w:rPr>
                <w:rFonts w:ascii="Arial" w:cs="Arial" w:eastAsia="Arial" w:hAnsi="Arial"/>
                <w:sz w:val="18"/>
                <w:szCs w:val="18"/>
                <w:color w:val="auto"/>
                <w:w w:val="99"/>
              </w:rPr>
              <w:t>Redeemable at any time prior to December 1, 2020 (three months prior to their</w:t>
            </w:r>
          </w:p>
        </w:tc>
      </w:tr>
      <w:tr>
        <w:trPr>
          <w:trHeight w:val="216"/>
        </w:trPr>
        <w:tc>
          <w:tcPr>
            <w:tcW w:w="3660" w:type="dxa"/>
            <w:vAlign w:val="bottom"/>
          </w:tcPr>
          <w:p>
            <w:pPr>
              <w:spacing w:after="0"/>
              <w:rPr>
                <w:sz w:val="18"/>
                <w:szCs w:val="18"/>
                <w:color w:val="auto"/>
              </w:rPr>
            </w:pPr>
          </w:p>
        </w:tc>
        <w:tc>
          <w:tcPr>
            <w:tcW w:w="7760" w:type="dxa"/>
            <w:vAlign w:val="bottom"/>
          </w:tcPr>
          <w:p>
            <w:pPr>
              <w:ind w:left="1500"/>
              <w:spacing w:after="0"/>
              <w:rPr>
                <w:sz w:val="20"/>
                <w:szCs w:val="20"/>
                <w:color w:val="auto"/>
              </w:rPr>
            </w:pPr>
            <w:r>
              <w:rPr>
                <w:rFonts w:ascii="Arial" w:cs="Arial" w:eastAsia="Arial" w:hAnsi="Arial"/>
                <w:sz w:val="18"/>
                <w:szCs w:val="18"/>
                <w:color w:val="auto"/>
                <w:w w:val="93"/>
              </w:rPr>
              <w:t>maturity date), in whole or from time to time in part, at the option of the Company, at</w:t>
            </w:r>
          </w:p>
        </w:tc>
      </w:tr>
      <w:tr>
        <w:trPr>
          <w:trHeight w:val="216"/>
        </w:trPr>
        <w:tc>
          <w:tcPr>
            <w:tcW w:w="3660" w:type="dxa"/>
            <w:vAlign w:val="bottom"/>
          </w:tcPr>
          <w:p>
            <w:pPr>
              <w:spacing w:after="0"/>
              <w:rPr>
                <w:sz w:val="18"/>
                <w:szCs w:val="18"/>
                <w:color w:val="auto"/>
              </w:rPr>
            </w:pPr>
          </w:p>
        </w:tc>
        <w:tc>
          <w:tcPr>
            <w:tcW w:w="7760" w:type="dxa"/>
            <w:vAlign w:val="bottom"/>
          </w:tcPr>
          <w:p>
            <w:pPr>
              <w:ind w:left="1500"/>
              <w:spacing w:after="0"/>
              <w:rPr>
                <w:sz w:val="20"/>
                <w:szCs w:val="20"/>
                <w:color w:val="auto"/>
              </w:rPr>
            </w:pPr>
            <w:r>
              <w:rPr>
                <w:rFonts w:ascii="Arial" w:cs="Arial" w:eastAsia="Arial" w:hAnsi="Arial"/>
                <w:sz w:val="18"/>
                <w:szCs w:val="18"/>
                <w:color w:val="auto"/>
                <w:w w:val="90"/>
              </w:rPr>
              <w:t>a make whole redemption price using the applicable Treasury rate plus 20 basis points</w:t>
            </w:r>
          </w:p>
        </w:tc>
      </w:tr>
      <w:tr>
        <w:trPr>
          <w:trHeight w:val="230"/>
        </w:trPr>
        <w:tc>
          <w:tcPr>
            <w:tcW w:w="3660" w:type="dxa"/>
            <w:vAlign w:val="bottom"/>
          </w:tcPr>
          <w:p>
            <w:pPr>
              <w:spacing w:after="0"/>
              <w:rPr>
                <w:sz w:val="20"/>
                <w:szCs w:val="20"/>
                <w:color w:val="auto"/>
              </w:rPr>
            </w:pPr>
          </w:p>
        </w:tc>
        <w:tc>
          <w:tcPr>
            <w:tcW w:w="7760" w:type="dxa"/>
            <w:vAlign w:val="bottom"/>
          </w:tcPr>
          <w:p>
            <w:pPr>
              <w:ind w:left="1500"/>
              <w:spacing w:after="0"/>
              <w:rPr>
                <w:sz w:val="20"/>
                <w:szCs w:val="20"/>
                <w:color w:val="auto"/>
              </w:rPr>
            </w:pPr>
            <w:r>
              <w:rPr>
                <w:rFonts w:ascii="Arial" w:cs="Arial" w:eastAsia="Arial" w:hAnsi="Arial"/>
                <w:sz w:val="18"/>
                <w:szCs w:val="18"/>
                <w:color w:val="auto"/>
              </w:rPr>
              <w:t>(as defined and described in further detail in the Prospectus Supplement).</w:t>
            </w:r>
          </w:p>
        </w:tc>
      </w:tr>
      <w:tr>
        <w:trPr>
          <w:trHeight w:val="418"/>
        </w:trPr>
        <w:tc>
          <w:tcPr>
            <w:tcW w:w="3660" w:type="dxa"/>
            <w:vAlign w:val="bottom"/>
          </w:tcPr>
          <w:p>
            <w:pPr>
              <w:spacing w:after="0"/>
              <w:rPr>
                <w:sz w:val="24"/>
                <w:szCs w:val="24"/>
                <w:color w:val="auto"/>
              </w:rPr>
            </w:pPr>
          </w:p>
        </w:tc>
        <w:tc>
          <w:tcPr>
            <w:tcW w:w="7760" w:type="dxa"/>
            <w:vAlign w:val="bottom"/>
          </w:tcPr>
          <w:p>
            <w:pPr>
              <w:ind w:left="1500"/>
              <w:spacing w:after="0"/>
              <w:rPr>
                <w:sz w:val="20"/>
                <w:szCs w:val="20"/>
                <w:color w:val="auto"/>
              </w:rPr>
            </w:pPr>
            <w:r>
              <w:rPr>
                <w:rFonts w:ascii="Arial" w:cs="Arial" w:eastAsia="Arial" w:hAnsi="Arial"/>
                <w:sz w:val="18"/>
                <w:szCs w:val="18"/>
                <w:color w:val="auto"/>
                <w:w w:val="91"/>
              </w:rPr>
              <w:t>Redeemable on or after December 1, 2020 (three months prior to their maturity date),</w:t>
            </w:r>
          </w:p>
        </w:tc>
      </w:tr>
      <w:tr>
        <w:trPr>
          <w:trHeight w:val="216"/>
        </w:trPr>
        <w:tc>
          <w:tcPr>
            <w:tcW w:w="3660" w:type="dxa"/>
            <w:vAlign w:val="bottom"/>
          </w:tcPr>
          <w:p>
            <w:pPr>
              <w:spacing w:after="0"/>
              <w:rPr>
                <w:sz w:val="18"/>
                <w:szCs w:val="18"/>
                <w:color w:val="auto"/>
              </w:rPr>
            </w:pPr>
          </w:p>
        </w:tc>
        <w:tc>
          <w:tcPr>
            <w:tcW w:w="7760" w:type="dxa"/>
            <w:vAlign w:val="bottom"/>
          </w:tcPr>
          <w:p>
            <w:pPr>
              <w:ind w:left="1500"/>
              <w:spacing w:after="0"/>
              <w:rPr>
                <w:sz w:val="20"/>
                <w:szCs w:val="20"/>
                <w:color w:val="auto"/>
              </w:rPr>
            </w:pPr>
            <w:r>
              <w:rPr>
                <w:rFonts w:ascii="Arial" w:cs="Arial" w:eastAsia="Arial" w:hAnsi="Arial"/>
                <w:sz w:val="18"/>
                <w:szCs w:val="18"/>
                <w:color w:val="auto"/>
                <w:w w:val="92"/>
              </w:rPr>
              <w:t>in whole or from time to time in part, at the option of the Company, at a price of 100%</w:t>
            </w:r>
          </w:p>
        </w:tc>
      </w:tr>
      <w:tr>
        <w:trPr>
          <w:trHeight w:val="230"/>
        </w:trPr>
        <w:tc>
          <w:tcPr>
            <w:tcW w:w="3660" w:type="dxa"/>
            <w:vAlign w:val="bottom"/>
          </w:tcPr>
          <w:p>
            <w:pPr>
              <w:spacing w:after="0"/>
              <w:rPr>
                <w:sz w:val="20"/>
                <w:szCs w:val="20"/>
                <w:color w:val="auto"/>
              </w:rPr>
            </w:pPr>
          </w:p>
        </w:tc>
        <w:tc>
          <w:tcPr>
            <w:tcW w:w="7760" w:type="dxa"/>
            <w:vAlign w:val="bottom"/>
          </w:tcPr>
          <w:p>
            <w:pPr>
              <w:ind w:left="1500"/>
              <w:spacing w:after="0"/>
              <w:rPr>
                <w:sz w:val="20"/>
                <w:szCs w:val="20"/>
                <w:color w:val="auto"/>
              </w:rPr>
            </w:pPr>
            <w:r>
              <w:rPr>
                <w:rFonts w:ascii="Arial" w:cs="Arial" w:eastAsia="Arial" w:hAnsi="Arial"/>
                <w:sz w:val="18"/>
                <w:szCs w:val="18"/>
                <w:color w:val="auto"/>
              </w:rPr>
              <w:t>plus accrued interest.</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Settlement:</w:t>
            </w:r>
          </w:p>
        </w:tc>
        <w:tc>
          <w:tcPr>
            <w:tcW w:w="7760" w:type="dxa"/>
            <w:vAlign w:val="bottom"/>
          </w:tcPr>
          <w:p>
            <w:pPr>
              <w:ind w:left="1500"/>
              <w:spacing w:after="0"/>
              <w:rPr>
                <w:sz w:val="20"/>
                <w:szCs w:val="20"/>
                <w:color w:val="auto"/>
              </w:rPr>
            </w:pPr>
            <w:r>
              <w:rPr>
                <w:rFonts w:ascii="Arial" w:cs="Arial" w:eastAsia="Arial" w:hAnsi="Arial"/>
                <w:sz w:val="18"/>
                <w:szCs w:val="18"/>
                <w:color w:val="auto"/>
              </w:rPr>
              <w:t>T+3; February 28, 2011</w:t>
            </w:r>
          </w:p>
        </w:tc>
      </w:tr>
      <w:tr>
        <w:trPr>
          <w:trHeight w:val="632"/>
        </w:trPr>
        <w:tc>
          <w:tcPr>
            <w:tcW w:w="3660" w:type="dxa"/>
            <w:vAlign w:val="bottom"/>
            <w:tcBorders>
              <w:bottom w:val="single" w:sz="8" w:color="808080"/>
            </w:tcBorders>
          </w:tcPr>
          <w:p>
            <w:pPr>
              <w:spacing w:after="0"/>
              <w:rPr>
                <w:sz w:val="24"/>
                <w:szCs w:val="24"/>
                <w:color w:val="auto"/>
              </w:rPr>
            </w:pPr>
          </w:p>
        </w:tc>
        <w:tc>
          <w:tcPr>
            <w:tcW w:w="7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CUSIP: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941063 AQ2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200" w:lineRule="exact"/>
        <w:rPr>
          <w:sz w:val="20"/>
          <w:szCs w:val="20"/>
          <w:color w:val="auto"/>
        </w:rPr>
      </w:pPr>
    </w:p>
    <w:p>
      <w:pPr>
        <w:sectPr>
          <w:pgSz w:w="11900" w:h="16838" w:orient="portrait"/>
          <w:cols w:equalWidth="0" w:num="2">
            <w:col w:w="4440" w:space="720"/>
            <w:col w:w="6140"/>
          </w:cols>
          <w:pgMar w:left="240" w:top="1152" w:right="35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Credit Agricole Securities (USA)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Credit Suisse Securities (USA)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103" w:lineRule="exact"/>
        <w:rPr>
          <w:sz w:val="20"/>
          <w:szCs w:val="20"/>
          <w:color w:val="auto"/>
        </w:rPr>
      </w:pPr>
    </w:p>
    <w:p>
      <w:pPr>
        <w:sectPr>
          <w:pgSz w:w="11900" w:h="16838" w:orient="portrait"/>
          <w:cols w:equalWidth="0" w:num="2">
            <w:col w:w="4440" w:space="720"/>
            <w:col w:w="6140"/>
          </w:cols>
          <w:pgMar w:left="240" w:top="1152" w:right="359" w:bottom="1440" w:gutter="0" w:footer="0" w:header="0"/>
          <w:type w:val="continuous"/>
        </w:sectPr>
      </w:pPr>
    </w:p>
    <w:p>
      <w:pPr>
        <w:spacing w:after="0" w:line="255" w:lineRule="auto"/>
        <w:rPr>
          <w:sz w:val="20"/>
          <w:szCs w:val="20"/>
          <w:color w:val="auto"/>
        </w:rPr>
      </w:pPr>
      <w:r>
        <w:rPr>
          <w:rFonts w:ascii="Arial" w:cs="Arial" w:eastAsia="Arial" w:hAnsi="Arial"/>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Deutsche Bank Securities Inc. by calling toll-free at 1-800-503-4616 or (2) RBS Securities Inc. by calling toll-free at 1-866-884-2071.</w:t>
      </w:r>
    </w:p>
    <w:p>
      <w:pPr>
        <w:spacing w:after="0" w:line="8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52" w:right="35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49"/>
        </w:trPr>
        <w:tc>
          <w:tcPr>
            <w:tcW w:w="9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171"/>
        </w:trPr>
        <w:tc>
          <w:tcPr>
            <w:tcW w:w="96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RBS Securities Inc.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160,000,000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Credit Agricole Securities (USA) Inc.</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Lloyds Securities Inc.</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6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0" w:name="page41"/>
    <w:bookmarkEnd w:id="40"/>
    <w:p>
      <w:pPr>
        <w:ind w:left="5300"/>
        <w:spacing w:after="0"/>
        <w:rPr>
          <w:sz w:val="20"/>
          <w:szCs w:val="20"/>
          <w:color w:val="auto"/>
        </w:rPr>
      </w:pPr>
      <w:r>
        <w:rPr>
          <w:rFonts w:ascii="Arial" w:cs="Arial" w:eastAsia="Arial" w:hAnsi="Arial"/>
          <w:sz w:val="18"/>
          <w:szCs w:val="18"/>
          <w:b w:val="1"/>
          <w:bCs w:val="1"/>
          <w:color w:val="auto"/>
        </w:rPr>
        <w:t>ANNEX A</w:t>
      </w:r>
    </w:p>
    <w:p>
      <w:pPr>
        <w:spacing w:after="0" w:line="117" w:lineRule="exact"/>
        <w:rPr>
          <w:sz w:val="20"/>
          <w:szCs w:val="20"/>
          <w:color w:val="auto"/>
        </w:rPr>
      </w:pPr>
    </w:p>
    <w:p>
      <w:pPr>
        <w:jc w:val="right"/>
        <w:ind w:right="3099"/>
        <w:spacing w:after="0"/>
        <w:rPr>
          <w:sz w:val="20"/>
          <w:szCs w:val="20"/>
          <w:color w:val="auto"/>
        </w:rPr>
      </w:pPr>
      <w:r>
        <w:rPr>
          <w:rFonts w:ascii="Arial" w:cs="Arial" w:eastAsia="Arial" w:hAnsi="Arial"/>
          <w:sz w:val="18"/>
          <w:szCs w:val="18"/>
          <w:b w:val="1"/>
          <w:bCs w:val="1"/>
          <w:color w:val="auto"/>
        </w:rPr>
        <w:t>FREE WRITING PROSPECTUSES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Final Pricing Term Sheet, substantially in the form of Schedule I attached to this Agreement.</w:t>
      </w:r>
    </w:p>
    <w:p>
      <w:pPr>
        <w:sectPr>
          <w:pgSz w:w="11900" w:h="16838" w:orient="portrait"/>
          <w:cols w:equalWidth="0" w:num="1">
            <w:col w:w="10219"/>
          </w:cols>
          <w:pgMar w:left="240" w:top="959"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4.2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103" w:lineRule="exact"/>
        <w:rPr>
          <w:sz w:val="20"/>
          <w:szCs w:val="20"/>
          <w:color w:val="auto"/>
        </w:rPr>
      </w:pPr>
    </w:p>
    <w:p>
      <w:pPr>
        <w:ind w:right="500" w:firstLine="447"/>
        <w:spacing w:after="0" w:line="277" w:lineRule="auto"/>
        <w:rPr>
          <w:sz w:val="20"/>
          <w:szCs w:val="20"/>
          <w:color w:val="auto"/>
        </w:rPr>
      </w:pPr>
      <w:r>
        <w:rPr>
          <w:rFonts w:ascii="Arial" w:cs="Arial" w:eastAsia="Arial" w:hAnsi="Arial"/>
          <w:sz w:val="18"/>
          <w:szCs w:val="18"/>
          <w:color w:val="auto"/>
        </w:rPr>
        <w:t>The undersigned, the Vice President — Finance and Treasurer, and the Corporate Secretary of Waste Management, Inc. (the “Company”), hereby certify that:</w:t>
      </w:r>
    </w:p>
    <w:p>
      <w:pPr>
        <w:spacing w:after="0" w:line="62" w:lineRule="exact"/>
        <w:rPr>
          <w:sz w:val="20"/>
          <w:szCs w:val="20"/>
          <w:color w:val="auto"/>
        </w:rPr>
      </w:pPr>
    </w:p>
    <w:p>
      <w:pPr>
        <w:ind w:right="80" w:firstLine="458"/>
        <w:spacing w:after="0" w:line="279" w:lineRule="auto"/>
        <w:tabs>
          <w:tab w:leader="none" w:pos="63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February 28, 2011 (the “Order”) for the authentication and delivery by the Trustee of $400,000,000 aggregate principal amount of 4.60% Notes due 2021 (the “Notes”).</w:t>
      </w:r>
    </w:p>
    <w:p>
      <w:pPr>
        <w:spacing w:after="0" w:line="63" w:lineRule="exact"/>
        <w:rPr>
          <w:rFonts w:ascii="Arial" w:cs="Arial" w:eastAsia="Arial" w:hAnsi="Arial"/>
          <w:sz w:val="17"/>
          <w:szCs w:val="17"/>
          <w:color w:val="auto"/>
        </w:rPr>
      </w:pPr>
    </w:p>
    <w:p>
      <w:pPr>
        <w:ind w:left="640" w:hanging="182"/>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17" w:lineRule="exact"/>
        <w:rPr>
          <w:rFonts w:ascii="Arial" w:cs="Arial" w:eastAsia="Arial" w:hAnsi="Arial"/>
          <w:sz w:val="18"/>
          <w:szCs w:val="18"/>
          <w:color w:val="auto"/>
        </w:rPr>
      </w:pPr>
    </w:p>
    <w:p>
      <w:pPr>
        <w:ind w:right="140" w:firstLine="458"/>
        <w:spacing w:after="0" w:line="342" w:lineRule="auto"/>
        <w:tabs>
          <w:tab w:leader="none" w:pos="63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5" w:lineRule="exact"/>
        <w:rPr>
          <w:rFonts w:ascii="Arial" w:cs="Arial" w:eastAsia="Arial" w:hAnsi="Arial"/>
          <w:sz w:val="16"/>
          <w:szCs w:val="16"/>
          <w:color w:val="auto"/>
        </w:rPr>
      </w:pPr>
    </w:p>
    <w:p>
      <w:pPr>
        <w:ind w:left="640" w:hanging="182"/>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undersigned have examined the Order, and they have examined the covenants, conditions and provisions of the Indenture relating thereto.</w:t>
      </w:r>
    </w:p>
    <w:p>
      <w:pPr>
        <w:spacing w:after="0" w:line="128" w:lineRule="exact"/>
        <w:rPr>
          <w:rFonts w:ascii="Arial" w:cs="Arial" w:eastAsia="Arial" w:hAnsi="Arial"/>
          <w:sz w:val="17"/>
          <w:szCs w:val="17"/>
          <w:color w:val="auto"/>
        </w:rPr>
      </w:pPr>
    </w:p>
    <w:p>
      <w:pPr>
        <w:ind w:right="120" w:firstLine="458"/>
        <w:spacing w:after="0" w:line="308" w:lineRule="auto"/>
        <w:tabs>
          <w:tab w:leader="none" w:pos="63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38" w:lineRule="exact"/>
        <w:rPr>
          <w:rFonts w:ascii="Arial" w:cs="Arial" w:eastAsia="Arial" w:hAnsi="Arial"/>
          <w:sz w:val="17"/>
          <w:szCs w:val="17"/>
          <w:color w:val="auto"/>
        </w:rPr>
      </w:pPr>
    </w:p>
    <w:p>
      <w:pPr>
        <w:ind w:firstLine="458"/>
        <w:spacing w:after="0" w:line="277" w:lineRule="auto"/>
        <w:tabs>
          <w:tab w:leader="none" w:pos="6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conditions precedent provided in the Indenture to the authentication by the Trustee of $400,000,000 aggregate principal amount of the Notes have been complied with, and such Notes may be delivered in accordance with the Order as provided in the Indenture.</w:t>
      </w:r>
    </w:p>
    <w:p>
      <w:pPr>
        <w:spacing w:after="0" w:line="62" w:lineRule="exact"/>
        <w:rPr>
          <w:rFonts w:ascii="Arial" w:cs="Arial" w:eastAsia="Arial" w:hAnsi="Arial"/>
          <w:sz w:val="18"/>
          <w:szCs w:val="18"/>
          <w:color w:val="auto"/>
        </w:rPr>
      </w:pPr>
    </w:p>
    <w:p>
      <w:pPr>
        <w:jc w:val="both"/>
        <w:ind w:right="540" w:firstLine="458"/>
        <w:spacing w:after="0" w:line="264" w:lineRule="auto"/>
        <w:tabs>
          <w:tab w:leader="none" w:pos="6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duly authorized by resolutions of the Board of Directors of the Company as of August 20, 2009 and such resolutions,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28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[signature page follows]</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IN WITNESS WHEREOF, the undersigned has hereunto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152400</wp:posOffset>
            </wp:positionV>
            <wp:extent cx="21697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Cherie C. Rice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Vice President — Finance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157480</wp:posOffset>
            </wp:positionV>
            <wp:extent cx="21697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Linda J. Smith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Secretary</w:t>
      </w:r>
    </w:p>
    <w:p>
      <w:pPr>
        <w:spacing w:after="0" w:line="31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398145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6"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103"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Pursuant to authority granted by the Board of Directors of the Company on August 20, 2009 and the Sole Director of Waste Management Holdings, Inc. on February 22, 2011,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50"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title of the series of Securities shall be “4.60% Senior Notes due 2021” (the “Notes”).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130" w:lineRule="exact"/>
        <w:rPr>
          <w:rFonts w:ascii="Arial" w:cs="Arial" w:eastAsia="Arial" w:hAnsi="Arial"/>
          <w:sz w:val="18"/>
          <w:szCs w:val="18"/>
          <w:color w:val="auto"/>
        </w:rPr>
      </w:pPr>
    </w:p>
    <w:p>
      <w:pPr>
        <w:ind w:left="340" w:right="120" w:hanging="332"/>
        <w:spacing w:after="0" w:line="279"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initial aggregate principal amount of the Notes that may be authenticated and delivered under the Indenture shall be $400,000,000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76" w:lineRule="exact"/>
        <w:rPr>
          <w:rFonts w:ascii="Arial" w:cs="Arial" w:eastAsia="Arial" w:hAnsi="Arial"/>
          <w:sz w:val="17"/>
          <w:szCs w:val="17"/>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March 1, 2021.</w:t>
      </w:r>
    </w:p>
    <w:p>
      <w:pPr>
        <w:spacing w:after="0" w:line="130" w:lineRule="exact"/>
        <w:rPr>
          <w:rFonts w:ascii="Arial" w:cs="Arial" w:eastAsia="Arial" w:hAnsi="Arial"/>
          <w:sz w:val="18"/>
          <w:szCs w:val="18"/>
          <w:color w:val="auto"/>
        </w:rPr>
      </w:pPr>
    </w:p>
    <w:p>
      <w:pPr>
        <w:ind w:left="340" w:right="280" w:hanging="332"/>
        <w:spacing w:after="0" w:line="30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Note shall bear interest from February 28, 2011 at the fixed rate of 4.60% per annum; the Interest Payment Dates on which such interest shall be payable shall be March 1 and September 1, of each year, commencing September 1, 2011, until maturity unless such date falls on a day that is not a Business Day, in which case, such payment shall be made on the next day that is a Business Day. The Regular Record Date for the determination of Holders to whom interest is payable shall be February 15 or August 15, respectively, immediately preceding such date, as the case may be.</w:t>
      </w:r>
    </w:p>
    <w:p>
      <w:pPr>
        <w:spacing w:after="0" w:line="59" w:lineRule="exact"/>
        <w:rPr>
          <w:rFonts w:ascii="Arial" w:cs="Arial" w:eastAsia="Arial" w:hAnsi="Arial"/>
          <w:sz w:val="16"/>
          <w:szCs w:val="16"/>
          <w:color w:val="auto"/>
        </w:rPr>
      </w:pPr>
    </w:p>
    <w:p>
      <w:pPr>
        <w:ind w:left="340" w:right="28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86" w:lineRule="exact"/>
        <w:rPr>
          <w:rFonts w:ascii="Arial" w:cs="Arial" w:eastAsia="Arial" w:hAnsi="Arial"/>
          <w:sz w:val="18"/>
          <w:szCs w:val="18"/>
          <w:color w:val="auto"/>
        </w:rPr>
      </w:pPr>
    </w:p>
    <w:p>
      <w:pPr>
        <w:ind w:left="340" w:right="20" w:hanging="332"/>
        <w:spacing w:after="0" w:line="25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4" w:name="page45"/>
    <w:bookmarkEnd w:id="44"/>
    <w:p>
      <w:pPr>
        <w:ind w:left="412" w:right="200" w:hanging="412"/>
        <w:spacing w:after="0" w:line="259" w:lineRule="auto"/>
        <w:tabs>
          <w:tab w:leader="none" w:pos="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92" w:lineRule="exact"/>
        <w:rPr>
          <w:rFonts w:ascii="Arial" w:cs="Arial" w:eastAsia="Arial" w:hAnsi="Arial"/>
          <w:sz w:val="18"/>
          <w:szCs w:val="18"/>
          <w:color w:val="auto"/>
        </w:rPr>
      </w:pPr>
    </w:p>
    <w:p>
      <w:pPr>
        <w:ind w:left="412" w:hanging="412"/>
        <w:spacing w:after="0" w:line="290" w:lineRule="auto"/>
        <w:tabs>
          <w:tab w:leader="none" w:pos="412" w:val="left"/>
        </w:tabs>
        <w:numPr>
          <w:ilvl w:val="0"/>
          <w:numId w:val="43"/>
        </w:numPr>
        <w:rPr>
          <w:rFonts w:ascii="Arial" w:cs="Arial" w:eastAsia="Arial" w:hAnsi="Arial"/>
          <w:sz w:val="16"/>
          <w:szCs w:val="16"/>
          <w:color w:val="auto"/>
        </w:rPr>
      </w:pPr>
      <w:r>
        <w:rPr>
          <w:rFonts w:ascii="Arial" w:cs="Arial" w:eastAsia="Arial" w:hAnsi="Arial"/>
          <w:sz w:val="16"/>
          <w:szCs w:val="16"/>
          <w:color w:val="auto"/>
        </w:rPr>
        <w:t>Before the date that is three months prior to the maturity date, 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(as defined in the Notes)) discounted to the Redemption Date on a semiannual basis (assuming a 360 day year consisting of twelve 30-day months) at the applicable Treasury Yield (as defined in the Notes) plus 20 basis points; plus, in either case, accrued interest to the Redemption Date. On or after the date that is three months prior to the maturity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w:t>
      </w:r>
    </w:p>
    <w:p>
      <w:pPr>
        <w:spacing w:after="0" w:line="71" w:lineRule="exact"/>
        <w:rPr>
          <w:rFonts w:ascii="Arial" w:cs="Arial" w:eastAsia="Arial" w:hAnsi="Arial"/>
          <w:sz w:val="16"/>
          <w:szCs w:val="16"/>
          <w:color w:val="auto"/>
        </w:rPr>
      </w:pPr>
    </w:p>
    <w:p>
      <w:pPr>
        <w:ind w:left="412" w:right="520" w:hanging="412"/>
        <w:spacing w:after="0" w:line="277" w:lineRule="auto"/>
        <w:tabs>
          <w:tab w:leader="none" w:pos="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75" w:lineRule="exact"/>
        <w:rPr>
          <w:rFonts w:ascii="Arial" w:cs="Arial" w:eastAsia="Arial" w:hAnsi="Arial"/>
          <w:sz w:val="18"/>
          <w:szCs w:val="18"/>
          <w:color w:val="auto"/>
        </w:rPr>
      </w:pPr>
    </w:p>
    <w:p>
      <w:pPr>
        <w:ind w:left="412" w:hanging="412"/>
        <w:spacing w:after="0" w:line="277" w:lineRule="auto"/>
        <w:tabs>
          <w:tab w:leader="none" w:pos="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75" w:lineRule="exact"/>
        <w:rPr>
          <w:rFonts w:ascii="Arial" w:cs="Arial" w:eastAsia="Arial" w:hAnsi="Arial"/>
          <w:sz w:val="18"/>
          <w:szCs w:val="18"/>
          <w:color w:val="auto"/>
        </w:rPr>
      </w:pPr>
    </w:p>
    <w:p>
      <w:pPr>
        <w:ind w:left="412" w:hanging="412"/>
        <w:spacing w:after="0"/>
        <w:tabs>
          <w:tab w:leader="none" w:pos="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30" w:lineRule="exact"/>
        <w:rPr>
          <w:rFonts w:ascii="Arial" w:cs="Arial" w:eastAsia="Arial" w:hAnsi="Arial"/>
          <w:sz w:val="18"/>
          <w:szCs w:val="18"/>
          <w:color w:val="auto"/>
        </w:rPr>
      </w:pPr>
    </w:p>
    <w:p>
      <w:pPr>
        <w:ind w:left="412" w:hanging="412"/>
        <w:spacing w:after="0"/>
        <w:tabs>
          <w:tab w:leader="none" w:pos="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Bank of New York Mellon shall serve initially as Security Registrar for the Notes.</w:t>
      </w:r>
    </w:p>
    <w:p>
      <w:pPr>
        <w:spacing w:after="0" w:line="130" w:lineRule="exact"/>
        <w:rPr>
          <w:rFonts w:ascii="Arial" w:cs="Arial" w:eastAsia="Arial" w:hAnsi="Arial"/>
          <w:sz w:val="18"/>
          <w:szCs w:val="18"/>
          <w:color w:val="auto"/>
        </w:rPr>
      </w:pPr>
    </w:p>
    <w:p>
      <w:pPr>
        <w:ind w:left="412" w:hanging="412"/>
        <w:spacing w:after="0"/>
        <w:tabs>
          <w:tab w:leader="none" w:pos="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130" w:lineRule="exact"/>
        <w:rPr>
          <w:rFonts w:ascii="Arial" w:cs="Arial" w:eastAsia="Arial" w:hAnsi="Arial"/>
          <w:sz w:val="18"/>
          <w:szCs w:val="18"/>
          <w:color w:val="auto"/>
        </w:rPr>
      </w:pPr>
    </w:p>
    <w:p>
      <w:pPr>
        <w:ind w:left="412" w:right="180" w:hanging="412"/>
        <w:spacing w:after="0" w:line="302" w:lineRule="auto"/>
        <w:tabs>
          <w:tab w:leader="none" w:pos="41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 owned subsidiary, Waste Management Holdings, Inc., pursuant to the terms and conditions of a Guarantee Agreement dated February 28, 2011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362585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BOOK-ENTRY SECURITY</w:t>
      </w:r>
    </w:p>
    <w:p>
      <w:pPr>
        <w:spacing w:after="0" w:line="117" w:lineRule="exact"/>
        <w:rPr>
          <w:sz w:val="20"/>
          <w:szCs w:val="20"/>
          <w:color w:val="auto"/>
        </w:rPr>
      </w:pPr>
    </w:p>
    <w:p>
      <w:pPr>
        <w:ind w:right="260" w:firstLine="222"/>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RGN-1</w:t>
            </w:r>
          </w:p>
        </w:tc>
        <w:tc>
          <w:tcPr>
            <w:tcW w:w="3100" w:type="dxa"/>
            <w:vAlign w:val="bottom"/>
          </w:tcPr>
          <w:p>
            <w:pPr>
              <w:jc w:val="right"/>
              <w:spacing w:after="0"/>
              <w:rPr>
                <w:sz w:val="20"/>
                <w:szCs w:val="20"/>
                <w:color w:val="auto"/>
              </w:rPr>
            </w:pPr>
            <w:r>
              <w:rPr>
                <w:rFonts w:ascii="Arial" w:cs="Arial" w:eastAsia="Arial" w:hAnsi="Arial"/>
                <w:sz w:val="18"/>
                <w:szCs w:val="18"/>
                <w:color w:val="auto"/>
              </w:rPr>
              <w:t>Principal Amount</w:t>
            </w:r>
          </w:p>
        </w:tc>
      </w:tr>
      <w:tr>
        <w:trPr>
          <w:trHeight w:val="216"/>
        </w:trPr>
        <w:tc>
          <w:tcPr>
            <w:tcW w:w="832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U.S. $400,000,000,</w:t>
            </w:r>
          </w:p>
        </w:tc>
      </w:tr>
      <w:tr>
        <w:trPr>
          <w:trHeight w:val="216"/>
        </w:trPr>
        <w:tc>
          <w:tcPr>
            <w:tcW w:w="832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which may be decreased</w:t>
            </w:r>
          </w:p>
        </w:tc>
      </w:tr>
      <w:tr>
        <w:trPr>
          <w:trHeight w:val="216"/>
        </w:trPr>
        <w:tc>
          <w:tcPr>
            <w:tcW w:w="832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by the Schedule of</w:t>
            </w:r>
          </w:p>
        </w:tc>
      </w:tr>
      <w:tr>
        <w:trPr>
          <w:trHeight w:val="216"/>
        </w:trPr>
        <w:tc>
          <w:tcPr>
            <w:tcW w:w="832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Exchanges of Definitive</w:t>
            </w:r>
          </w:p>
        </w:tc>
      </w:tr>
      <w:tr>
        <w:trPr>
          <w:trHeight w:val="230"/>
        </w:trPr>
        <w:tc>
          <w:tcPr>
            <w:tcW w:w="8320" w:type="dxa"/>
            <w:vAlign w:val="bottom"/>
          </w:tcPr>
          <w:p>
            <w:pPr>
              <w:jc w:val="center"/>
              <w:ind w:left="3010"/>
              <w:spacing w:after="0"/>
              <w:rPr>
                <w:sz w:val="20"/>
                <w:szCs w:val="20"/>
                <w:color w:val="auto"/>
              </w:rPr>
            </w:pPr>
            <w:r>
              <w:rPr>
                <w:rFonts w:ascii="Arial" w:cs="Arial" w:eastAsia="Arial" w:hAnsi="Arial"/>
                <w:sz w:val="18"/>
                <w:szCs w:val="18"/>
                <w:color w:val="auto"/>
                <w:w w:val="97"/>
              </w:rPr>
              <w:t>WASTE MANAGEMENT, INC.</w:t>
            </w:r>
          </w:p>
        </w:tc>
        <w:tc>
          <w:tcPr>
            <w:tcW w:w="3100" w:type="dxa"/>
            <w:vAlign w:val="bottom"/>
          </w:tcPr>
          <w:p>
            <w:pPr>
              <w:jc w:val="right"/>
              <w:spacing w:after="0"/>
              <w:rPr>
                <w:sz w:val="20"/>
                <w:szCs w:val="20"/>
                <w:color w:val="auto"/>
              </w:rPr>
            </w:pPr>
            <w:r>
              <w:rPr>
                <w:rFonts w:ascii="Arial" w:cs="Arial" w:eastAsia="Arial" w:hAnsi="Arial"/>
                <w:sz w:val="18"/>
                <w:szCs w:val="18"/>
                <w:color w:val="auto"/>
              </w:rPr>
              <w:t>Security attached hereto</w:t>
            </w:r>
          </w:p>
        </w:tc>
      </w:tr>
      <w:tr>
        <w:trPr>
          <w:trHeight w:val="432"/>
        </w:trPr>
        <w:tc>
          <w:tcPr>
            <w:tcW w:w="8320" w:type="dxa"/>
            <w:vAlign w:val="bottom"/>
          </w:tcPr>
          <w:p>
            <w:pPr>
              <w:jc w:val="center"/>
              <w:ind w:left="2990"/>
              <w:spacing w:after="0"/>
              <w:rPr>
                <w:sz w:val="20"/>
                <w:szCs w:val="20"/>
                <w:color w:val="auto"/>
              </w:rPr>
            </w:pPr>
            <w:r>
              <w:rPr>
                <w:rFonts w:ascii="Arial" w:cs="Arial" w:eastAsia="Arial" w:hAnsi="Arial"/>
                <w:sz w:val="18"/>
                <w:szCs w:val="18"/>
                <w:color w:val="auto"/>
                <w:w w:val="92"/>
              </w:rPr>
              <w:t>4.60% SENIOR NOTES DUE 2021</w:t>
            </w:r>
          </w:p>
        </w:tc>
        <w:tc>
          <w:tcPr>
            <w:tcW w:w="3100" w:type="dxa"/>
            <w:vAlign w:val="bottom"/>
          </w:tcPr>
          <w:p>
            <w:pPr>
              <w:spacing w:after="0"/>
              <w:rPr>
                <w:sz w:val="24"/>
                <w:szCs w:val="24"/>
                <w:color w:val="auto"/>
              </w:rPr>
            </w:pPr>
          </w:p>
        </w:tc>
      </w:tr>
      <w:tr>
        <w:trPr>
          <w:trHeight w:val="432"/>
        </w:trPr>
        <w:tc>
          <w:tcPr>
            <w:tcW w:w="832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CUSIP 941063AQ2</w:t>
            </w:r>
          </w:p>
        </w:tc>
      </w:tr>
    </w:tbl>
    <w:p>
      <w:pPr>
        <w:spacing w:after="0" w:line="94" w:lineRule="exact"/>
        <w:rPr>
          <w:sz w:val="20"/>
          <w:szCs w:val="20"/>
          <w:color w:val="auto"/>
        </w:rPr>
      </w:pPr>
    </w:p>
    <w:p>
      <w:pPr>
        <w:ind w:right="180" w:firstLine="222"/>
        <w:spacing w:after="0" w:line="297"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Four Hundred Million ($400,000,000) U.S. dollars, or such lesser principal sum as is shown on the attached Schedule of Exchanges of Definitive Security, on March 1, 2021 in such coin or currency of the United States of America as at the time of payment shall be legal tender for the payment of public and private debts, and to pay interest at an annual rate of 4.60% payable on March 1 and September 1 of each year, to the person in whose name this Security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6" w:name="page47"/>
    <w:bookmarkEnd w:id="46"/>
    <w:p>
      <w:pPr>
        <w:ind w:right="740"/>
        <w:spacing w:after="0" w:line="277" w:lineRule="auto"/>
        <w:rPr>
          <w:sz w:val="20"/>
          <w:szCs w:val="20"/>
          <w:color w:val="auto"/>
        </w:rPr>
      </w:pPr>
      <w:r>
        <w:rPr>
          <w:rFonts w:ascii="Arial" w:cs="Arial" w:eastAsia="Arial" w:hAnsi="Arial"/>
          <w:sz w:val="18"/>
          <w:szCs w:val="18"/>
          <w:color w:val="auto"/>
        </w:rPr>
        <w:t>registered at the close of business on the record date for such interest, which shall be the preceding February 15 or August 15, respectively, payable commencing September 1, 2011, with interest consisting of interest accrued from February 28, 2011.</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62"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62"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$400,000,000 in principal amount designated as the 4.60% Senior Notes due 2021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85"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7" w:name="page48"/>
    <w:bookmarkEnd w:id="47"/>
    <w:p>
      <w:pPr>
        <w:ind w:right="40" w:firstLine="222"/>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Dated: February 28, 2011</w:t>
            </w: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WASTE MANAGEMENT, INC.,</w:t>
            </w:r>
          </w:p>
        </w:tc>
      </w:tr>
      <w:tr>
        <w:trPr>
          <w:trHeight w:val="230"/>
        </w:trPr>
        <w:tc>
          <w:tcPr>
            <w:tcW w:w="3600" w:type="dxa"/>
            <w:vAlign w:val="bottom"/>
          </w:tcPr>
          <w:p>
            <w:pPr>
              <w:spacing w:after="0"/>
              <w:rPr>
                <w:sz w:val="20"/>
                <w:szCs w:val="20"/>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a Delaware corporation</w:t>
            </w:r>
          </w:p>
        </w:tc>
      </w:tr>
      <w:tr>
        <w:trPr>
          <w:trHeight w:val="432"/>
        </w:trPr>
        <w:tc>
          <w:tcPr>
            <w:tcW w:w="3600" w:type="dxa"/>
            <w:vAlign w:val="bottom"/>
          </w:tcPr>
          <w:p>
            <w:pPr>
              <w:spacing w:after="0"/>
              <w:rPr>
                <w:sz w:val="24"/>
                <w:szCs w:val="24"/>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By:</w:t>
            </w:r>
          </w:p>
        </w:tc>
      </w:tr>
      <w:tr>
        <w:trPr>
          <w:trHeight w:val="195"/>
        </w:trPr>
        <w:tc>
          <w:tcPr>
            <w:tcW w:w="3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Cherie C. Rice</w:t>
            </w:r>
          </w:p>
        </w:tc>
      </w:tr>
      <w:tr>
        <w:trPr>
          <w:trHeight w:val="230"/>
        </w:trPr>
        <w:tc>
          <w:tcPr>
            <w:tcW w:w="3600" w:type="dxa"/>
            <w:vAlign w:val="bottom"/>
          </w:tcPr>
          <w:p>
            <w:pPr>
              <w:spacing w:after="0"/>
              <w:rPr>
                <w:sz w:val="20"/>
                <w:szCs w:val="20"/>
                <w:color w:val="auto"/>
              </w:rPr>
            </w:pPr>
          </w:p>
        </w:tc>
        <w:tc>
          <w:tcPr>
            <w:tcW w:w="6140" w:type="dxa"/>
            <w:vAlign w:val="bottom"/>
            <w:gridSpan w:val="2"/>
          </w:tcPr>
          <w:p>
            <w:pPr>
              <w:ind w:left="2100"/>
              <w:spacing w:after="0"/>
              <w:rPr>
                <w:sz w:val="20"/>
                <w:szCs w:val="20"/>
                <w:color w:val="auto"/>
              </w:rPr>
            </w:pPr>
            <w:r>
              <w:rPr>
                <w:rFonts w:ascii="Arial" w:cs="Arial" w:eastAsia="Arial" w:hAnsi="Arial"/>
                <w:sz w:val="18"/>
                <w:szCs w:val="18"/>
                <w:color w:val="auto"/>
              </w:rPr>
              <w:t>Vice President-Finance and Treasurer</w:t>
            </w:r>
          </w:p>
        </w:tc>
      </w:tr>
      <w:tr>
        <w:trPr>
          <w:trHeight w:val="432"/>
        </w:trPr>
        <w:tc>
          <w:tcPr>
            <w:tcW w:w="3600" w:type="dxa"/>
            <w:vAlign w:val="bottom"/>
          </w:tcPr>
          <w:p>
            <w:pPr>
              <w:spacing w:after="0"/>
              <w:rPr>
                <w:sz w:val="24"/>
                <w:szCs w:val="24"/>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Attest:</w:t>
            </w:r>
          </w:p>
        </w:tc>
      </w:tr>
      <w:tr>
        <w:trPr>
          <w:trHeight w:val="432"/>
        </w:trPr>
        <w:tc>
          <w:tcPr>
            <w:tcW w:w="3600" w:type="dxa"/>
            <w:vAlign w:val="bottom"/>
          </w:tcPr>
          <w:p>
            <w:pPr>
              <w:spacing w:after="0"/>
              <w:rPr>
                <w:sz w:val="24"/>
                <w:szCs w:val="24"/>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By:</w:t>
            </w:r>
          </w:p>
        </w:tc>
      </w:tr>
      <w:tr>
        <w:trPr>
          <w:trHeight w:val="195"/>
        </w:trPr>
        <w:tc>
          <w:tcPr>
            <w:tcW w:w="3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J. Smith</w:t>
            </w:r>
          </w:p>
        </w:tc>
      </w:tr>
      <w:tr>
        <w:trPr>
          <w:trHeight w:val="230"/>
        </w:trPr>
        <w:tc>
          <w:tcPr>
            <w:tcW w:w="3600" w:type="dxa"/>
            <w:vAlign w:val="bottom"/>
          </w:tcPr>
          <w:p>
            <w:pPr>
              <w:spacing w:after="0"/>
              <w:rPr>
                <w:sz w:val="20"/>
                <w:szCs w:val="20"/>
                <w:color w:val="auto"/>
              </w:rPr>
            </w:pPr>
          </w:p>
        </w:tc>
        <w:tc>
          <w:tcPr>
            <w:tcW w:w="6140" w:type="dxa"/>
            <w:vAlign w:val="bottom"/>
            <w:gridSpan w:val="2"/>
          </w:tcPr>
          <w:p>
            <w:pPr>
              <w:ind w:left="2100"/>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Date of Authentication: February 28, 2011</w:t>
            </w:r>
          </w:p>
        </w:tc>
        <w:tc>
          <w:tcPr>
            <w:tcW w:w="5520" w:type="dxa"/>
            <w:vAlign w:val="bottom"/>
            <w:gridSpan w:val="2"/>
          </w:tcPr>
          <w:p>
            <w:pPr>
              <w:ind w:left="1140"/>
              <w:spacing w:after="0"/>
              <w:rPr>
                <w:sz w:val="20"/>
                <w:szCs w:val="20"/>
                <w:color w:val="auto"/>
              </w:rPr>
            </w:pPr>
            <w:r>
              <w:rPr>
                <w:rFonts w:ascii="Arial" w:cs="Arial" w:eastAsia="Arial" w:hAnsi="Arial"/>
                <w:sz w:val="18"/>
                <w:szCs w:val="18"/>
                <w:color w:val="auto"/>
              </w:rPr>
              <w:t>The Bank of New York Mellon</w:t>
            </w:r>
          </w:p>
        </w:tc>
        <w:tc>
          <w:tcPr>
            <w:tcW w:w="168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5520" w:type="dxa"/>
            <w:vAlign w:val="bottom"/>
            <w:gridSpan w:val="2"/>
          </w:tcPr>
          <w:p>
            <w:pPr>
              <w:ind w:left="1140"/>
              <w:spacing w:after="0"/>
              <w:rPr>
                <w:sz w:val="20"/>
                <w:szCs w:val="20"/>
                <w:color w:val="auto"/>
              </w:rPr>
            </w:pPr>
            <w:r>
              <w:rPr>
                <w:rFonts w:ascii="Arial" w:cs="Arial" w:eastAsia="Arial" w:hAnsi="Arial"/>
                <w:sz w:val="18"/>
                <w:szCs w:val="18"/>
                <w:color w:val="auto"/>
              </w:rPr>
              <w:t>Trust Company N.A., as Trustee</w:t>
            </w:r>
          </w:p>
        </w:tc>
        <w:tc>
          <w:tcPr>
            <w:tcW w:w="1680" w:type="dxa"/>
            <w:vAlign w:val="bottom"/>
          </w:tcPr>
          <w:p>
            <w:pPr>
              <w:spacing w:after="0"/>
              <w:rPr>
                <w:sz w:val="20"/>
                <w:szCs w:val="20"/>
                <w:color w:val="auto"/>
              </w:rPr>
            </w:pPr>
          </w:p>
        </w:tc>
      </w:tr>
      <w:tr>
        <w:trPr>
          <w:trHeight w:val="432"/>
        </w:trPr>
        <w:tc>
          <w:tcPr>
            <w:tcW w:w="4220" w:type="dxa"/>
            <w:vAlign w:val="bottom"/>
          </w:tcPr>
          <w:p>
            <w:pPr>
              <w:spacing w:after="0"/>
              <w:rPr>
                <w:sz w:val="24"/>
                <w:szCs w:val="24"/>
                <w:color w:val="auto"/>
              </w:rPr>
            </w:pPr>
          </w:p>
        </w:tc>
        <w:tc>
          <w:tcPr>
            <w:tcW w:w="55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1680" w:type="dxa"/>
            <w:vAlign w:val="bottom"/>
          </w:tcPr>
          <w:p>
            <w:pPr>
              <w:spacing w:after="0"/>
              <w:rPr>
                <w:sz w:val="24"/>
                <w:szCs w:val="24"/>
                <w:color w:val="auto"/>
              </w:rPr>
            </w:pPr>
          </w:p>
        </w:tc>
      </w:tr>
      <w:tr>
        <w:trPr>
          <w:trHeight w:val="195"/>
        </w:trPr>
        <w:tc>
          <w:tcPr>
            <w:tcW w:w="4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Marcella Burgess</w:t>
            </w:r>
          </w:p>
        </w:tc>
        <w:tc>
          <w:tcPr>
            <w:tcW w:w="1680" w:type="dxa"/>
            <w:vAlign w:val="bottom"/>
          </w:tcPr>
          <w:p>
            <w:pPr>
              <w:spacing w:after="0"/>
              <w:rPr>
                <w:sz w:val="16"/>
                <w:szCs w:val="16"/>
                <w:color w:val="auto"/>
              </w:rPr>
            </w:pPr>
          </w:p>
        </w:tc>
      </w:tr>
      <w:tr>
        <w:trPr>
          <w:trHeight w:val="230"/>
        </w:trPr>
        <w:tc>
          <w:tcPr>
            <w:tcW w:w="4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w:t>
            </w:r>
          </w:p>
        </w:tc>
        <w:tc>
          <w:tcPr>
            <w:tcW w:w="1680" w:type="dxa"/>
            <w:vAlign w:val="bottom"/>
          </w:tcPr>
          <w:p>
            <w:pPr>
              <w:spacing w:after="0"/>
              <w:rPr>
                <w:sz w:val="20"/>
                <w:szCs w:val="20"/>
                <w:color w:val="auto"/>
              </w:rPr>
            </w:pPr>
          </w:p>
        </w:tc>
      </w:tr>
      <w:tr>
        <w:trPr>
          <w:trHeight w:val="848"/>
        </w:trPr>
        <w:tc>
          <w:tcPr>
            <w:tcW w:w="4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4.60% SENIOR NOTES DUE 2021</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4.60% Senior Notes due 2021 of the Company, in initial aggregate principal amount of $400,000,000 (the “Securities”).</w:t>
      </w:r>
    </w:p>
    <w:p>
      <w:pPr>
        <w:spacing w:after="0" w:line="81" w:lineRule="exact"/>
        <w:rPr>
          <w:sz w:val="20"/>
          <w:szCs w:val="20"/>
          <w:color w:val="auto"/>
        </w:rPr>
      </w:pPr>
    </w:p>
    <w:p>
      <w:pPr>
        <w:ind w:left="420" w:hanging="187"/>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promises to pay interest on the principal amount of this Security at the rate of 4.60% per annum.</w:t>
      </w:r>
    </w:p>
    <w:p>
      <w:pPr>
        <w:spacing w:after="0" w:line="117" w:lineRule="exact"/>
        <w:rPr>
          <w:sz w:val="20"/>
          <w:szCs w:val="20"/>
          <w:color w:val="auto"/>
        </w:rPr>
      </w:pPr>
    </w:p>
    <w:p>
      <w:pPr>
        <w:ind w:right="180" w:firstLine="222"/>
        <w:spacing w:after="0" w:line="297" w:lineRule="auto"/>
        <w:rPr>
          <w:sz w:val="20"/>
          <w:szCs w:val="20"/>
          <w:color w:val="auto"/>
        </w:rPr>
      </w:pPr>
      <w:r>
        <w:rPr>
          <w:rFonts w:ascii="Arial" w:cs="Arial" w:eastAsia="Arial" w:hAnsi="Arial"/>
          <w:sz w:val="16"/>
          <w:szCs w:val="16"/>
          <w:color w:val="auto"/>
        </w:rPr>
        <w:t>The Company will pay interest semi-annually on March 1 and September 1 of each year (each an “Interest Payment Date”), commencing September 1, 2011. Interest on the Securities will accrue from the most recent date to which interest has been paid or, if no interest has been paid on the Securities, from February 28, 2011.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4.60% per annum, in each case to the extent lawful.</w:t>
      </w:r>
    </w:p>
    <w:p>
      <w:pPr>
        <w:spacing w:after="0" w:line="50" w:lineRule="exact"/>
        <w:rPr>
          <w:sz w:val="20"/>
          <w:szCs w:val="20"/>
          <w:color w:val="auto"/>
        </w:rPr>
      </w:pPr>
    </w:p>
    <w:p>
      <w:pPr>
        <w:ind w:left="420" w:hanging="187"/>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9" w:name="page50"/>
    <w:bookmarkEnd w:id="49"/>
    <w:p>
      <w:pPr>
        <w:spacing w:after="0" w:line="257" w:lineRule="auto"/>
        <w:rPr>
          <w:sz w:val="20"/>
          <w:szCs w:val="20"/>
          <w:color w:val="auto"/>
        </w:rPr>
      </w:pPr>
      <w:r>
        <w:rPr>
          <w:rFonts w:ascii="Arial" w:cs="Arial" w:eastAsia="Arial" w:hAnsi="Arial"/>
          <w:sz w:val="18"/>
          <w:szCs w:val="18"/>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80" w:lineRule="exact"/>
        <w:rPr>
          <w:sz w:val="20"/>
          <w:szCs w:val="20"/>
          <w:color w:val="auto"/>
        </w:rPr>
      </w:pPr>
    </w:p>
    <w:p>
      <w:pPr>
        <w:ind w:left="420" w:hanging="187"/>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Initially, The Bank of New York Mellon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73" w:lineRule="exact"/>
        <w:rPr>
          <w:sz w:val="20"/>
          <w:szCs w:val="20"/>
          <w:color w:val="auto"/>
        </w:rPr>
      </w:pPr>
    </w:p>
    <w:p>
      <w:pPr>
        <w:ind w:left="420" w:hanging="187"/>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140"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2009 (the “Resolutions”) and the written consent of the Sole Director of Waste Management Holdings, Inc. on February 22, 2011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$400,000,000.</w:t>
      </w:r>
    </w:p>
    <w:p>
      <w:pPr>
        <w:spacing w:after="0" w:line="70" w:lineRule="exact"/>
        <w:rPr>
          <w:sz w:val="20"/>
          <w:szCs w:val="20"/>
          <w:color w:val="auto"/>
        </w:rPr>
      </w:pPr>
    </w:p>
    <w:p>
      <w:pPr>
        <w:ind w:left="420" w:hanging="187"/>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Before the date that is three months prior to the maturity date, 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 On or after the date that is three months prior to the maturity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0" w:name="page51"/>
    <w:bookmarkEnd w:id="50"/>
    <w:p>
      <w:pPr>
        <w:ind w:right="80" w:firstLine="225"/>
        <w:spacing w:after="0" w:line="255" w:lineRule="auto"/>
        <w:rPr>
          <w:sz w:val="20"/>
          <w:szCs w:val="20"/>
          <w:color w:val="auto"/>
        </w:rPr>
      </w:pPr>
      <w:r>
        <w:rPr>
          <w:rFonts w:ascii="Arial" w:cs="Arial" w:eastAsia="Arial" w:hAnsi="Arial"/>
          <w:sz w:val="18"/>
          <w:szCs w:val="18"/>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3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73"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“Independent Investment Banker” means either of Deutsche Bank Securities Inc. and RBS Securities Inc. (and their respective successors), or, if both of such firms are unwilling or unable to select the applicable Comparable Treasury Issue, an independent investment banking institution of national standing appointed by the Trustee and reasonably acceptable to the Company.</w:t>
      </w:r>
    </w:p>
    <w:p>
      <w:pPr>
        <w:spacing w:after="0" w:line="7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“Comparable Treasury Price” means, with respect to any Redemption Date, (i) the bid price for the Comparable Treasury Issue (expressed as a percentage of its principal amount) at 4:00 p.m., New York City time, on the third Business Day preceding such Redemption Date, as set forth on “Telerate Page 500” (or such other page as may replace Telerate Page 500), or (ii) if such page (or any successor page) is not displayed or does not contain such bid prices at such time (a) the average of the Reference Treasury Dealer Quotations obtained by the Trustee for such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70"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“Reference Treasury Dealer” means (i) each of Deutsche Bank Securities Inc. and RBS Securities Inc. (and their respective successors), unless either of them ceases to be a primary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ind w:right="20"/>
        <w:spacing w:after="0" w:line="277" w:lineRule="auto"/>
        <w:rPr>
          <w:sz w:val="20"/>
          <w:szCs w:val="20"/>
          <w:color w:val="auto"/>
        </w:rPr>
      </w:pPr>
      <w:r>
        <w:rPr>
          <w:rFonts w:ascii="Arial" w:cs="Arial" w:eastAsia="Arial" w:hAnsi="Arial"/>
          <w:sz w:val="18"/>
          <w:szCs w:val="18"/>
          <w:color w:val="auto"/>
        </w:rPr>
        <w:t>Government securities dealer in New York City (a “Primary Treasury Dealer”), in which case the Company will substitute therefor another Primary Treasury Dealer, and (ii) any two other Primary Treasury Dealers selected by the Company.</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117" w:lineRule="exact"/>
        <w:rPr>
          <w:sz w:val="20"/>
          <w:szCs w:val="20"/>
          <w:color w:val="auto"/>
        </w:rPr>
      </w:pPr>
    </w:p>
    <w:p>
      <w:pPr>
        <w:ind w:left="420" w:hanging="187"/>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85" w:lineRule="exact"/>
        <w:rPr>
          <w:sz w:val="20"/>
          <w:szCs w:val="20"/>
          <w:color w:val="auto"/>
        </w:rPr>
      </w:pPr>
    </w:p>
    <w:p>
      <w:pPr>
        <w:ind w:right="340" w:firstLine="222"/>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117" w:lineRule="exact"/>
        <w:rPr>
          <w:sz w:val="20"/>
          <w:szCs w:val="20"/>
          <w:color w:val="auto"/>
        </w:rPr>
      </w:pPr>
    </w:p>
    <w:p>
      <w:pPr>
        <w:ind w:left="660" w:hanging="436"/>
        <w:spacing w:after="0"/>
        <w:tabs>
          <w:tab w:leader="none" w:pos="66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accept for payment all Securities or portions of Securities properly tendered and not withdrawn pursuant to the Change of Control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52" w:name="page53"/>
    <w:bookmarkEnd w:id="52"/>
    <w:p>
      <w:pPr>
        <w:ind w:left="660" w:right="460" w:hanging="436"/>
        <w:spacing w:after="0" w:line="277" w:lineRule="auto"/>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80"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117" w:lineRule="exact"/>
        <w:rPr>
          <w:sz w:val="20"/>
          <w:szCs w:val="20"/>
          <w:color w:val="auto"/>
        </w:rPr>
      </w:pPr>
    </w:p>
    <w:p>
      <w:pPr>
        <w:ind w:right="80" w:firstLine="225"/>
        <w:spacing w:after="0" w:line="287"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3" w:name="page54"/>
    <w:bookmarkEnd w:id="53"/>
    <w:p>
      <w:pPr>
        <w:ind w:right="700"/>
        <w:spacing w:after="0" w:line="277" w:lineRule="auto"/>
        <w:rPr>
          <w:sz w:val="20"/>
          <w:szCs w:val="20"/>
          <w:color w:val="auto"/>
        </w:rPr>
      </w:pPr>
      <w:r>
        <w:rPr>
          <w:rFonts w:ascii="Arial" w:cs="Arial" w:eastAsia="Arial" w:hAnsi="Arial"/>
          <w:sz w:val="18"/>
          <w:szCs w:val="18"/>
          <w:color w:val="auto"/>
        </w:rPr>
        <w:t>which a majority of the members of the Board of Directors of the Company are not Continuing Directors; or (5) the adoption of a plan relating to the liquidation or dissolution of the Company.</w:t>
      </w:r>
    </w:p>
    <w:p>
      <w:pPr>
        <w:spacing w:after="0" w:line="62" w:lineRule="exact"/>
        <w:rPr>
          <w:sz w:val="20"/>
          <w:szCs w:val="20"/>
          <w:color w:val="auto"/>
        </w:rPr>
      </w:pPr>
    </w:p>
    <w:p>
      <w:pPr>
        <w:ind w:right="400" w:firstLine="225"/>
        <w:spacing w:after="0" w:line="288"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ind w:right="220" w:firstLine="8"/>
        <w:spacing w:after="0" w:line="255" w:lineRule="auto"/>
        <w:tabs>
          <w:tab w:leader="none" w:pos="2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“Fitch” means Fitch Inc. and its successors.</w:t>
      </w:r>
    </w:p>
    <w:p>
      <w:pPr>
        <w:spacing w:after="0" w:line="117"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17"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left="240"/>
        <w:spacing w:after="0"/>
        <w:rPr>
          <w:sz w:val="20"/>
          <w:szCs w:val="20"/>
          <w:color w:val="auto"/>
        </w:rPr>
      </w:pPr>
      <w:r>
        <w:rPr>
          <w:rFonts w:ascii="Arial" w:cs="Arial" w:eastAsia="Arial" w:hAnsi="Arial"/>
          <w:sz w:val="18"/>
          <w:szCs w:val="18"/>
          <w:color w:val="auto"/>
        </w:rPr>
        <w:t>“S&amp;P” means Standard &amp; Poor’s Ratings Services, a division of The McGraw-Hill Companies, Inc., and its successors.</w:t>
      </w:r>
    </w:p>
    <w:p>
      <w:pPr>
        <w:spacing w:after="0" w:line="11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62" w:lineRule="exact"/>
        <w:rPr>
          <w:sz w:val="20"/>
          <w:szCs w:val="20"/>
          <w:color w:val="auto"/>
        </w:rPr>
      </w:pPr>
    </w:p>
    <w:p>
      <w:pPr>
        <w:ind w:left="420" w:hanging="187"/>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117"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39" w:lineRule="exact"/>
        <w:rPr>
          <w:sz w:val="20"/>
          <w:szCs w:val="20"/>
          <w:color w:val="auto"/>
        </w:rPr>
      </w:pPr>
    </w:p>
    <w:p>
      <w:pPr>
        <w:ind w:left="420" w:hanging="187"/>
        <w:spacing w:after="0"/>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117" w:lineRule="exact"/>
        <w:rPr>
          <w:sz w:val="20"/>
          <w:szCs w:val="20"/>
          <w:color w:val="auto"/>
        </w:rPr>
      </w:pPr>
    </w:p>
    <w:p>
      <w:pPr>
        <w:ind w:left="420" w:hanging="187"/>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81" w:lineRule="exact"/>
        <w:rPr>
          <w:sz w:val="20"/>
          <w:szCs w:val="20"/>
          <w:color w:val="auto"/>
        </w:rPr>
      </w:pPr>
    </w:p>
    <w:p>
      <w:pPr>
        <w:ind w:left="500" w:hanging="267"/>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117"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ind w:right="20"/>
        <w:spacing w:after="0" w:line="293" w:lineRule="auto"/>
        <w:rPr>
          <w:sz w:val="20"/>
          <w:szCs w:val="20"/>
          <w:color w:val="auto"/>
        </w:rPr>
      </w:pPr>
      <w:r>
        <w:rPr>
          <w:rFonts w:ascii="Arial" w:cs="Arial" w:eastAsia="Arial" w:hAnsi="Arial"/>
          <w:sz w:val="16"/>
          <w:szCs w:val="16"/>
          <w:color w:val="auto"/>
        </w:rPr>
        <w:t>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57" w:lineRule="exact"/>
        <w:rPr>
          <w:sz w:val="20"/>
          <w:szCs w:val="20"/>
          <w:color w:val="auto"/>
        </w:rPr>
      </w:pPr>
    </w:p>
    <w:p>
      <w:pPr>
        <w:ind w:left="500" w:hanging="267"/>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117"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6" w:lineRule="exact"/>
        <w:rPr>
          <w:sz w:val="20"/>
          <w:szCs w:val="20"/>
          <w:color w:val="auto"/>
        </w:rPr>
      </w:pPr>
    </w:p>
    <w:p>
      <w:pPr>
        <w:ind w:left="500" w:hanging="267"/>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129" w:lineRule="exact"/>
        <w:rPr>
          <w:sz w:val="20"/>
          <w:szCs w:val="20"/>
          <w:color w:val="auto"/>
        </w:rPr>
      </w:pPr>
    </w:p>
    <w:p>
      <w:pPr>
        <w:ind w:left="500" w:hanging="267"/>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73" w:lineRule="exact"/>
        <w:rPr>
          <w:sz w:val="20"/>
          <w:szCs w:val="20"/>
          <w:color w:val="auto"/>
        </w:rPr>
      </w:pPr>
    </w:p>
    <w:p>
      <w:pPr>
        <w:ind w:left="500" w:hanging="267"/>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73" w:lineRule="exact"/>
        <w:rPr>
          <w:sz w:val="20"/>
          <w:szCs w:val="20"/>
          <w:color w:val="auto"/>
        </w:rPr>
      </w:pPr>
    </w:p>
    <w:p>
      <w:pPr>
        <w:ind w:left="500" w:hanging="267"/>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73" w:lineRule="exact"/>
        <w:rPr>
          <w:sz w:val="20"/>
          <w:szCs w:val="20"/>
          <w:color w:val="auto"/>
        </w:rPr>
      </w:pPr>
    </w:p>
    <w:p>
      <w:pPr>
        <w:ind w:left="500" w:hanging="267"/>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ind w:firstLine="225"/>
        <w:spacing w:after="0" w:line="276" w:lineRule="auto"/>
        <w:rPr>
          <w:sz w:val="20"/>
          <w:szCs w:val="20"/>
          <w:color w:val="auto"/>
        </w:rPr>
      </w:pPr>
      <w:r>
        <w:rPr>
          <w:rFonts w:ascii="Arial" w:cs="Arial" w:eastAsia="Arial" w:hAnsi="Arial"/>
          <w:sz w:val="17"/>
          <w:szCs w:val="17"/>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64" w:lineRule="exact"/>
        <w:rPr>
          <w:sz w:val="20"/>
          <w:szCs w:val="20"/>
          <w:color w:val="auto"/>
        </w:rPr>
      </w:pPr>
    </w:p>
    <w:p>
      <w:pPr>
        <w:ind w:left="500" w:hanging="267"/>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117" w:lineRule="exact"/>
        <w:rPr>
          <w:sz w:val="20"/>
          <w:szCs w:val="20"/>
          <w:color w:val="auto"/>
        </w:rPr>
      </w:pPr>
    </w:p>
    <w:p>
      <w:pPr>
        <w:ind w:left="500" w:hanging="267"/>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117"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Agreement dated February 28, 2011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7" w:name="page58"/>
    <w:bookmarkEnd w:id="57"/>
    <w:p>
      <w:pPr>
        <w:ind w:left="220" w:right="3400" w:firstLine="3187"/>
        <w:spacing w:after="0" w:line="417" w:lineRule="auto"/>
        <w:rPr>
          <w:sz w:val="20"/>
          <w:szCs w:val="20"/>
          <w:color w:val="auto"/>
        </w:rPr>
      </w:pPr>
      <w:r>
        <w:rPr>
          <w:rFonts w:ascii="Arial" w:cs="Arial" w:eastAsia="Arial" w:hAnsi="Arial"/>
          <w:sz w:val="17"/>
          <w:szCs w:val="17"/>
          <w:color w:val="auto"/>
        </w:rPr>
        <w:t>SCHEDULE OF EXCHANGES OF DEFINITIVE SECURITY The following exchanges of a part of this Book-Entry Security for definitive Securities have been made:</w:t>
      </w:r>
    </w:p>
    <w:tbl>
      <w:tblPr>
        <w:tblLayout w:type="fixed"/>
        <w:tblInd w:w="0" w:type="dxa"/>
        <w:tblCellMar>
          <w:top w:w="0" w:type="dxa"/>
          <w:left w:w="0" w:type="dxa"/>
          <w:bottom w:w="0" w:type="dxa"/>
          <w:right w:w="0" w:type="dxa"/>
        </w:tblCellMar>
      </w:tblPr>
      <w:tr>
        <w:trPr>
          <w:trHeight w:val="150"/>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Amount of</w:t>
            </w:r>
          </w:p>
        </w:tc>
        <w:tc>
          <w:tcPr>
            <w:tcW w:w="360" w:type="dxa"/>
            <w:vAlign w:val="bottom"/>
          </w:tcPr>
          <w:p>
            <w:pPr>
              <w:spacing w:after="0"/>
              <w:rPr>
                <w:sz w:val="13"/>
                <w:szCs w:val="13"/>
                <w:color w:val="auto"/>
              </w:rPr>
            </w:pPr>
          </w:p>
        </w:tc>
        <w:tc>
          <w:tcPr>
            <w:tcW w:w="2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1"/>
              </w:rPr>
              <w:t>Amount of increase</w:t>
            </w:r>
          </w:p>
        </w:tc>
        <w:tc>
          <w:tcPr>
            <w:tcW w:w="340" w:type="dxa"/>
            <w:vAlign w:val="bottom"/>
          </w:tcPr>
          <w:p>
            <w:pPr>
              <w:spacing w:after="0"/>
              <w:rPr>
                <w:sz w:val="13"/>
                <w:szCs w:val="13"/>
                <w:color w:val="auto"/>
              </w:rPr>
            </w:pPr>
          </w:p>
        </w:tc>
        <w:tc>
          <w:tcPr>
            <w:tcW w:w="2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Principal Amount</w:t>
            </w:r>
          </w:p>
        </w:tc>
        <w:tc>
          <w:tcPr>
            <w:tcW w:w="36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decrease in</w:t>
            </w:r>
          </w:p>
        </w:tc>
        <w:tc>
          <w:tcPr>
            <w:tcW w:w="36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36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36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3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0" w:type="dxa"/>
            <w:vAlign w:val="bottom"/>
          </w:tcPr>
          <w:p>
            <w:pPr>
              <w:spacing w:after="0"/>
              <w:rPr>
                <w:sz w:val="1"/>
                <w:szCs w:val="1"/>
                <w:color w:val="auto"/>
              </w:rPr>
            </w:pPr>
          </w:p>
        </w:tc>
      </w:tr>
      <w:tr>
        <w:trPr>
          <w:trHeight w:val="149"/>
        </w:trPr>
        <w:tc>
          <w:tcPr>
            <w:tcW w:w="20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Date of Exchange</w:t>
            </w:r>
          </w:p>
        </w:tc>
        <w:tc>
          <w:tcPr>
            <w:tcW w:w="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36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Book-Entry</w:t>
            </w:r>
          </w:p>
        </w:tc>
        <w:tc>
          <w:tcPr>
            <w:tcW w:w="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3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36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34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3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r>
        <w:trPr>
          <w:trHeight w:val="639"/>
        </w:trPr>
        <w:tc>
          <w:tcPr>
            <w:tcW w:w="20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Waste Management, Inc.</w:t>
      </w:r>
    </w:p>
    <w:p>
      <w:pPr>
        <w:spacing w:after="0" w:line="99"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22, 2006, Waste Management, Inc. (the “Company”) filed with the Securities Exchange Commission (the “SEC”) an</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 shelf registration statement on Form S-3, File No. 333-137526 (the “Automatic Shelf”),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76"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rules and regulations promulgated by SEC, the Automatic Shelf expires, by its terms, on September 22, 2009, three years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of the Automatic Shelf; and</w:t>
      </w:r>
    </w:p>
    <w:p>
      <w:pPr>
        <w:spacing w:after="0" w:line="54"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and finds it in the best interests of the Company, to file a new automatic shelf registration statement on Form S-3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facilitate any future offerings of securities by the Company or any selling security holders.</w:t>
      </w:r>
    </w:p>
    <w:p>
      <w:pPr>
        <w:spacing w:after="0" w:line="54" w:lineRule="exact"/>
        <w:rPr>
          <w:sz w:val="20"/>
          <w:szCs w:val="20"/>
          <w:color w:val="auto"/>
        </w:rPr>
      </w:pPr>
    </w:p>
    <w:p>
      <w:pPr>
        <w:ind w:right="120" w:firstLine="225"/>
        <w:spacing w:after="0" w:line="254"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Company is hereby authorized to prepare and file with the SEC an automatic shelf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S-3 (the “New Automatic Shelf”), pursuant to the Securities Act of 1933, as amended, and the rules and regulations promulgated thereunder (the “Securities Act”), which New Automatic Shelf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Waste Management Holdings, Inc., a wholly-owned subsidiary of the Company; and any units consisting of one or more of the foregoing (the Debt Securities, Common Stock, warrants, preferred stock, guarantees and units collectively referred to herein as the “Securities”), to be issued from time to time;</w:t>
      </w:r>
    </w:p>
    <w:p>
      <w:pPr>
        <w:spacing w:after="0" w:line="81"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(as established pursuant to these resolutions) be, and they hereby are, authorized, in their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68"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and the authorized employees (as established pursuant to these resolutions) be, and each of them hereby</w:t>
      </w:r>
      <w:r>
        <w:rPr>
          <w:rFonts w:ascii="Arial" w:cs="Arial" w:eastAsia="Arial" w:hAnsi="Arial"/>
          <w:sz w:val="17"/>
          <w:szCs w:val="17"/>
          <w:b w:val="1"/>
          <w:bCs w:val="1"/>
          <w:color w:val="auto"/>
        </w:rPr>
        <w:t xml:space="preserve"> </w:t>
      </w:r>
      <w:r>
        <w:rPr>
          <w:rFonts w:ascii="Arial" w:cs="Arial" w:eastAsia="Arial" w:hAnsi="Arial"/>
          <w:sz w:val="17"/>
          <w:szCs w:val="17"/>
          <w:color w:val="auto"/>
        </w:rPr>
        <w:t>is, authorized, in the name and on behalf of the Company, to execute and cause to be filed with the SEC any and all amendments (including, without limitation, post-effective amendments) or supplements to the New Automatic Shelf and any prospectus included therein and any additional documents which such officer or employee may deem necessary or desirable with respect to the registration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59" w:name="page60"/>
    <w:bookmarkEnd w:id="59"/>
    <w:p>
      <w:pPr>
        <w:ind w:right="80"/>
        <w:spacing w:after="0" w:line="277" w:lineRule="auto"/>
        <w:rPr>
          <w:sz w:val="20"/>
          <w:szCs w:val="20"/>
          <w:color w:val="auto"/>
        </w:rPr>
      </w:pPr>
      <w:r>
        <w:rPr>
          <w:rFonts w:ascii="Arial" w:cs="Arial" w:eastAsia="Arial" w:hAnsi="Arial"/>
          <w:sz w:val="18"/>
          <w:szCs w:val="18"/>
          <w:color w:val="auto"/>
        </w:rPr>
        <w:t>offering of the Securities, and such amendments, supplements, registration statements and documents to be in such form as the officer or employee executing the same may approve, as conclusively evidenced by his execution thereof;</w:t>
      </w:r>
    </w:p>
    <w:p>
      <w:pPr>
        <w:spacing w:after="0" w:line="58"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General Counsel of the Company be, and he hereby is, designated and appointed the agent for service of process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Securities Act in connection with the New Automatic Shelf and any and all amendments and supplements thereto, with all powers incident to such appointment;</w:t>
      </w:r>
    </w:p>
    <w:p>
      <w:pPr>
        <w:spacing w:after="0" w:line="6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authorized employees be and hereby are authorized and directed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76"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any of the proper officers or authorized employees be, and each of them hereby is, authorized to approve at any time and</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64"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be, and each of them hereby is, authorized, at any time and from time to time,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to determine,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right="80"/>
        <w:spacing w:after="0" w:line="297" w:lineRule="auto"/>
        <w:rPr>
          <w:sz w:val="20"/>
          <w:szCs w:val="20"/>
          <w:color w:val="auto"/>
        </w:rPr>
      </w:pPr>
      <w:r>
        <w:rPr>
          <w:rFonts w:ascii="Arial" w:cs="Arial" w:eastAsia="Arial" w:hAnsi="Arial"/>
          <w:sz w:val="16"/>
          <w:szCs w:val="16"/>
          <w:color w:val="auto"/>
        </w:rPr>
        <w:t>any limits that may be set by the Board of Directors, the number of shares of Common Stock, preferred stock or other equity securities to be offered and sold by the Company pursuant to the New Automatic Shelf,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Automatic Shelf and the applicable purchase agreement, which action could be taken or which things could be done by the Board of Directors of the Company;</w:t>
      </w:r>
    </w:p>
    <w:p>
      <w:pPr>
        <w:spacing w:after="0" w:line="46"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may, at any time and from time to time, on behalf of the Company, authorize the issuance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76" w:lineRule="exact"/>
        <w:rPr>
          <w:sz w:val="20"/>
          <w:szCs w:val="20"/>
          <w:color w:val="auto"/>
        </w:rPr>
      </w:pPr>
    </w:p>
    <w:p>
      <w:pPr>
        <w:ind w:right="160" w:firstLine="225"/>
        <w:spacing w:after="0" w:line="298"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46" w:lineRule="exact"/>
        <w:rPr>
          <w:sz w:val="20"/>
          <w:szCs w:val="20"/>
          <w:color w:val="auto"/>
        </w:rPr>
      </w:pPr>
    </w:p>
    <w:p>
      <w:pPr>
        <w:jc w:val="both"/>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the issuance of Securities of any series which may not be originally issued at one time (except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34" w:lineRule="exact"/>
        <w:rPr>
          <w:sz w:val="20"/>
          <w:szCs w:val="20"/>
          <w:color w:val="auto"/>
        </w:rPr>
      </w:pPr>
    </w:p>
    <w:p>
      <w:pPr>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34" w:lineRule="exact"/>
        <w:rPr>
          <w:sz w:val="20"/>
          <w:szCs w:val="20"/>
          <w:color w:val="auto"/>
        </w:rPr>
      </w:pPr>
    </w:p>
    <w:p>
      <w:pPr>
        <w:ind w:right="140" w:firstLine="225"/>
        <w:spacing w:after="0" w:line="30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ind w:right="60" w:firstLine="225"/>
        <w:spacing w:after="0" w:line="274"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subject to and in accordance with the Company’s indentures</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66"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and authorized employees be, and each of them hereby is, authorized, in the name and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70" w:lineRule="exact"/>
        <w:rPr>
          <w:sz w:val="20"/>
          <w:szCs w:val="20"/>
          <w:color w:val="auto"/>
        </w:rPr>
      </w:pPr>
    </w:p>
    <w:p>
      <w:pPr>
        <w:ind w:right="60" w:firstLine="225"/>
        <w:spacing w:after="0" w:line="277"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in the name and on behalf of the Company,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60"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officers and authorized employees of the Company be, and each of them hereby is, authorized to take,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Automatic Shelf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2" w:name="page63"/>
    <w:bookmarkEnd w:id="62"/>
    <w:p>
      <w:pPr>
        <w:ind w:right="80" w:firstLine="225"/>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for purposes of these resolutions, the term “proper officer” shall mean any or all of the Chief Executive Officer,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the General Counsel, the Chief Accounting Officer and the Treasurer of the Company and the term “authorized employees” shall mean either or both of the Vice President and Assistant General Counsel — Corporate and Securities and the Senior Counsel — Corporate &amp; Securities of the Company;</w:t>
      </w:r>
    </w:p>
    <w:p>
      <w:pPr>
        <w:spacing w:after="0" w:line="72"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form of any additional resolutions required in connection with the foregoing resolutions be and hereby is approved and</w:t>
      </w:r>
      <w:r>
        <w:rPr>
          <w:rFonts w:ascii="Arial" w:cs="Arial" w:eastAsia="Arial" w:hAnsi="Arial"/>
          <w:sz w:val="17"/>
          <w:szCs w:val="17"/>
          <w:b w:val="1"/>
          <w:bCs w:val="1"/>
          <w:color w:val="auto"/>
        </w:rPr>
        <w:t xml:space="preserve"> </w:t>
      </w:r>
      <w:r>
        <w:rPr>
          <w:rFonts w:ascii="Arial" w:cs="Arial" w:eastAsia="Arial" w:hAnsi="Arial"/>
          <w:sz w:val="17"/>
          <w:szCs w:val="17"/>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57" w:lineRule="exact"/>
        <w:rPr>
          <w:sz w:val="20"/>
          <w:szCs w:val="20"/>
          <w:color w:val="auto"/>
        </w:rPr>
      </w:pPr>
    </w:p>
    <w:p>
      <w:pPr>
        <w:ind w:right="140" w:firstLine="225"/>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officer of the Company is hereby authorized and directed to make, provide, execute, and deliver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360"/>
          </w:cols>
          <w:pgMar w:left="240" w:top="931" w:right="2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4.4</w:t>
      </w:r>
    </w:p>
    <w:p>
      <w:pPr>
        <w:spacing w:after="0" w:line="33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GUARANTEE</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 WASTE MANAGEMENT HOLDINGS, INC.</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(formerly known as Waste Management, Inc.)</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Favor of The Bank of New York Mellon Trust Company, N.A., as Trustee for the Holders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of Certain Debt Securities of</w:t>
      </w:r>
    </w:p>
    <w:p>
      <w:pPr>
        <w:spacing w:after="0" w:line="10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$400,000,000</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4.60% Senior Notes due 2021</w:t>
      </w:r>
    </w:p>
    <w:p>
      <w:pPr>
        <w:spacing w:after="0" w:line="10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February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4" w:name="page65"/>
    <w:bookmarkEnd w:id="64"/>
    <w:p>
      <w:pPr>
        <w:ind w:right="40" w:firstLine="450"/>
        <w:spacing w:after="0" w:line="259" w:lineRule="auto"/>
        <w:rPr>
          <w:sz w:val="20"/>
          <w:szCs w:val="20"/>
          <w:color w:val="auto"/>
        </w:rPr>
      </w:pPr>
      <w:r>
        <w:rPr>
          <w:rFonts w:ascii="Arial" w:cs="Arial" w:eastAsia="Arial" w:hAnsi="Arial"/>
          <w:sz w:val="18"/>
          <w:szCs w:val="18"/>
          <w:color w:val="auto"/>
        </w:rPr>
        <w:t>GUARANTEE, dated as of February 28, 2011 (as amended from time to time, this “Guarantee”), made by Waste Management Holdings, Inc. (formerly known as Waste Management, Inc.), a Delaware corporation (the “Guarantor”), in favor of The Bank of New York Mellon Trust Company, N.A., as trustee for the holders of the $400 million 4.60% Senior Notes due 2021 (the “Debt Securities”) of Waste Management, Inc. (formerly known as USA Waste Services, Inc.), a Delaware corporation (the “Issuer”).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117" w:lineRule="exact"/>
        <w:rPr>
          <w:sz w:val="20"/>
          <w:szCs w:val="20"/>
          <w:color w:val="auto"/>
        </w:rPr>
      </w:pPr>
    </w:p>
    <w:p>
      <w:pPr>
        <w:ind w:firstLine="683"/>
        <w:spacing w:after="0" w:line="257" w:lineRule="auto"/>
        <w:tabs>
          <w:tab w:leader="none" w:pos="9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w:t>
      </w:r>
    </w:p>
    <w:p>
      <w:pPr>
        <w:spacing w:after="0" w:line="80" w:lineRule="exact"/>
        <w:rPr>
          <w:rFonts w:ascii="Arial" w:cs="Arial" w:eastAsia="Arial" w:hAnsi="Arial"/>
          <w:sz w:val="18"/>
          <w:szCs w:val="18"/>
          <w:color w:val="auto"/>
        </w:rPr>
      </w:pPr>
    </w:p>
    <w:p>
      <w:pPr>
        <w:ind w:right="60" w:firstLine="683"/>
        <w:spacing w:after="0" w:line="293" w:lineRule="auto"/>
        <w:tabs>
          <w:tab w:leader="none" w:pos="93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57" w:lineRule="exact"/>
        <w:rPr>
          <w:sz w:val="20"/>
          <w:szCs w:val="20"/>
          <w:color w:val="auto"/>
        </w:rPr>
      </w:pPr>
    </w:p>
    <w:p>
      <w:pPr>
        <w:ind w:right="320" w:firstLine="450"/>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57" w:lineRule="exact"/>
        <w:rPr>
          <w:sz w:val="20"/>
          <w:szCs w:val="20"/>
          <w:color w:val="auto"/>
        </w:rPr>
      </w:pPr>
    </w:p>
    <w:p>
      <w:pPr>
        <w:ind w:left="900" w:hanging="214"/>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17" w:lineRule="exact"/>
        <w:rPr>
          <w:rFonts w:ascii="Arial" w:cs="Arial" w:eastAsia="Arial" w:hAnsi="Arial"/>
          <w:sz w:val="18"/>
          <w:szCs w:val="18"/>
          <w:color w:val="auto"/>
        </w:rPr>
      </w:pPr>
    </w:p>
    <w:p>
      <w:pPr>
        <w:ind w:left="240" w:right="140" w:firstLine="446"/>
        <w:spacing w:after="0" w:line="277" w:lineRule="auto"/>
        <w:tabs>
          <w:tab w:leader="none" w:pos="9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62" w:lineRule="exact"/>
        <w:rPr>
          <w:rFonts w:ascii="Arial" w:cs="Arial" w:eastAsia="Arial" w:hAnsi="Arial"/>
          <w:sz w:val="18"/>
          <w:szCs w:val="18"/>
          <w:color w:val="auto"/>
        </w:rPr>
      </w:pPr>
    </w:p>
    <w:p>
      <w:pPr>
        <w:ind w:left="240" w:right="420" w:firstLine="446"/>
        <w:spacing w:after="0" w:line="277" w:lineRule="auto"/>
        <w:tabs>
          <w:tab w:leader="none" w:pos="10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ind w:left="680"/>
        <w:spacing w:after="0"/>
        <w:rPr>
          <w:sz w:val="20"/>
          <w:szCs w:val="20"/>
          <w:color w:val="auto"/>
        </w:rPr>
      </w:pPr>
      <w:r>
        <w:rPr>
          <w:rFonts w:ascii="Arial" w:cs="Arial" w:eastAsia="Arial" w:hAnsi="Arial"/>
          <w:sz w:val="18"/>
          <w:szCs w:val="18"/>
          <w:color w:val="auto"/>
        </w:rPr>
        <w:t>(iv) any other circumstance which might otherwise constitute a defense available to, or a discharge of, the Issuer or a guarantor.</w:t>
      </w:r>
    </w:p>
    <w:p>
      <w:pPr>
        <w:spacing w:after="0" w:line="117" w:lineRule="exact"/>
        <w:rPr>
          <w:sz w:val="20"/>
          <w:szCs w:val="20"/>
          <w:color w:val="auto"/>
        </w:rPr>
      </w:pPr>
    </w:p>
    <w:p>
      <w:pPr>
        <w:ind w:right="420" w:firstLine="450"/>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117" w:lineRule="exact"/>
        <w:rPr>
          <w:sz w:val="20"/>
          <w:szCs w:val="20"/>
          <w:color w:val="auto"/>
        </w:rPr>
      </w:pPr>
    </w:p>
    <w:p>
      <w:pPr>
        <w:ind w:right="20" w:firstLine="683"/>
        <w:spacing w:after="0" w:line="264" w:lineRule="auto"/>
        <w:tabs>
          <w:tab w:leader="none" w:pos="91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73" w:lineRule="exact"/>
        <w:rPr>
          <w:rFonts w:ascii="Arial" w:cs="Arial" w:eastAsia="Arial" w:hAnsi="Arial"/>
          <w:sz w:val="18"/>
          <w:szCs w:val="18"/>
          <w:color w:val="auto"/>
        </w:rPr>
      </w:pPr>
    </w:p>
    <w:p>
      <w:pPr>
        <w:ind w:right="40" w:firstLine="683"/>
        <w:spacing w:after="0" w:line="312" w:lineRule="auto"/>
        <w:tabs>
          <w:tab w:leader="none" w:pos="92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39" w:lineRule="exact"/>
        <w:rPr>
          <w:sz w:val="20"/>
          <w:szCs w:val="20"/>
          <w:color w:val="auto"/>
        </w:rPr>
      </w:pPr>
    </w:p>
    <w:p>
      <w:pPr>
        <w:ind w:right="240" w:firstLine="450"/>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3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Continuing Guarantee; Transfer of Interest</w:t>
      </w:r>
      <w:r>
        <w:rPr>
          <w:rFonts w:ascii="Arial" w:cs="Arial" w:eastAsia="Arial" w:hAnsi="Arial"/>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Revolving Credit Agreement dated June 22, 2010, by and among the Issuer, the Guarantor (as guarantor), Bank of America, N.A., as administrative agent, J.P. Morgan Securities Inc., Banc of America Securities LLC and Barclays Capital, as lead arrangers and joint book runners (or under any replacement or new principal credit facility of the Issuer) of the guarantee of the Guarantor thereunder, (ii) be binding upon the Guarantor, its successors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ind w:right="120"/>
        <w:spacing w:after="0" w:line="277" w:lineRule="auto"/>
        <w:rPr>
          <w:sz w:val="20"/>
          <w:szCs w:val="20"/>
          <w:color w:val="auto"/>
        </w:rPr>
      </w:pPr>
      <w:r>
        <w:rPr>
          <w:rFonts w:ascii="Arial" w:cs="Arial" w:eastAsia="Arial" w:hAnsi="Arial"/>
          <w:sz w:val="18"/>
          <w:szCs w:val="18"/>
          <w:color w:val="auto"/>
        </w:rPr>
        <w:t>assigns, and (iii) inure to the benefit of and be enforceable by any holder of Debt Securities, the Trustee, and by their respective successors, transferees, and assigns.</w:t>
      </w:r>
    </w:p>
    <w:p>
      <w:pPr>
        <w:spacing w:after="0" w:line="62" w:lineRule="exact"/>
        <w:rPr>
          <w:sz w:val="20"/>
          <w:szCs w:val="20"/>
          <w:color w:val="auto"/>
        </w:rPr>
      </w:pPr>
    </w:p>
    <w:p>
      <w:pPr>
        <w:jc w:val="both"/>
        <w:ind w:firstLine="450"/>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73" w:lineRule="exact"/>
        <w:rPr>
          <w:sz w:val="20"/>
          <w:szCs w:val="20"/>
          <w:color w:val="auto"/>
        </w:rPr>
      </w:pPr>
    </w:p>
    <w:p>
      <w:pPr>
        <w:ind w:right="180" w:firstLine="450"/>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73"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67" w:name="page68"/>
    <w:bookmarkEnd w:id="67"/>
    <w:p>
      <w:pPr>
        <w:ind w:firstLine="450"/>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officers thereunto duly authorized as of the date first above written.</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 Finance and Treasurer</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Devina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Guarantee</w:t>
      </w:r>
    </w:p>
    <w:p>
      <w:pPr>
        <w:sectPr>
          <w:pgSz w:w="11900" w:h="16838" w:orient="portrait"/>
          <w:cols w:equalWidth="0" w:num="1">
            <w:col w:w="11420"/>
          </w:cols>
          <w:pgMar w:left="240" w:top="936" w:right="239" w:bottom="1440" w:gutter="0" w:footer="0" w:header="0"/>
        </w:sectPr>
      </w:pPr>
    </w:p>
    <w:bookmarkStart w:id="68" w:name="page69"/>
    <w:bookmarkEnd w:id="68"/>
    <w:p>
      <w:pPr>
        <w:ind w:left="105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171" w:lineRule="exact"/>
        <w:rPr>
          <w:sz w:val="20"/>
          <w:szCs w:val="20"/>
          <w:color w:val="auto"/>
        </w:rPr>
      </w:pPr>
    </w:p>
    <w:p>
      <w:pPr>
        <w:ind w:left="8660"/>
        <w:spacing w:after="0"/>
        <w:rPr>
          <w:sz w:val="20"/>
          <w:szCs w:val="20"/>
          <w:color w:val="auto"/>
        </w:rPr>
      </w:pPr>
      <w:r>
        <w:rPr>
          <w:rFonts w:ascii="Arial" w:cs="Arial" w:eastAsia="Arial" w:hAnsi="Arial"/>
          <w:sz w:val="12"/>
          <w:szCs w:val="12"/>
          <w:color w:val="auto"/>
        </w:rPr>
        <w:t>ONE SHELL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1818005" cy="248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18005" cy="248920"/>
                    </a:xfrm>
                    <a:prstGeom prst="rect">
                      <a:avLst/>
                    </a:prstGeom>
                    <a:noFill/>
                  </pic:spPr>
                </pic:pic>
              </a:graphicData>
            </a:graphic>
          </wp:anchor>
        </w:drawing>
      </w:r>
    </w:p>
    <w:p>
      <w:pPr>
        <w:ind w:left="8660"/>
        <w:spacing w:after="0" w:line="228" w:lineRule="auto"/>
        <w:rPr>
          <w:sz w:val="20"/>
          <w:szCs w:val="20"/>
          <w:color w:val="auto"/>
        </w:rPr>
      </w:pPr>
      <w:r>
        <w:rPr>
          <w:rFonts w:ascii="Arial" w:cs="Arial" w:eastAsia="Arial" w:hAnsi="Arial"/>
          <w:sz w:val="13"/>
          <w:szCs w:val="13"/>
          <w:color w:val="auto"/>
        </w:rPr>
        <w:t>910 LOUISIANA</w:t>
      </w:r>
    </w:p>
    <w:p>
      <w:pPr>
        <w:ind w:left="8660"/>
        <w:spacing w:after="0" w:line="235" w:lineRule="auto"/>
        <w:rPr>
          <w:sz w:val="20"/>
          <w:szCs w:val="20"/>
          <w:color w:val="auto"/>
        </w:rPr>
      </w:pPr>
      <w:r>
        <w:rPr>
          <w:rFonts w:ascii="Arial" w:cs="Arial" w:eastAsia="Arial" w:hAnsi="Arial"/>
          <w:sz w:val="12"/>
          <w:szCs w:val="12"/>
          <w:color w:val="auto"/>
        </w:rPr>
        <w:t>HOUSTON, TEXAS</w:t>
      </w:r>
    </w:p>
    <w:p>
      <w:pPr>
        <w:ind w:left="8660"/>
        <w:spacing w:after="0"/>
        <w:rPr>
          <w:sz w:val="20"/>
          <w:szCs w:val="20"/>
          <w:color w:val="auto"/>
        </w:rPr>
      </w:pPr>
      <w:r>
        <w:rPr>
          <w:rFonts w:ascii="Arial" w:cs="Arial" w:eastAsia="Arial" w:hAnsi="Arial"/>
          <w:sz w:val="13"/>
          <w:szCs w:val="13"/>
          <w:color w:val="auto"/>
        </w:rPr>
        <w:t>77002-4995</w:t>
      </w:r>
    </w:p>
    <w:p>
      <w:pPr>
        <w:spacing w:after="0" w:line="111" w:lineRule="exact"/>
        <w:rPr>
          <w:sz w:val="20"/>
          <w:szCs w:val="20"/>
          <w:color w:val="auto"/>
        </w:rPr>
      </w:pPr>
    </w:p>
    <w:p>
      <w:pPr>
        <w:ind w:left="8660"/>
        <w:spacing w:after="0"/>
        <w:rPr>
          <w:sz w:val="20"/>
          <w:szCs w:val="20"/>
          <w:color w:val="auto"/>
        </w:rPr>
      </w:pPr>
      <w:r>
        <w:rPr>
          <w:rFonts w:ascii="Arial" w:cs="Arial" w:eastAsia="Arial" w:hAnsi="Arial"/>
          <w:sz w:val="11"/>
          <w:szCs w:val="11"/>
          <w:color w:val="auto"/>
        </w:rPr>
        <w:t>TEL +1 713.229.1234</w:t>
      </w:r>
    </w:p>
    <w:p>
      <w:pPr>
        <w:spacing w:after="0" w:line="19" w:lineRule="exact"/>
        <w:rPr>
          <w:sz w:val="20"/>
          <w:szCs w:val="20"/>
          <w:color w:val="auto"/>
        </w:rPr>
      </w:pPr>
    </w:p>
    <w:p>
      <w:pPr>
        <w:ind w:left="8660"/>
        <w:spacing w:after="0"/>
        <w:rPr>
          <w:sz w:val="20"/>
          <w:szCs w:val="20"/>
          <w:color w:val="auto"/>
        </w:rPr>
      </w:pPr>
      <w:r>
        <w:rPr>
          <w:rFonts w:ascii="Arial" w:cs="Arial" w:eastAsia="Arial" w:hAnsi="Arial"/>
          <w:sz w:val="11"/>
          <w:szCs w:val="11"/>
          <w:color w:val="auto"/>
        </w:rPr>
        <w:t>FAX +1 713.229.1522</w:t>
      </w:r>
    </w:p>
    <w:p>
      <w:pPr>
        <w:spacing w:after="0" w:line="9" w:lineRule="exact"/>
        <w:rPr>
          <w:sz w:val="20"/>
          <w:szCs w:val="20"/>
          <w:color w:val="auto"/>
        </w:rPr>
      </w:pPr>
    </w:p>
    <w:p>
      <w:pPr>
        <w:ind w:left="8660"/>
        <w:spacing w:after="0"/>
        <w:rPr>
          <w:sz w:val="20"/>
          <w:szCs w:val="20"/>
          <w:color w:val="auto"/>
        </w:rPr>
      </w:pPr>
      <w:r>
        <w:rPr>
          <w:rFonts w:ascii="Arial" w:cs="Arial" w:eastAsia="Arial" w:hAnsi="Arial"/>
          <w:sz w:val="12"/>
          <w:szCs w:val="12"/>
          <w:color w:val="auto"/>
        </w:rPr>
        <w:t>www.bakerbotts.com</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ABU DHABI</w:t>
      </w:r>
    </w:p>
    <w:p>
      <w:pPr>
        <w:spacing w:after="0" w:line="216" w:lineRule="auto"/>
        <w:rPr>
          <w:sz w:val="20"/>
          <w:szCs w:val="20"/>
          <w:color w:val="auto"/>
        </w:rPr>
      </w:pPr>
      <w:r>
        <w:rPr>
          <w:rFonts w:ascii="Arial" w:cs="Arial" w:eastAsia="Arial" w:hAnsi="Arial"/>
          <w:sz w:val="13"/>
          <w:szCs w:val="13"/>
          <w:color w:val="auto"/>
        </w:rPr>
        <w:t>AUSTIN</w:t>
      </w:r>
    </w:p>
    <w:p>
      <w:pPr>
        <w:spacing w:after="0" w:line="217" w:lineRule="auto"/>
        <w:rPr>
          <w:sz w:val="20"/>
          <w:szCs w:val="20"/>
          <w:color w:val="auto"/>
        </w:rPr>
      </w:pPr>
      <w:r>
        <w:rPr>
          <w:rFonts w:ascii="Arial" w:cs="Arial" w:eastAsia="Arial" w:hAnsi="Arial"/>
          <w:sz w:val="13"/>
          <w:szCs w:val="13"/>
          <w:color w:val="auto"/>
        </w:rPr>
        <w:t>BEIJING</w:t>
      </w:r>
    </w:p>
    <w:p>
      <w:pPr>
        <w:spacing w:after="0" w:line="217" w:lineRule="auto"/>
        <w:rPr>
          <w:sz w:val="20"/>
          <w:szCs w:val="20"/>
          <w:color w:val="auto"/>
        </w:rPr>
      </w:pPr>
      <w:r>
        <w:rPr>
          <w:rFonts w:ascii="Arial" w:cs="Arial" w:eastAsia="Arial" w:hAnsi="Arial"/>
          <w:sz w:val="13"/>
          <w:szCs w:val="13"/>
          <w:color w:val="auto"/>
        </w:rPr>
        <w:t>DALLAS</w:t>
      </w:r>
    </w:p>
    <w:p>
      <w:pPr>
        <w:spacing w:after="0" w:line="217" w:lineRule="auto"/>
        <w:rPr>
          <w:sz w:val="20"/>
          <w:szCs w:val="20"/>
          <w:color w:val="auto"/>
        </w:rPr>
      </w:pPr>
      <w:r>
        <w:rPr>
          <w:rFonts w:ascii="Arial" w:cs="Arial" w:eastAsia="Arial" w:hAnsi="Arial"/>
          <w:sz w:val="13"/>
          <w:szCs w:val="13"/>
          <w:color w:val="auto"/>
        </w:rPr>
        <w:t>DUBAI</w:t>
      </w:r>
    </w:p>
    <w:p>
      <w:pPr>
        <w:spacing w:after="0" w:line="217" w:lineRule="auto"/>
        <w:rPr>
          <w:sz w:val="20"/>
          <w:szCs w:val="20"/>
          <w:color w:val="auto"/>
        </w:rPr>
      </w:pPr>
      <w:r>
        <w:rPr>
          <w:rFonts w:ascii="Arial" w:cs="Arial" w:eastAsia="Arial" w:hAnsi="Arial"/>
          <w:sz w:val="13"/>
          <w:szCs w:val="13"/>
          <w:color w:val="auto"/>
        </w:rPr>
        <w:t>HONG KONG</w:t>
      </w:r>
    </w:p>
    <w:p>
      <w:pPr>
        <w:spacing w:after="0" w:line="216" w:lineRule="auto"/>
        <w:rPr>
          <w:sz w:val="20"/>
          <w:szCs w:val="20"/>
          <w:color w:val="auto"/>
        </w:rPr>
      </w:pPr>
      <w:r>
        <w:rPr>
          <w:rFonts w:ascii="Arial" w:cs="Arial" w:eastAsia="Arial" w:hAnsi="Arial"/>
          <w:sz w:val="13"/>
          <w:szCs w:val="13"/>
          <w:color w:val="auto"/>
        </w:rPr>
        <w:t>HOUSTON</w:t>
      </w:r>
    </w:p>
    <w:p>
      <w:pPr>
        <w:spacing w:after="0" w:line="217" w:lineRule="auto"/>
        <w:rPr>
          <w:sz w:val="20"/>
          <w:szCs w:val="20"/>
          <w:color w:val="auto"/>
        </w:rPr>
      </w:pPr>
      <w:r>
        <w:rPr>
          <w:rFonts w:ascii="Arial" w:cs="Arial" w:eastAsia="Arial" w:hAnsi="Arial"/>
          <w:sz w:val="13"/>
          <w:szCs w:val="13"/>
          <w:color w:val="auto"/>
        </w:rPr>
        <w:t>LONDON</w:t>
      </w:r>
    </w:p>
    <w:p>
      <w:pPr>
        <w:spacing w:after="0" w:line="217" w:lineRule="auto"/>
        <w:rPr>
          <w:sz w:val="20"/>
          <w:szCs w:val="20"/>
          <w:color w:val="auto"/>
        </w:rPr>
      </w:pPr>
      <w:r>
        <w:rPr>
          <w:rFonts w:ascii="Arial" w:cs="Arial" w:eastAsia="Arial" w:hAnsi="Arial"/>
          <w:sz w:val="13"/>
          <w:szCs w:val="13"/>
          <w:color w:val="auto"/>
        </w:rPr>
        <w:t>MOSCOW</w:t>
      </w:r>
    </w:p>
    <w:p>
      <w:pPr>
        <w:spacing w:after="0" w:line="217" w:lineRule="auto"/>
        <w:rPr>
          <w:sz w:val="20"/>
          <w:szCs w:val="20"/>
          <w:color w:val="auto"/>
        </w:rPr>
      </w:pPr>
      <w:r>
        <w:rPr>
          <w:rFonts w:ascii="Arial" w:cs="Arial" w:eastAsia="Arial" w:hAnsi="Arial"/>
          <w:sz w:val="13"/>
          <w:szCs w:val="13"/>
          <w:color w:val="auto"/>
        </w:rPr>
        <w:t>NEW YORK</w:t>
      </w:r>
    </w:p>
    <w:p>
      <w:pPr>
        <w:spacing w:after="0" w:line="217" w:lineRule="auto"/>
        <w:rPr>
          <w:sz w:val="20"/>
          <w:szCs w:val="20"/>
          <w:color w:val="auto"/>
        </w:rPr>
      </w:pPr>
      <w:r>
        <w:rPr>
          <w:rFonts w:ascii="Arial" w:cs="Arial" w:eastAsia="Arial" w:hAnsi="Arial"/>
          <w:sz w:val="13"/>
          <w:szCs w:val="13"/>
          <w:color w:val="auto"/>
        </w:rPr>
        <w:t>PALO ALTO</w:t>
      </w:r>
    </w:p>
    <w:p>
      <w:pPr>
        <w:spacing w:after="0" w:line="216" w:lineRule="auto"/>
        <w:rPr>
          <w:sz w:val="20"/>
          <w:szCs w:val="20"/>
          <w:color w:val="auto"/>
        </w:rPr>
      </w:pPr>
      <w:r>
        <w:rPr>
          <w:rFonts w:ascii="Arial" w:cs="Arial" w:eastAsia="Arial" w:hAnsi="Arial"/>
          <w:sz w:val="13"/>
          <w:szCs w:val="13"/>
          <w:color w:val="auto"/>
        </w:rPr>
        <w:t>RIYADH</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WASHINGTON</w:t>
      </w:r>
    </w:p>
    <w:p>
      <w:pPr>
        <w:spacing w:after="0" w:line="95" w:lineRule="exact"/>
        <w:rPr>
          <w:sz w:val="20"/>
          <w:szCs w:val="20"/>
          <w:color w:val="auto"/>
        </w:rPr>
      </w:pPr>
    </w:p>
    <w:p>
      <w:pPr>
        <w:sectPr>
          <w:pgSz w:w="11900" w:h="16838" w:orient="portrait"/>
          <w:cols w:equalWidth="0" w:num="2">
            <w:col w:w="9840" w:space="720"/>
            <w:col w:w="86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February 25,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60" w:firstLine="222"/>
        <w:spacing w:after="0" w:line="291" w:lineRule="auto"/>
        <w:rPr>
          <w:sz w:val="20"/>
          <w:szCs w:val="20"/>
          <w:color w:val="auto"/>
        </w:rPr>
      </w:pPr>
      <w:r>
        <w:rPr>
          <w:rFonts w:ascii="Arial" w:cs="Arial" w:eastAsia="Arial" w:hAnsi="Arial"/>
          <w:sz w:val="16"/>
          <w:szCs w:val="16"/>
          <w:color w:val="auto"/>
        </w:rPr>
        <w:t>Waste Management, Inc., a Delaware corporation (the “Company”), and Waste Management Holdings, Inc., a Delaware corporation (“Holdings”), have engaged us to render the opinions expressed below in connection with the Company’s proposed issuance of $400,000,000 aggregate principal amount of</w:t>
      </w:r>
    </w:p>
    <w:p>
      <w:pPr>
        <w:ind w:right="140"/>
        <w:spacing w:after="0" w:line="254" w:lineRule="auto"/>
        <w:rPr>
          <w:sz w:val="20"/>
          <w:szCs w:val="20"/>
          <w:color w:val="auto"/>
        </w:rPr>
      </w:pPr>
      <w:r>
        <w:rPr>
          <w:rFonts w:ascii="Arial" w:cs="Arial" w:eastAsia="Arial" w:hAnsi="Arial"/>
          <w:sz w:val="18"/>
          <w:szCs w:val="18"/>
          <w:color w:val="auto"/>
        </w:rPr>
        <w:t>4.60% Senior Notes due 2021 (the “Notes”) and the issuance of the related guarantee of the Notes by Holdings (the “Guarantee”), as contemplated by the Registration Statement on Form S-3 (Registration No. 333-162059)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82"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The Registration Statement has been filed with the Commission and became effective upon filing. The Company’s prospectus dated September 22, 2009 and prospectus supplement dated February 23, 2011 relating to the Notes (collectively, the “Prospectus”) have been filed with the Commission pursuant to Rule 424(b) under the Act.</w:t>
      </w:r>
    </w:p>
    <w:p>
      <w:pPr>
        <w:spacing w:after="0" w:line="73"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The Company and Holdings entered into an Underwriting Agreement (the “Underwriting Agreement”), dated February 23, 2011, with Deutsche Bank Securities Inc. and RBS Securities Inc.,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 A., as the current successor to Texas Commerce Bank National Association, as trustee (the “Trustee”).</w:t>
      </w:r>
    </w:p>
    <w:p>
      <w:pPr>
        <w:spacing w:after="0" w:line="80"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In our capacity as counsel to the Company and Holdings in connection with the matters referred to above, we have examined the following: (i) the Third Restated Certificate of Incorporation and the Amended and Restated Bylaws of the Company, each as amended to date; (ii) the Third Restated Certificate of Incorporation and Bylaws of Holdings, each as amended to date; (iii) the Indenture; (iv) the Officers’ Certificate delivered pursuant to Section 301 of the Indenture; (v) the Guarantee to be entered into by Holdings in favor of the holders of the Notes concurrently with the issuance of the Notes under the Indenture (the “Guarantee Agreement”); (vi) the Underwriting Agreement; (vii) the Registration Statement and the Prospectus; and (viii) originals, or copies certified or otherwise identified, of corporate records of the Company and Holdings, 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9" w:name="page70"/>
    <w:bookmarkEnd w:id="69"/>
    <w:p>
      <w:pPr>
        <w:spacing w:after="0"/>
        <w:tabs>
          <w:tab w:leader="none" w:pos="556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23315"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123315" cy="120015"/>
                    </a:xfrm>
                    <a:prstGeom prst="rect">
                      <a:avLst/>
                    </a:prstGeom>
                    <a:noFill/>
                  </pic:spPr>
                </pic:pic>
              </a:graphicData>
            </a:graphic>
          </wp:anchor>
        </w:drawing>
        <w:t>Waste Management, Inc.</w:t>
      </w:r>
      <w:r>
        <w:rPr>
          <w:sz w:val="20"/>
          <w:szCs w:val="20"/>
          <w:color w:val="auto"/>
        </w:rPr>
        <w:tab/>
      </w:r>
      <w:r>
        <w:rPr>
          <w:rFonts w:ascii="Arial" w:cs="Arial" w:eastAsia="Arial" w:hAnsi="Arial"/>
          <w:sz w:val="18"/>
          <w:szCs w:val="18"/>
          <w:color w:val="auto"/>
        </w:rPr>
        <w:t>- 2 -</w:t>
      </w:r>
      <w:r>
        <w:rPr>
          <w:sz w:val="20"/>
          <w:szCs w:val="20"/>
          <w:color w:val="auto"/>
        </w:rPr>
        <w:tab/>
      </w:r>
      <w:r>
        <w:rPr>
          <w:rFonts w:ascii="Arial" w:cs="Arial" w:eastAsia="Arial" w:hAnsi="Arial"/>
          <w:sz w:val="16"/>
          <w:szCs w:val="16"/>
          <w:color w:val="auto"/>
        </w:rPr>
        <w:t>February 25, 2011</w:t>
      </w:r>
    </w:p>
    <w:p>
      <w:pPr>
        <w:spacing w:after="0" w:line="333"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62"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On the basis of the foregoing, and subject to the assumptions, limitations and qualifications set forth herein, we are of the opinion that (i) 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enforcement is considered in a proceeding in equity or at law), which principles may include implied duties of good faith and fair dealing; and (ii) the Guarantee will, when Holdings has duly authorized, executed and delivered the Guarantee Agreement and the Notes have been duly authorized, executed, authenticated, issued and delivered in accordance with the provisions of the Indenture and duly purchased and paid for in accordance with the terms of the Underwriting Agreement, constitute a legal, valid and binding obligation of Holdings, enforceable against it in accordance with its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67"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pacing w:after="0" w:line="62"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 category of persons whose consent is required under Section 7 of the Act and the rules and regulations of the Commission thereunder.</w:t>
      </w:r>
    </w:p>
    <w:p>
      <w:pPr>
        <w:spacing w:after="0" w:line="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Baker Botts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KBR/JAR/JAA/SEB</w:t>
      </w:r>
    </w:p>
    <w:sectPr>
      <w:pgSz w:w="11900" w:h="16838" w:orient="portrait"/>
      <w:cols w:equalWidth="0" w:num="1">
        <w:col w:w="11420"/>
      </w:cols>
      <w:pgMar w:left="240" w:top="1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o"/>
      <w:numFmt w:val="bullet"/>
      <w:start w:val="1"/>
    </w:lvl>
  </w:abstractNum>
  <w:abstractNum w:abstractNumId="1">
    <w:nsid w:val="419AC241"/>
    <w:multiLevelType w:val="hybridMultilevel"/>
    <w:lvl w:ilvl="0">
      <w:lvlJc w:val="left"/>
      <w:lvlText w:val="%1."/>
      <w:numFmt w:val="decimal"/>
      <w:start w:val="1"/>
    </w:lvl>
    <w:lvl w:ilvl="1">
      <w:lvlJc w:val="left"/>
      <w:lvlText w:val="%2)"/>
      <w:numFmt w:val="decimal"/>
    </w:lvl>
    <w:lvl w:ilvl="2">
      <w:lvlJc w:val="left"/>
      <w:lvlText w:val="(%3)"/>
      <w:numFmt w:val="lowerLetter"/>
      <w:start w:val="1"/>
    </w:lvl>
  </w:abstractNum>
  <w:abstractNum w:abstractNumId="2">
    <w:nsid w:val="5577F8E1"/>
    <w:multiLevelType w:val="hybridMultilevel"/>
    <w:lvl w:ilvl="0">
      <w:lvlJc w:val="left"/>
      <w:lvlText w:val="(%1)"/>
      <w:numFmt w:val="lowerLetter"/>
      <w:start w:val="3"/>
    </w:lvl>
  </w:abstractNum>
  <w:abstractNum w:abstractNumId="3">
    <w:nsid w:val="440BADFC"/>
    <w:multiLevelType w:val="hybridMultilevel"/>
    <w:lvl w:ilvl="0">
      <w:lvlJc w:val="left"/>
      <w:lvlText w:val="(%1)"/>
      <w:numFmt w:val="lowerLetter"/>
      <w:start w:val="6"/>
    </w:lvl>
  </w:abstractNum>
  <w:abstractNum w:abstractNumId="4">
    <w:nsid w:val="5072367"/>
    <w:multiLevelType w:val="hybridMultilevel"/>
    <w:lvl w:ilvl="0">
      <w:lvlJc w:val="left"/>
      <w:lvlText w:val="(%1)"/>
      <w:numFmt w:val="lowerLetter"/>
      <w:start w:val="10"/>
    </w:lvl>
  </w:abstractNum>
  <w:abstractNum w:abstractNumId="5">
    <w:nsid w:val="3804823E"/>
    <w:multiLevelType w:val="hybridMultilevel"/>
    <w:lvl w:ilvl="0">
      <w:lvlJc w:val="left"/>
      <w:lvlText w:val="(%1)"/>
      <w:numFmt w:val="lowerLetter"/>
      <w:start w:val="15"/>
    </w:lvl>
  </w:abstractNum>
  <w:abstractNum w:abstractNumId="6">
    <w:nsid w:val="77465F01"/>
    <w:multiLevelType w:val="hybridMultilevel"/>
    <w:lvl w:ilvl="0">
      <w:lvlJc w:val="left"/>
      <w:lvlText w:val="(%1)"/>
      <w:numFmt w:val="lowerLetter"/>
      <w:start w:val="18"/>
    </w:lvl>
  </w:abstractNum>
  <w:abstractNum w:abstractNumId="7">
    <w:nsid w:val="7724C67E"/>
    <w:multiLevelType w:val="hybridMultilevel"/>
    <w:lvl w:ilvl="0">
      <w:lvlJc w:val="left"/>
      <w:lvlText w:val="(%1)"/>
      <w:numFmt w:val="lowerLetter"/>
      <w:start w:val="23"/>
    </w:lvl>
  </w:abstractNum>
  <w:abstractNum w:abstractNumId="8">
    <w:nsid w:val="5C482A97"/>
    <w:multiLevelType w:val="hybridMultilevel"/>
    <w:lvl w:ilvl="0">
      <w:lvlJc w:val="left"/>
      <w:lvlText w:val="(%1)"/>
      <w:numFmt w:val="lowerLetter"/>
      <w:start w:val="27"/>
    </w:lvl>
  </w:abstractNum>
  <w:abstractNum w:abstractNumId="9">
    <w:nsid w:val="2463B9EA"/>
    <w:multiLevelType w:val="hybridMultilevel"/>
    <w:lvl w:ilvl="0">
      <w:lvlJc w:val="left"/>
      <w:lvlText w:val="%1"/>
      <w:numFmt w:val="lowerLetter"/>
      <w:start w:val="1"/>
    </w:lvl>
    <w:lvl w:ilvl="1">
      <w:lvlJc w:val="left"/>
      <w:lvlText w:val="(%2)"/>
      <w:numFmt w:val="lowerLetter"/>
      <w:start w:val="28"/>
    </w:lvl>
  </w:abstractNum>
  <w:abstractNum w:abstractNumId="10">
    <w:nsid w:val="5E884ADC"/>
    <w:multiLevelType w:val="hybridMultilevel"/>
    <w:lvl w:ilvl="0">
      <w:lvlJc w:val="left"/>
      <w:lvlText w:val="(%1)"/>
      <w:numFmt w:val="lowerLetter"/>
      <w:start w:val="9"/>
    </w:lvl>
    <w:lvl w:ilvl="1">
      <w:lvlJc w:val="left"/>
      <w:lvlText w:val="%2"/>
      <w:numFmt w:val="lowerLetter"/>
      <w:start w:val="1"/>
    </w:lvl>
  </w:abstractNum>
  <w:abstractNum w:abstractNumId="11">
    <w:nsid w:val="51EAD36B"/>
    <w:multiLevelType w:val="hybridMultilevel"/>
    <w:lvl w:ilvl="0">
      <w:lvlJc w:val="left"/>
      <w:lvlText w:val="(%1)"/>
      <w:numFmt w:val="lowerLetter"/>
      <w:start w:val="61"/>
    </w:lvl>
    <w:lvl w:ilvl="1">
      <w:lvlJc w:val="left"/>
      <w:lvlText w:val="(%2)"/>
      <w:numFmt w:val="lowerLetter"/>
      <w:start w:val="31"/>
    </w:lvl>
  </w:abstractNum>
  <w:abstractNum w:abstractNumId="12">
    <w:nsid w:val="2D517796"/>
    <w:multiLevelType w:val="hybridMultilevel"/>
    <w:lvl w:ilvl="0">
      <w:lvlJc w:val="left"/>
      <w:lvlText w:val="(%1)"/>
      <w:numFmt w:val="lowerLetter"/>
      <w:start w:val="35"/>
    </w:lvl>
    <w:lvl w:ilvl="1">
      <w:lvlJc w:val="left"/>
      <w:lvlText w:val="(%2)"/>
      <w:numFmt w:val="lowerLetter"/>
      <w:start w:val="33"/>
    </w:lvl>
  </w:abstractNum>
  <w:abstractNum w:abstractNumId="13">
    <w:nsid w:val="580BD78F"/>
    <w:multiLevelType w:val="hybridMultilevel"/>
    <w:lvl w:ilvl="0">
      <w:lvlJc w:val="left"/>
      <w:lvlText w:val="(%1)"/>
      <w:numFmt w:val="lowerLetter"/>
      <w:start w:val="36"/>
    </w:lvl>
  </w:abstractNum>
  <w:abstractNum w:abstractNumId="14">
    <w:nsid w:val="153EA438"/>
    <w:multiLevelType w:val="hybridMultilevel"/>
    <w:lvl w:ilvl="0">
      <w:lvlJc w:val="left"/>
      <w:lvlText w:val="(%1)"/>
      <w:numFmt w:val="lowerLetter"/>
      <w:start w:val="41"/>
    </w:lvl>
  </w:abstractNum>
  <w:abstractNum w:abstractNumId="15">
    <w:nsid w:val="3855585C"/>
    <w:multiLevelType w:val="hybridMultilevel"/>
    <w:lvl w:ilvl="0">
      <w:lvlJc w:val="left"/>
      <w:lvlText w:val="%1."/>
      <w:numFmt w:val="decimal"/>
      <w:start w:val="2"/>
    </w:lvl>
  </w:abstractNum>
  <w:abstractNum w:abstractNumId="16">
    <w:nsid w:val="70A64E2A"/>
    <w:multiLevelType w:val="hybridMultilevel"/>
    <w:lvl w:ilvl="0">
      <w:lvlJc w:val="left"/>
      <w:lvlText w:val="%1."/>
      <w:numFmt w:val="decimal"/>
      <w:start w:val="3"/>
    </w:lvl>
    <w:lvl w:ilvl="1">
      <w:lvlJc w:val="left"/>
      <w:lvlText w:val="(%2)"/>
      <w:numFmt w:val="lowerLetter"/>
      <w:start w:val="1"/>
    </w:lvl>
  </w:abstractNum>
  <w:abstractNum w:abstractNumId="17">
    <w:nsid w:val="6A2342EC"/>
    <w:multiLevelType w:val="hybridMultilevel"/>
    <w:lvl w:ilvl="0">
      <w:lvlJc w:val="left"/>
      <w:lvlText w:val="(%1)"/>
      <w:numFmt w:val="lowerLetter"/>
      <w:start w:val="2"/>
    </w:lvl>
  </w:abstractNum>
  <w:abstractNum w:abstractNumId="18">
    <w:nsid w:val="2A487CB0"/>
    <w:multiLevelType w:val="hybridMultilevel"/>
    <w:lvl w:ilvl="0">
      <w:lvlJc w:val="left"/>
      <w:lvlText w:val="(%1)"/>
      <w:numFmt w:val="lowerLetter"/>
      <w:start w:val="35"/>
    </w:lvl>
    <w:lvl w:ilvl="1">
      <w:lvlJc w:val="left"/>
      <w:lvlText w:val="(%2)"/>
      <w:numFmt w:val="lowerLetter"/>
      <w:start w:val="5"/>
    </w:lvl>
  </w:abstractNum>
  <w:abstractNum w:abstractNumId="19">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
    <w:nsid w:val="725A06FB"/>
    <w:multiLevelType w:val="hybridMultilevel"/>
    <w:lvl w:ilvl="0">
      <w:lvlJc w:val="left"/>
      <w:lvlText w:val="%1."/>
      <w:numFmt w:val="decimal"/>
      <w:start w:val="6"/>
    </w:lvl>
    <w:lvl w:ilvl="1">
      <w:lvlJc w:val="left"/>
      <w:lvlText w:val="(%2)"/>
      <w:numFmt w:val="lowerLetter"/>
      <w:start w:val="8"/>
    </w:lvl>
    <w:lvl w:ilvl="2">
      <w:lvlJc w:val="left"/>
      <w:lvlText w:val="(%3)"/>
      <w:numFmt w:val="lowerLetter"/>
      <w:start w:val="1"/>
    </w:lvl>
  </w:abstractNum>
  <w:abstractNum w:abstractNumId="21">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2">
    <w:nsid w:val="57E4CCAF"/>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3">
    <w:nsid w:val="7A6D8D3C"/>
    <w:multiLevelType w:val="hybridMultilevel"/>
    <w:lvl w:ilvl="0">
      <w:lvlJc w:val="left"/>
      <w:lvlText w:val="(%1)"/>
      <w:numFmt w:val="lowerLetter"/>
      <w:start w:val="1"/>
    </w:lvl>
    <w:lvl w:ilvl="1">
      <w:lvlJc w:val="left"/>
      <w:lvlText w:val="(%2)"/>
      <w:numFmt w:val="lowerRoman"/>
      <w:start w:val="1"/>
    </w:lvl>
  </w:abstractNum>
  <w:abstractNum w:abstractNumId="24">
    <w:nsid w:val="4B588F54"/>
    <w:multiLevelType w:val="hybridMultilevel"/>
    <w:lvl w:ilvl="0">
      <w:lvlJc w:val="left"/>
      <w:lvlText w:val="(%1)"/>
      <w:numFmt w:val="lowerRoman"/>
      <w:start w:val="5"/>
    </w:lvl>
  </w:abstractNum>
  <w:abstractNum w:abstractNumId="25">
    <w:nsid w:val="542289EC"/>
    <w:multiLevelType w:val="hybridMultilevel"/>
    <w:lvl w:ilvl="0">
      <w:lvlJc w:val="left"/>
      <w:lvlText w:val="(%1)"/>
      <w:numFmt w:val="lowerRoman"/>
      <w:start w:val="11"/>
    </w:lvl>
  </w:abstractNum>
  <w:abstractNum w:abstractNumId="26">
    <w:nsid w:val="6DE91B18"/>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27">
    <w:nsid w:val="38437FDB"/>
    <w:multiLevelType w:val="hybridMultilevel"/>
    <w:lvl w:ilvl="0">
      <w:lvlJc w:val="left"/>
      <w:lvlText w:val="(%1)"/>
      <w:numFmt w:val="lowerRoman"/>
      <w:start w:val="4"/>
    </w:lvl>
  </w:abstractNum>
  <w:abstractNum w:abstractNumId="28">
    <w:nsid w:val="7644A45C"/>
    <w:multiLevelType w:val="hybridMultilevel"/>
    <w:lvl w:ilvl="0">
      <w:lvlJc w:val="left"/>
      <w:lvlText w:val="(%1)"/>
      <w:numFmt w:val="lowerLetter"/>
      <w:start w:val="4"/>
    </w:lvl>
  </w:abstractNum>
  <w:abstractNum w:abstractNumId="29">
    <w:nsid w:val="32FFF902"/>
    <w:multiLevelType w:val="hybridMultilevel"/>
    <w:lvl w:ilvl="0">
      <w:lvlJc w:val="left"/>
      <w:lvlText w:val="%1"/>
      <w:numFmt w:val="lowerLetter"/>
      <w:start w:val="1"/>
    </w:lvl>
    <w:lvl w:ilvl="1">
      <w:lvlJc w:val="left"/>
      <w:lvlText w:val="(%2)"/>
      <w:numFmt w:val="lowerRoman"/>
      <w:start w:val="1"/>
    </w:lvl>
  </w:abstractNum>
  <w:abstractNum w:abstractNumId="30">
    <w:nsid w:val="684A481A"/>
    <w:multiLevelType w:val="hybridMultilevel"/>
    <w:lvl w:ilvl="0">
      <w:lvlJc w:val="left"/>
      <w:lvlText w:val="(%1)"/>
      <w:numFmt w:val="lowerLetter"/>
      <w:start w:val="6"/>
    </w:lvl>
    <w:lvl w:ilvl="1">
      <w:lvlJc w:val="left"/>
      <w:lvlText w:val="(%2)"/>
      <w:numFmt w:val="lowerRoman"/>
      <w:start w:val="1"/>
    </w:lvl>
  </w:abstractNum>
  <w:abstractNum w:abstractNumId="31">
    <w:nsid w:val="579478FE"/>
    <w:multiLevelType w:val="hybridMultilevel"/>
    <w:lvl w:ilvl="0">
      <w:lvlJc w:val="left"/>
      <w:lvlText w:val="(%1)"/>
      <w:numFmt w:val="lowerRoman"/>
      <w:start w:val="3"/>
    </w:lvl>
  </w:abstractNum>
  <w:abstractNum w:abstractNumId="32">
    <w:nsid w:val="749ABB43"/>
    <w:multiLevelType w:val="hybridMultilevel"/>
    <w:lvl w:ilvl="0">
      <w:lvlJc w:val="left"/>
      <w:lvlText w:val="(%1)"/>
      <w:numFmt w:val="lowerLetter"/>
      <w:start w:val="7"/>
    </w:lvl>
  </w:abstractNum>
  <w:abstractNum w:abstractNumId="33">
    <w:nsid w:val="3DC240FB"/>
    <w:multiLevelType w:val="hybridMultilevel"/>
    <w:lvl w:ilvl="0">
      <w:lvlJc w:val="left"/>
      <w:lvlText w:val="%1."/>
      <w:numFmt w:val="decimal"/>
      <w:start w:val="8"/>
    </w:lvl>
  </w:abstractNum>
  <w:abstractNum w:abstractNumId="34">
    <w:nsid w:val="1BA026FA"/>
    <w:multiLevelType w:val="hybridMultilevel"/>
    <w:lvl w:ilvl="0">
      <w:lvlJc w:val="left"/>
      <w:lvlText w:val="%1"/>
      <w:numFmt w:val="lowerLetter"/>
      <w:start w:val="1"/>
    </w:lvl>
    <w:lvl w:ilvl="1">
      <w:lvlJc w:val="left"/>
      <w:lvlText w:val="(%2)"/>
      <w:numFmt w:val="lowerLetter"/>
      <w:start w:val="2"/>
    </w:lvl>
  </w:abstractNum>
  <w:abstractNum w:abstractNumId="35">
    <w:nsid w:val="79A1DEAA"/>
    <w:multiLevelType w:val="hybridMultilevel"/>
    <w:lvl w:ilvl="0">
      <w:lvlJc w:val="left"/>
      <w:lvlText w:val="(%1)"/>
      <w:numFmt w:val="lowerLetter"/>
      <w:start w:val="2"/>
    </w:lvl>
    <w:lvl w:ilvl="1">
      <w:lvlJc w:val="left"/>
      <w:lvlText w:val="%2"/>
      <w:numFmt w:val="lowerLetter"/>
      <w:start w:val="1"/>
    </w:lvl>
  </w:abstractNum>
  <w:abstractNum w:abstractNumId="36">
    <w:nsid w:val="75C6C33A"/>
    <w:multiLevelType w:val="hybridMultilevel"/>
    <w:lvl w:ilvl="0">
      <w:lvlJc w:val="left"/>
      <w:lvlText w:val="(%1)"/>
      <w:numFmt w:val="lowerLetter"/>
      <w:start w:val="4"/>
    </w:lvl>
  </w:abstractNum>
  <w:abstractNum w:abstractNumId="37">
    <w:nsid w:val="12E685FB"/>
    <w:multiLevelType w:val="hybridMultilevel"/>
    <w:lvl w:ilvl="0">
      <w:lvlJc w:val="left"/>
      <w:lvlText w:val="%1."/>
      <w:numFmt w:val="decimal"/>
      <w:start w:val="10"/>
    </w:lvl>
  </w:abstractNum>
  <w:abstractNum w:abstractNumId="38">
    <w:nsid w:val="70C6A529"/>
    <w:multiLevelType w:val="hybridMultilevel"/>
    <w:lvl w:ilvl="0">
      <w:lvlJc w:val="left"/>
      <w:lvlText w:val="%1."/>
      <w:numFmt w:val="decimal"/>
      <w:start w:val="13"/>
    </w:lvl>
  </w:abstractNum>
  <w:abstractNum w:abstractNumId="39">
    <w:nsid w:val="520EEDD1"/>
    <w:multiLevelType w:val="hybridMultilevel"/>
    <w:lvl w:ilvl="0">
      <w:lvlJc w:val="left"/>
      <w:lvlText w:val="%1."/>
      <w:numFmt w:val="decimal"/>
      <w:start w:val="19"/>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8"/>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2"/>
    </w:lvl>
  </w:abstractNum>
  <w:abstractNum w:abstractNumId="45">
    <w:nsid w:val="39386575"/>
    <w:multiLevelType w:val="hybridMultilevel"/>
    <w:lvl w:ilvl="0">
      <w:lvlJc w:val="left"/>
      <w:lvlText w:val="%1."/>
      <w:numFmt w:val="decimal"/>
      <w:start w:val="3"/>
    </w:lvl>
  </w:abstractNum>
  <w:abstractNum w:abstractNumId="46">
    <w:nsid w:val="1CF10FD8"/>
    <w:multiLevelType w:val="hybridMultilevel"/>
    <w:lvl w:ilvl="0">
      <w:lvlJc w:val="left"/>
      <w:lvlText w:val="%1."/>
      <w:numFmt w:val="decimal"/>
      <w:start w:val="4"/>
    </w:lvl>
  </w:abstractNum>
  <w:abstractNum w:abstractNumId="47">
    <w:nsid w:val="180115BE"/>
    <w:multiLevelType w:val="hybridMultilevel"/>
    <w:lvl w:ilvl="0">
      <w:lvlJc w:val="left"/>
      <w:lvlText w:val="%1."/>
      <w:numFmt w:val="decimal"/>
      <w:start w:val="5"/>
    </w:lvl>
  </w:abstractNum>
  <w:abstractNum w:abstractNumId="48">
    <w:nsid w:val="235BA861"/>
    <w:multiLevelType w:val="hybridMultilevel"/>
    <w:lvl w:ilvl="0">
      <w:lvlJc w:val="left"/>
      <w:lvlText w:val="%1."/>
      <w:numFmt w:val="decimal"/>
      <w:start w:val="6"/>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1)"/>
      <w:numFmt w:val="upperLetter"/>
      <w:start w:val="2"/>
    </w:lvl>
  </w:abstractNum>
  <w:abstractNum w:abstractNumId="52">
    <w:nsid w:val="741226BB"/>
    <w:multiLevelType w:val="hybridMultilevel"/>
    <w:lvl w:ilvl="0">
      <w:lvlJc w:val="left"/>
      <w:lvlText w:val="%1."/>
      <w:numFmt w:val="decimal"/>
      <w:start w:val="7"/>
    </w:lvl>
  </w:abstractNum>
  <w:abstractNum w:abstractNumId="53">
    <w:nsid w:val="D34B6A8"/>
    <w:multiLevelType w:val="hybridMultilevel"/>
    <w:lvl w:ilvl="0">
      <w:lvlJc w:val="left"/>
      <w:lvlText w:val="%1."/>
      <w:numFmt w:val="decimal"/>
      <w:start w:val="8"/>
    </w:lvl>
  </w:abstractNum>
  <w:abstractNum w:abstractNumId="54">
    <w:nsid w:val="10233C99"/>
    <w:multiLevelType w:val="hybridMultilevel"/>
    <w:lvl w:ilvl="0">
      <w:lvlJc w:val="left"/>
      <w:lvlText w:val="%1."/>
      <w:numFmt w:val="decimal"/>
      <w:start w:val="9"/>
    </w:lvl>
  </w:abstractNum>
  <w:abstractNum w:abstractNumId="55">
    <w:nsid w:val="3F6AB60F"/>
    <w:multiLevelType w:val="hybridMultilevel"/>
    <w:lvl w:ilvl="0">
      <w:lvlJc w:val="left"/>
      <w:lvlText w:val="%1."/>
      <w:numFmt w:val="decimal"/>
      <w:start w:val="10"/>
    </w:lvl>
  </w:abstractNum>
  <w:abstractNum w:abstractNumId="56">
    <w:nsid w:val="61574095"/>
    <w:multiLevelType w:val="hybridMultilevel"/>
    <w:lvl w:ilvl="0">
      <w:lvlJc w:val="left"/>
      <w:lvlText w:val="%1."/>
      <w:numFmt w:val="decimal"/>
      <w:start w:val="11"/>
    </w:lvl>
  </w:abstractNum>
  <w:abstractNum w:abstractNumId="57">
    <w:nsid w:val="7E0C57B1"/>
    <w:multiLevelType w:val="hybridMultilevel"/>
    <w:lvl w:ilvl="0">
      <w:lvlJc w:val="left"/>
      <w:lvlText w:val="%1."/>
      <w:numFmt w:val="decimal"/>
      <w:start w:val="12"/>
    </w:lvl>
  </w:abstractNum>
  <w:abstractNum w:abstractNumId="58">
    <w:nsid w:val="77AE35EB"/>
    <w:multiLevelType w:val="hybridMultilevel"/>
    <w:lvl w:ilvl="0">
      <w:lvlJc w:val="left"/>
      <w:lvlText w:val="%1."/>
      <w:numFmt w:val="decimal"/>
      <w:start w:val="13"/>
    </w:lvl>
  </w:abstractNum>
  <w:abstractNum w:abstractNumId="59">
    <w:nsid w:val="579BE4F1"/>
    <w:multiLevelType w:val="hybridMultilevel"/>
    <w:lvl w:ilvl="0">
      <w:lvlJc w:val="left"/>
      <w:lvlText w:val="%1."/>
      <w:numFmt w:val="decimal"/>
      <w:start w:val="14"/>
    </w:lvl>
  </w:abstractNum>
  <w:abstractNum w:abstractNumId="60">
    <w:nsid w:val="310C50B3"/>
    <w:multiLevelType w:val="hybridMultilevel"/>
    <w:lvl w:ilvl="0">
      <w:lvlJc w:val="left"/>
      <w:lvlText w:val="%1."/>
      <w:numFmt w:val="decimal"/>
      <w:start w:val="15"/>
    </w:lvl>
  </w:abstractNum>
  <w:abstractNum w:abstractNumId="61">
    <w:nsid w:val="5FF87E05"/>
    <w:multiLevelType w:val="hybridMultilevel"/>
    <w:lvl w:ilvl="0">
      <w:lvlJc w:val="left"/>
      <w:lvlText w:val="%1."/>
      <w:numFmt w:val="decimal"/>
      <w:start w:val="16"/>
    </w:lvl>
  </w:abstractNum>
  <w:abstractNum w:abstractNumId="62">
    <w:nsid w:val="2F305DEF"/>
    <w:multiLevelType w:val="hybridMultilevel"/>
    <w:lvl w:ilvl="0">
      <w:lvlJc w:val="left"/>
      <w:lvlText w:val="%1."/>
      <w:numFmt w:val="decimal"/>
      <w:start w:val="17"/>
    </w:lvl>
  </w:abstractNum>
  <w:abstractNum w:abstractNumId="63">
    <w:nsid w:val="25A70BF7"/>
    <w:multiLevelType w:val="hybridMultilevel"/>
    <w:lvl w:ilvl="0">
      <w:lvlJc w:val="left"/>
      <w:lvlText w:val="%1."/>
      <w:numFmt w:val="decimal"/>
      <w:start w:val="18"/>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lowerRoman"/>
      <w:start w:val="1"/>
    </w:lvl>
  </w:abstractNum>
  <w:abstractNum w:abstractNumId="66">
    <w:nsid w:val="1F48EA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2019-12-10T08:46:51Z</dcterms:created>
  <dcterms:modified xsi:type="dcterms:W3CDTF">2019-12-10T08:46:51Z</dcterms:modified>
</cp:coreProperties>
</file>