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333-184157</w:t>
      </w:r>
    </w:p>
    <w:p>
      <w:pPr>
        <w:spacing w:after="0" w:line="130" w:lineRule="exact"/>
        <w:rPr>
          <w:sz w:val="24"/>
          <w:szCs w:val="24"/>
          <w:color w:val="auto"/>
        </w:rPr>
      </w:pPr>
    </w:p>
    <w:p>
      <w:pPr>
        <w:ind w:right="20"/>
        <w:spacing w:after="0"/>
        <w:rPr>
          <w:sz w:val="20"/>
          <w:szCs w:val="20"/>
          <w:color w:val="auto"/>
        </w:rPr>
      </w:pPr>
      <w:r>
        <w:rPr>
          <w:rFonts w:ascii="Arial" w:cs="Arial" w:eastAsia="Arial" w:hAnsi="Arial"/>
          <w:sz w:val="18"/>
          <w:szCs w:val="18"/>
          <w:color w:val="CC062A"/>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CC062A"/>
        </w:rPr>
        <w:t>SUBJECT TO COMPLETION, DATED FEBRUARY 18, 2015</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28, 2012)</w:t>
      </w:r>
    </w:p>
    <w:p>
      <w:pPr>
        <w:spacing w:after="0" w:line="208" w:lineRule="exact"/>
        <w:rPr>
          <w:sz w:val="24"/>
          <w:szCs w:val="24"/>
          <w:color w:val="auto"/>
        </w:rPr>
      </w:pPr>
    </w:p>
    <w:p>
      <w:pPr>
        <w:ind w:left="5160"/>
        <w:spacing w:after="0"/>
        <w:rPr>
          <w:sz w:val="20"/>
          <w:szCs w:val="20"/>
          <w:color w:val="auto"/>
        </w:rPr>
      </w:pPr>
      <w:r>
        <w:rPr>
          <w:rFonts w:ascii="Arial" w:cs="Arial" w:eastAsia="Arial" w:hAnsi="Arial"/>
          <w:sz w:val="29"/>
          <w:szCs w:val="2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159385</wp:posOffset>
            </wp:positionV>
            <wp:extent cx="14147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680" w:hanging="1208"/>
        <w:spacing w:after="0"/>
        <w:tabs>
          <w:tab w:leader="none" w:pos="4680" w:val="left"/>
        </w:tabs>
        <w:numPr>
          <w:ilvl w:val="0"/>
          <w:numId w:val="1"/>
        </w:numPr>
        <w:rPr>
          <w:rFonts w:ascii="Arial" w:cs="Arial" w:eastAsia="Arial" w:hAnsi="Arial"/>
          <w:sz w:val="29"/>
          <w:szCs w:val="29"/>
          <w:color w:val="auto"/>
        </w:rPr>
      </w:pPr>
      <w:r>
        <w:rPr>
          <w:rFonts w:ascii="Arial" w:cs="Arial" w:eastAsia="Arial" w:hAnsi="Arial"/>
          <w:sz w:val="29"/>
          <w:szCs w:val="29"/>
          <w:color w:val="auto"/>
        </w:rPr>
        <w:t>% Senior Notes due 2025</w:t>
      </w:r>
    </w:p>
    <w:p>
      <w:pPr>
        <w:spacing w:after="0" w:line="220" w:lineRule="exact"/>
        <w:rPr>
          <w:rFonts w:ascii="Arial" w:cs="Arial" w:eastAsia="Arial" w:hAnsi="Arial"/>
          <w:sz w:val="29"/>
          <w:szCs w:val="29"/>
          <w:color w:val="auto"/>
        </w:rPr>
      </w:pPr>
    </w:p>
    <w:p>
      <w:pPr>
        <w:ind w:left="4680" w:hanging="1208"/>
        <w:spacing w:after="0"/>
        <w:tabs>
          <w:tab w:leader="none" w:pos="4680" w:val="left"/>
        </w:tabs>
        <w:numPr>
          <w:ilvl w:val="0"/>
          <w:numId w:val="1"/>
        </w:numPr>
        <w:rPr>
          <w:rFonts w:ascii="Arial" w:cs="Arial" w:eastAsia="Arial" w:hAnsi="Arial"/>
          <w:sz w:val="29"/>
          <w:szCs w:val="29"/>
          <w:color w:val="auto"/>
        </w:rPr>
      </w:pPr>
      <w:r>
        <w:rPr>
          <w:rFonts w:ascii="Arial" w:cs="Arial" w:eastAsia="Arial" w:hAnsi="Arial"/>
          <w:sz w:val="29"/>
          <w:szCs w:val="29"/>
          <w:color w:val="auto"/>
        </w:rPr>
        <w:t>% Senior Notes due 2035</w:t>
      </w:r>
    </w:p>
    <w:p>
      <w:pPr>
        <w:spacing w:after="0" w:line="220" w:lineRule="exact"/>
        <w:rPr>
          <w:rFonts w:ascii="Arial" w:cs="Arial" w:eastAsia="Arial" w:hAnsi="Arial"/>
          <w:sz w:val="29"/>
          <w:szCs w:val="29"/>
          <w:color w:val="auto"/>
        </w:rPr>
      </w:pPr>
    </w:p>
    <w:p>
      <w:pPr>
        <w:ind w:left="4680" w:hanging="1208"/>
        <w:spacing w:after="0"/>
        <w:tabs>
          <w:tab w:leader="none" w:pos="4680" w:val="left"/>
        </w:tabs>
        <w:numPr>
          <w:ilvl w:val="0"/>
          <w:numId w:val="1"/>
        </w:numPr>
        <w:rPr>
          <w:rFonts w:ascii="Arial" w:cs="Arial" w:eastAsia="Arial" w:hAnsi="Arial"/>
          <w:sz w:val="29"/>
          <w:szCs w:val="29"/>
          <w:color w:val="auto"/>
        </w:rPr>
      </w:pPr>
      <w:r>
        <w:rPr>
          <w:rFonts w:ascii="Arial" w:cs="Arial" w:eastAsia="Arial" w:hAnsi="Arial"/>
          <w:sz w:val="29"/>
          <w:szCs w:val="29"/>
          <w:color w:val="auto"/>
        </w:rPr>
        <w:t>% Senior Notes due 2045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227965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460"/>
        <w:spacing w:after="0"/>
        <w:tabs>
          <w:tab w:leader="none" w:pos="2420" w:val="left"/>
          <w:tab w:leader="none" w:pos="3080" w:val="left"/>
          <w:tab w:leader="none" w:pos="5880" w:val="left"/>
          <w:tab w:leader="none" w:pos="6540" w:val="left"/>
          <w:tab w:leader="none" w:pos="9620" w:val="left"/>
          <w:tab w:leader="none" w:pos="1028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of our</w:t>
        <w:tab/>
        <w:t>% senior notes due 2025, $</w:t>
      </w:r>
      <w:r>
        <w:rPr>
          <w:sz w:val="20"/>
          <w:szCs w:val="20"/>
          <w:color w:val="auto"/>
        </w:rPr>
        <w:tab/>
      </w:r>
      <w:r>
        <w:rPr>
          <w:rFonts w:ascii="Arial" w:cs="Arial" w:eastAsia="Arial" w:hAnsi="Arial"/>
          <w:sz w:val="18"/>
          <w:szCs w:val="18"/>
          <w:color w:val="auto"/>
        </w:rPr>
        <w:t>of our</w:t>
        <w:tab/>
        <w:t>% senior notes due 2035 and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7"/>
          <w:szCs w:val="17"/>
          <w:color w:val="auto"/>
        </w:rPr>
        <w:t>% senior</w:t>
      </w:r>
    </w:p>
    <w:p>
      <w:pPr>
        <w:spacing w:after="0"/>
        <w:tabs>
          <w:tab w:leader="none" w:pos="6500" w:val="left"/>
          <w:tab w:leader="none" w:pos="9420" w:val="left"/>
          <w:tab w:leader="none" w:pos="10320" w:val="left"/>
        </w:tabs>
        <w:rPr>
          <w:sz w:val="20"/>
          <w:szCs w:val="20"/>
          <w:color w:val="auto"/>
        </w:rPr>
      </w:pPr>
      <w:r>
        <w:rPr>
          <w:rFonts w:ascii="Arial" w:cs="Arial" w:eastAsia="Arial" w:hAnsi="Arial"/>
          <w:sz w:val="18"/>
          <w:szCs w:val="18"/>
          <w:color w:val="auto"/>
        </w:rPr>
        <w:t>notes due 2045. Interest on the notes of each series will accrue from</w:t>
      </w:r>
      <w:r>
        <w:rPr>
          <w:sz w:val="20"/>
          <w:szCs w:val="20"/>
          <w:color w:val="auto"/>
        </w:rPr>
        <w:tab/>
      </w:r>
      <w:r>
        <w:rPr>
          <w:rFonts w:ascii="Arial" w:cs="Arial" w:eastAsia="Arial" w:hAnsi="Arial"/>
          <w:sz w:val="18"/>
          <w:szCs w:val="18"/>
          <w:color w:val="auto"/>
        </w:rPr>
        <w:t>, 2015 and will be payable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of each year,</w:t>
      </w:r>
    </w:p>
    <w:p>
      <w:pPr>
        <w:spacing w:after="0"/>
        <w:tabs>
          <w:tab w:leader="none" w:pos="1760" w:val="left"/>
          <w:tab w:leader="none" w:pos="5840" w:val="left"/>
          <w:tab w:leader="none" w:pos="9780" w:val="left"/>
        </w:tabs>
        <w:rPr>
          <w:sz w:val="20"/>
          <w:szCs w:val="20"/>
          <w:color w:val="auto"/>
        </w:rPr>
      </w:pPr>
      <w:r>
        <w:rPr>
          <w:rFonts w:ascii="Arial" w:cs="Arial" w:eastAsia="Arial" w:hAnsi="Arial"/>
          <w:sz w:val="18"/>
          <w:szCs w:val="18"/>
          <w:color w:val="auto"/>
        </w:rPr>
        <w:t>beginning</w:t>
      </w:r>
      <w:r>
        <w:rPr>
          <w:sz w:val="20"/>
          <w:szCs w:val="20"/>
          <w:color w:val="auto"/>
        </w:rPr>
        <w:tab/>
      </w:r>
      <w:r>
        <w:rPr>
          <w:rFonts w:ascii="Arial" w:cs="Arial" w:eastAsia="Arial" w:hAnsi="Arial"/>
          <w:sz w:val="18"/>
          <w:szCs w:val="18"/>
          <w:color w:val="auto"/>
        </w:rPr>
        <w:t>, 2015. The 2025 notes will mature on</w:t>
      </w:r>
      <w:r>
        <w:rPr>
          <w:sz w:val="20"/>
          <w:szCs w:val="20"/>
          <w:color w:val="auto"/>
        </w:rPr>
        <w:tab/>
      </w:r>
      <w:r>
        <w:rPr>
          <w:rFonts w:ascii="Arial" w:cs="Arial" w:eastAsia="Arial" w:hAnsi="Arial"/>
          <w:sz w:val="18"/>
          <w:szCs w:val="18"/>
          <w:color w:val="auto"/>
        </w:rPr>
        <w:t>, 2025, the 2035 notes will mature on</w:t>
      </w:r>
      <w:r>
        <w:rPr>
          <w:sz w:val="20"/>
          <w:szCs w:val="20"/>
          <w:color w:val="auto"/>
        </w:rPr>
        <w:tab/>
      </w:r>
      <w:r>
        <w:rPr>
          <w:rFonts w:ascii="Arial" w:cs="Arial" w:eastAsia="Arial" w:hAnsi="Arial"/>
          <w:sz w:val="17"/>
          <w:szCs w:val="17"/>
          <w:color w:val="auto"/>
        </w:rPr>
        <w:t>, 2035 and the 2045</w:t>
      </w:r>
    </w:p>
    <w:p>
      <w:pPr>
        <w:spacing w:after="0" w:line="1" w:lineRule="exact"/>
        <w:rPr>
          <w:sz w:val="24"/>
          <w:szCs w:val="24"/>
          <w:color w:val="auto"/>
        </w:rPr>
      </w:pPr>
    </w:p>
    <w:p>
      <w:pPr>
        <w:spacing w:after="0"/>
        <w:tabs>
          <w:tab w:leader="none" w:pos="2580" w:val="left"/>
        </w:tabs>
        <w:rPr>
          <w:sz w:val="20"/>
          <w:szCs w:val="20"/>
          <w:color w:val="auto"/>
        </w:rPr>
      </w:pPr>
      <w:r>
        <w:rPr>
          <w:rFonts w:ascii="Arial" w:cs="Arial" w:eastAsia="Arial" w:hAnsi="Arial"/>
          <w:sz w:val="18"/>
          <w:szCs w:val="18"/>
          <w:color w:val="auto"/>
        </w:rPr>
        <w:t>notes will mature on</w:t>
      </w:r>
      <w:r>
        <w:rPr>
          <w:sz w:val="20"/>
          <w:szCs w:val="20"/>
          <w:color w:val="auto"/>
        </w:rPr>
        <w:tab/>
      </w:r>
      <w:r>
        <w:rPr>
          <w:rFonts w:ascii="Arial" w:cs="Arial" w:eastAsia="Arial" w:hAnsi="Arial"/>
          <w:sz w:val="17"/>
          <w:szCs w:val="17"/>
          <w:color w:val="auto"/>
        </w:rPr>
        <w:t>, 2045. We use the term “notes” to refer to each series of notes collectively.</w:t>
      </w:r>
    </w:p>
    <w:p>
      <w:pPr>
        <w:spacing w:after="0" w:line="212" w:lineRule="exact"/>
        <w:rPr>
          <w:sz w:val="24"/>
          <w:szCs w:val="24"/>
          <w:color w:val="auto"/>
        </w:rPr>
      </w:pPr>
    </w:p>
    <w:p>
      <w:pPr>
        <w:jc w:val="both"/>
        <w:ind w:right="20" w:firstLine="456"/>
        <w:spacing w:after="0"/>
        <w:rPr>
          <w:sz w:val="20"/>
          <w:szCs w:val="20"/>
          <w:color w:val="auto"/>
        </w:rPr>
      </w:pPr>
      <w:r>
        <w:rPr>
          <w:rFonts w:ascii="Arial" w:cs="Arial" w:eastAsia="Arial" w:hAnsi="Arial"/>
          <w:sz w:val="18"/>
          <w:szCs w:val="18"/>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203" w:lineRule="exact"/>
        <w:rPr>
          <w:sz w:val="24"/>
          <w:szCs w:val="24"/>
          <w:color w:val="auto"/>
        </w:rPr>
      </w:pPr>
    </w:p>
    <w:p>
      <w:pPr>
        <w:jc w:val="both"/>
        <w:ind w:right="360" w:firstLine="456"/>
        <w:spacing w:after="0"/>
        <w:rPr>
          <w:sz w:val="20"/>
          <w:szCs w:val="20"/>
          <w:color w:val="auto"/>
        </w:rPr>
      </w:pPr>
      <w:r>
        <w:rPr>
          <w:rFonts w:ascii="Arial" w:cs="Arial" w:eastAsia="Arial" w:hAnsi="Arial"/>
          <w:sz w:val="18"/>
          <w:szCs w:val="18"/>
          <w:color w:val="auto"/>
        </w:rPr>
        <w:t>We may redeem each series of notes, in whole or in part, at any time at the redemption prices described beginning on page S-14. If a change of control triggering event as described beginning on page S-17 occurs, we may be required to offer to purchase the notes of each series from holders.</w:t>
      </w:r>
    </w:p>
    <w:p>
      <w:pPr>
        <w:spacing w:after="0" w:line="181" w:lineRule="exact"/>
        <w:rPr>
          <w:sz w:val="24"/>
          <w:szCs w:val="24"/>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S-7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234950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right="240" w:firstLine="456"/>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40" w:type="dxa"/>
            <w:vAlign w:val="bottom"/>
            <w:gridSpan w:val="5"/>
          </w:tcPr>
          <w:p>
            <w:pPr>
              <w:ind w:left="460"/>
              <w:spacing w:after="0"/>
              <w:rPr>
                <w:sz w:val="20"/>
                <w:szCs w:val="20"/>
                <w:color w:val="auto"/>
              </w:rPr>
            </w:pPr>
            <w:r>
              <w:rPr>
                <w:rFonts w:ascii="Arial" w:cs="Arial" w:eastAsia="Arial" w:hAnsi="Arial"/>
                <w:sz w:val="14"/>
                <w:szCs w:val="14"/>
                <w:b w:val="1"/>
                <w:bCs w:val="1"/>
                <w:color w:val="auto"/>
              </w:rPr>
              <w:t>2025 Notes</w:t>
            </w:r>
          </w:p>
        </w:tc>
        <w:tc>
          <w:tcPr>
            <w:tcW w:w="2160" w:type="dxa"/>
            <w:vAlign w:val="bottom"/>
            <w:gridSpan w:val="4"/>
          </w:tcPr>
          <w:p>
            <w:pPr>
              <w:ind w:left="460"/>
              <w:spacing w:after="0"/>
              <w:rPr>
                <w:sz w:val="20"/>
                <w:szCs w:val="20"/>
                <w:color w:val="auto"/>
              </w:rPr>
            </w:pPr>
            <w:r>
              <w:rPr>
                <w:rFonts w:ascii="Arial" w:cs="Arial" w:eastAsia="Arial" w:hAnsi="Arial"/>
                <w:sz w:val="14"/>
                <w:szCs w:val="14"/>
                <w:b w:val="1"/>
                <w:bCs w:val="1"/>
                <w:color w:val="auto"/>
              </w:rPr>
              <w:t>2035 Notes</w:t>
            </w:r>
          </w:p>
        </w:tc>
        <w:tc>
          <w:tcPr>
            <w:tcW w:w="168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2045 Notes</w:t>
            </w:r>
          </w:p>
        </w:tc>
        <w:tc>
          <w:tcPr>
            <w:tcW w:w="0" w:type="dxa"/>
            <w:vAlign w:val="bottom"/>
          </w:tcPr>
          <w:p>
            <w:pPr>
              <w:spacing w:after="0"/>
              <w:rPr>
                <w:sz w:val="1"/>
                <w:szCs w:val="1"/>
                <w:color w:val="auto"/>
              </w:rPr>
            </w:pPr>
          </w:p>
        </w:tc>
      </w:tr>
      <w:tr>
        <w:trPr>
          <w:trHeight w:val="156"/>
        </w:trPr>
        <w:tc>
          <w:tcPr>
            <w:tcW w:w="3260" w:type="dxa"/>
            <w:vAlign w:val="bottom"/>
            <w:vMerge w:val="restart"/>
          </w:tcPr>
          <w:p>
            <w:pPr>
              <w:spacing w:after="0"/>
              <w:rPr>
                <w:sz w:val="20"/>
                <w:szCs w:val="20"/>
                <w:color w:val="auto"/>
              </w:rPr>
            </w:pPr>
            <w:r>
              <w:rPr>
                <w:rFonts w:ascii="Arial" w:cs="Arial" w:eastAsia="Arial" w:hAnsi="Arial"/>
                <w:sz w:val="18"/>
                <w:szCs w:val="18"/>
                <w:color w:val="auto"/>
              </w:rPr>
              <w:t>Public Offering Price(1)</w:t>
            </w:r>
          </w:p>
        </w:tc>
        <w:tc>
          <w:tcPr>
            <w:tcW w:w="20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Per Note</w:t>
            </w: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Per Note</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Per Note</w:t>
            </w:r>
          </w:p>
        </w:tc>
        <w:tc>
          <w:tcPr>
            <w:tcW w:w="52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6"/>
                <w:szCs w:val="16"/>
                <w:color w:val="auto"/>
              </w:rPr>
            </w:pPr>
          </w:p>
        </w:tc>
        <w:tc>
          <w:tcPr>
            <w:tcW w:w="520" w:type="dxa"/>
            <w:vAlign w:val="bottom"/>
            <w:tcBorders>
              <w:top w:val="single" w:sz="8" w:color="auto"/>
            </w:tcBorders>
          </w:tcPr>
          <w:p>
            <w:pPr>
              <w:jc w:val="right"/>
              <w:ind w:right="339"/>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8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tcPr>
          <w:p>
            <w:pPr>
              <w:jc w:val="right"/>
              <w:ind w:right="314"/>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6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tcPr>
          <w:p>
            <w:pPr>
              <w:jc w:val="right"/>
              <w:ind w:right="334"/>
              <w:spacing w:after="0" w:line="195"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304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9"/>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18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14"/>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7"/>
                <w:szCs w:val="17"/>
                <w:color w:val="auto"/>
              </w:rPr>
            </w:pPr>
          </w:p>
        </w:tc>
        <w:tc>
          <w:tcPr>
            <w:tcW w:w="116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34"/>
              <w:spacing w:after="0" w:line="202"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Proceeds to Us (excluding expenses)</w:t>
            </w:r>
          </w:p>
        </w:tc>
        <w:tc>
          <w:tcPr>
            <w:tcW w:w="30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11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84"/>
        </w:trPr>
        <w:tc>
          <w:tcPr>
            <w:tcW w:w="3260" w:type="dxa"/>
            <w:vAlign w:val="bottom"/>
          </w:tcPr>
          <w:p>
            <w:pPr>
              <w:spacing w:after="0"/>
              <w:rPr>
                <w:sz w:val="20"/>
                <w:szCs w:val="20"/>
                <w:color w:val="auto"/>
              </w:rPr>
            </w:pPr>
            <w:r>
              <w:rPr>
                <w:rFonts w:ascii="Arial" w:cs="Arial" w:eastAsia="Arial" w:hAnsi="Arial"/>
                <w:sz w:val="18"/>
                <w:szCs w:val="18"/>
                <w:color w:val="auto"/>
              </w:rPr>
              <w:t>(1)   Plus accrued interest from</w:t>
            </w:r>
          </w:p>
        </w:tc>
        <w:tc>
          <w:tcPr>
            <w:tcW w:w="4220" w:type="dxa"/>
            <w:vAlign w:val="bottom"/>
            <w:gridSpan w:val="6"/>
          </w:tcPr>
          <w:p>
            <w:pPr>
              <w:ind w:left="280"/>
              <w:spacing w:after="0"/>
              <w:rPr>
                <w:sz w:val="20"/>
                <w:szCs w:val="20"/>
                <w:color w:val="auto"/>
              </w:rPr>
            </w:pPr>
            <w:r>
              <w:rPr>
                <w:rFonts w:ascii="Arial" w:cs="Arial" w:eastAsia="Arial" w:hAnsi="Arial"/>
                <w:sz w:val="18"/>
                <w:szCs w:val="18"/>
                <w:color w:val="auto"/>
              </w:rPr>
              <w:t>, 2015 if delivery occurs after that date.</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07" w:lineRule="exact"/>
        <w:rPr>
          <w:sz w:val="24"/>
          <w:szCs w:val="24"/>
          <w:color w:val="auto"/>
        </w:rPr>
      </w:pPr>
    </w:p>
    <w:p>
      <w:pPr>
        <w:ind w:left="460"/>
        <w:spacing w:after="0"/>
        <w:tabs>
          <w:tab w:leader="none" w:pos="6920" w:val="left"/>
        </w:tabs>
        <w:rPr>
          <w:sz w:val="20"/>
          <w:szCs w:val="20"/>
          <w:color w:val="auto"/>
        </w:rPr>
      </w:pPr>
      <w:r>
        <w:rPr>
          <w:rFonts w:ascii="Arial" w:cs="Arial" w:eastAsia="Arial" w:hAnsi="Arial"/>
          <w:sz w:val="18"/>
          <w:szCs w:val="18"/>
          <w:color w:val="auto"/>
        </w:rPr>
        <w:t>The underwriters expect to deliver the notes to investors on or about</w:t>
      </w:r>
      <w:r>
        <w:rPr>
          <w:sz w:val="20"/>
          <w:szCs w:val="20"/>
          <w:color w:val="auto"/>
        </w:rPr>
        <w:tab/>
      </w:r>
      <w:r>
        <w:rPr>
          <w:rFonts w:ascii="Arial" w:cs="Arial" w:eastAsia="Arial" w:hAnsi="Arial"/>
          <w:sz w:val="18"/>
          <w:szCs w:val="18"/>
          <w:color w:val="auto"/>
        </w:rPr>
        <w:t>, 2015 only in book-entry form through the facilities of</w:t>
      </w:r>
    </w:p>
    <w:p>
      <w:pPr>
        <w:ind w:right="620"/>
        <w:spacing w:after="0" w:line="246" w:lineRule="auto"/>
        <w:rPr>
          <w:sz w:val="20"/>
          <w:szCs w:val="20"/>
          <w:color w:val="auto"/>
        </w:rPr>
      </w:pPr>
      <w:r>
        <w:rPr>
          <w:rFonts w:ascii="Arial" w:cs="Arial" w:eastAsia="Arial" w:hAnsi="Arial"/>
          <w:sz w:val="18"/>
          <w:szCs w:val="18"/>
          <w:color w:val="auto"/>
        </w:rPr>
        <w:t>The Depository Trust Company and its participants, including Clearstream Banking, société anonyme, and Euroclear Bank S.A./N.V., as operator of the Euroclear System.</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Joint Book-Running Managers</w:t>
      </w:r>
    </w:p>
    <w:p>
      <w:pPr>
        <w:spacing w:after="0" w:line="229" w:lineRule="exact"/>
        <w:rPr>
          <w:sz w:val="24"/>
          <w:szCs w:val="24"/>
          <w:color w:val="auto"/>
        </w:rPr>
      </w:pPr>
    </w:p>
    <w:p>
      <w:pPr>
        <w:spacing w:after="0"/>
        <w:tabs>
          <w:tab w:leader="none" w:pos="2800" w:val="left"/>
          <w:tab w:leader="none" w:pos="6720" w:val="left"/>
          <w:tab w:leader="none" w:pos="10200" w:val="left"/>
        </w:tabs>
        <w:rPr>
          <w:sz w:val="20"/>
          <w:szCs w:val="20"/>
          <w:color w:val="auto"/>
        </w:rPr>
      </w:pPr>
      <w:r>
        <w:rPr>
          <w:rFonts w:ascii="Arial" w:cs="Arial" w:eastAsia="Arial" w:hAnsi="Arial"/>
          <w:sz w:val="22"/>
          <w:szCs w:val="22"/>
          <w:b w:val="1"/>
          <w:bCs w:val="1"/>
          <w:color w:val="auto"/>
        </w:rPr>
        <w:t>Credit Suisse</w:t>
      </w:r>
      <w:r>
        <w:rPr>
          <w:sz w:val="20"/>
          <w:szCs w:val="20"/>
          <w:color w:val="auto"/>
        </w:rPr>
        <w:tab/>
      </w: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Goldman, Sachs &amp; Co.</w:t>
      </w:r>
      <w:r>
        <w:rPr>
          <w:sz w:val="20"/>
          <w:szCs w:val="20"/>
          <w:color w:val="auto"/>
        </w:rPr>
        <w:tab/>
      </w:r>
      <w:r>
        <w:rPr>
          <w:rFonts w:ascii="Arial" w:cs="Arial" w:eastAsia="Arial" w:hAnsi="Arial"/>
          <w:sz w:val="21"/>
          <w:szCs w:val="21"/>
          <w:b w:val="1"/>
          <w:bCs w:val="1"/>
          <w:color w:val="auto"/>
        </w:rPr>
        <w:t>J.P. Morgan</w:t>
      </w:r>
    </w:p>
    <w:p>
      <w:pPr>
        <w:spacing w:after="0" w:line="148" w:lineRule="exact"/>
        <w:rPr>
          <w:sz w:val="24"/>
          <w:szCs w:val="24"/>
          <w:color w:val="auto"/>
        </w:rPr>
      </w:pPr>
    </w:p>
    <w:p>
      <w:pPr>
        <w:spacing w:after="0"/>
        <w:tabs>
          <w:tab w:leader="none" w:pos="3040" w:val="left"/>
          <w:tab w:leader="none" w:pos="6720" w:val="left"/>
          <w:tab w:leader="none" w:pos="9480" w:val="left"/>
        </w:tabs>
        <w:rPr>
          <w:sz w:val="20"/>
          <w:szCs w:val="20"/>
          <w:color w:val="auto"/>
        </w:rPr>
      </w:pPr>
      <w:r>
        <w:rPr>
          <w:rFonts w:ascii="Arial" w:cs="Arial" w:eastAsia="Arial" w:hAnsi="Arial"/>
          <w:sz w:val="18"/>
          <w:szCs w:val="18"/>
          <w:b w:val="1"/>
          <w:bCs w:val="1"/>
          <w:color w:val="auto"/>
        </w:rPr>
        <w:t>Barclays</w:t>
      </w:r>
      <w:r>
        <w:rPr>
          <w:sz w:val="20"/>
          <w:szCs w:val="20"/>
          <w:color w:val="auto"/>
        </w:rPr>
        <w:tab/>
      </w:r>
      <w:r>
        <w:rPr>
          <w:rFonts w:ascii="Arial" w:cs="Arial" w:eastAsia="Arial" w:hAnsi="Arial"/>
          <w:sz w:val="18"/>
          <w:szCs w:val="18"/>
          <w:b w:val="1"/>
          <w:bCs w:val="1"/>
          <w:color w:val="auto"/>
        </w:rPr>
        <w:t>BofA Merrill Lynch</w:t>
      </w:r>
      <w:r>
        <w:rPr>
          <w:sz w:val="20"/>
          <w:szCs w:val="20"/>
          <w:color w:val="auto"/>
        </w:rPr>
        <w:tab/>
      </w:r>
      <w:r>
        <w:rPr>
          <w:rFonts w:ascii="Arial" w:cs="Arial" w:eastAsia="Arial" w:hAnsi="Arial"/>
          <w:sz w:val="18"/>
          <w:szCs w:val="18"/>
          <w:b w:val="1"/>
          <w:bCs w:val="1"/>
          <w:color w:val="auto"/>
        </w:rPr>
        <w:t>RBS</w:t>
      </w:r>
      <w:r>
        <w:rPr>
          <w:sz w:val="20"/>
          <w:szCs w:val="20"/>
          <w:color w:val="auto"/>
        </w:rPr>
        <w:tab/>
      </w:r>
      <w:r>
        <w:rPr>
          <w:rFonts w:ascii="Arial" w:cs="Arial" w:eastAsia="Arial" w:hAnsi="Arial"/>
          <w:sz w:val="17"/>
          <w:szCs w:val="17"/>
          <w:b w:val="1"/>
          <w:bCs w:val="1"/>
          <w:color w:val="auto"/>
        </w:rPr>
        <w:t>Wells Fargo Securities</w:t>
      </w:r>
    </w:p>
    <w:p>
      <w:pPr>
        <w:sectPr>
          <w:pgSz w:w="11900" w:h="16838" w:orient="portrait"/>
          <w:cols w:equalWidth="0" w:num="1">
            <w:col w:w="11420"/>
          </w:cols>
          <w:pgMar w:left="240" w:top="230" w:right="239" w:bottom="1057" w:gutter="0" w:footer="0" w:header="0"/>
        </w:sectPr>
      </w:pPr>
    </w:p>
    <w:p>
      <w:pPr>
        <w:spacing w:after="0" w:line="23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 2015</w:t>
      </w:r>
    </w:p>
    <w:p>
      <w:pPr>
        <w:sectPr>
          <w:pgSz w:w="11900" w:h="16838" w:orient="portrait"/>
          <w:cols w:equalWidth="0" w:num="1">
            <w:col w:w="11420"/>
          </w:cols>
          <w:pgMar w:left="240" w:top="230" w:right="239" w:bottom="105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198755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920" w:type="dxa"/>
            <w:vAlign w:val="bottom"/>
            <w:gridSpan w:val="3"/>
          </w:tcPr>
          <w:p>
            <w:pPr>
              <w:jc w:val="right"/>
              <w:ind w:right="45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6"/>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920" w:type="dxa"/>
            <w:vAlign w:val="bottom"/>
            <w:gridSpan w:val="3"/>
          </w:tcPr>
          <w:p>
            <w:pPr>
              <w:jc w:val="right"/>
              <w:ind w:right="4740"/>
              <w:spacing w:after="0"/>
              <w:rPr>
                <w:sz w:val="20"/>
                <w:szCs w:val="20"/>
                <w:color w:val="auto"/>
              </w:rPr>
            </w:pPr>
            <w:r>
              <w:rPr>
                <w:rFonts w:ascii="Arial" w:cs="Arial" w:eastAsia="Arial" w:hAnsi="Arial"/>
                <w:sz w:val="18"/>
                <w:szCs w:val="18"/>
                <w:b w:val="1"/>
                <w:bCs w:val="1"/>
                <w:color w:val="auto"/>
              </w:rPr>
              <w:t>Prospectus Supplement</w:t>
            </w:r>
          </w:p>
        </w:tc>
        <w:tc>
          <w:tcPr>
            <w:tcW w:w="0" w:type="dxa"/>
            <w:vAlign w:val="bottom"/>
          </w:tcPr>
          <w:p>
            <w:pPr>
              <w:spacing w:after="0"/>
              <w:rPr>
                <w:sz w:val="1"/>
                <w:szCs w:val="1"/>
                <w:color w:val="auto"/>
              </w:rPr>
            </w:pPr>
          </w:p>
        </w:tc>
      </w:tr>
      <w:tr>
        <w:trPr>
          <w:trHeight w:val="171"/>
        </w:trPr>
        <w:tc>
          <w:tcPr>
            <w:tcW w:w="800" w:type="dxa"/>
            <w:vAlign w:val="bottom"/>
            <w:gridSpan w:val="2"/>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S</w:t>
              </w:r>
              <w:r>
                <w:rPr>
                  <w:rFonts w:ascii="Arial" w:cs="Arial" w:eastAsia="Arial" w:hAnsi="Arial"/>
                  <w:sz w:val="15"/>
                  <w:szCs w:val="15"/>
                  <w:color w:val="0000EE"/>
                  <w:w w:val="99"/>
                </w:rPr>
                <w:t>UMMARY</w:t>
              </w:r>
            </w:hyperlink>
          </w:p>
        </w:tc>
        <w:tc>
          <w:tcPr>
            <w:tcW w:w="3540" w:type="dxa"/>
            <w:vAlign w:val="bottom"/>
            <w:gridSpan w:val="8"/>
            <w:vMerge w:val="restart"/>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800" w:type="dxa"/>
            <w:vAlign w:val="bottom"/>
            <w:tcBorders>
              <w:bottom w:val="single" w:sz="8" w:color="0000EE"/>
            </w:tcBorders>
            <w:gridSpan w:val="2"/>
            <w:vMerge w:val="continue"/>
          </w:tcPr>
          <w:p>
            <w:pPr>
              <w:spacing w:after="0"/>
              <w:rPr>
                <w:sz w:val="13"/>
                <w:szCs w:val="13"/>
                <w:color w:val="auto"/>
              </w:rPr>
            </w:pPr>
          </w:p>
        </w:tc>
        <w:tc>
          <w:tcPr>
            <w:tcW w:w="3540" w:type="dxa"/>
            <w:vAlign w:val="bottom"/>
            <w:gridSpan w:val="8"/>
            <w:vMerge w:val="continue"/>
          </w:tcPr>
          <w:p>
            <w:pPr>
              <w:spacing w:after="0"/>
              <w:rPr>
                <w:sz w:val="13"/>
                <w:szCs w:val="13"/>
                <w:color w:val="auto"/>
              </w:rPr>
            </w:pPr>
          </w:p>
        </w:tc>
        <w:tc>
          <w:tcPr>
            <w:tcW w:w="6160" w:type="dxa"/>
            <w:vAlign w:val="bottom"/>
          </w:tcPr>
          <w:p>
            <w:pPr>
              <w:spacing w:after="0"/>
              <w:rPr>
                <w:sz w:val="13"/>
                <w:szCs w:val="13"/>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3220" w:type="dxa"/>
            <w:vAlign w:val="bottom"/>
            <w:gridSpan w:val="6"/>
          </w:tcPr>
          <w:p>
            <w:pPr>
              <w:spacing w:after="0"/>
              <w:rPr>
                <w:sz w:val="18"/>
                <w:szCs w:val="18"/>
                <w:color w:val="auto"/>
              </w:rPr>
            </w:pPr>
          </w:p>
        </w:tc>
        <w:tc>
          <w:tcPr>
            <w:tcW w:w="6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R</w:t>
              </w:r>
              <w:r>
                <w:rPr>
                  <w:rFonts w:ascii="Arial" w:cs="Arial" w:eastAsia="Arial" w:hAnsi="Arial"/>
                  <w:sz w:val="15"/>
                  <w:szCs w:val="15"/>
                  <w:color w:val="0000EE"/>
                  <w:w w:val="95"/>
                </w:rPr>
                <w:t>ATIO OF</w:t>
              </w:r>
              <w:r>
                <w:rPr>
                  <w:rFonts w:ascii="Arial" w:cs="Arial" w:eastAsia="Arial" w:hAnsi="Arial"/>
                  <w:sz w:val="18"/>
                  <w:szCs w:val="18"/>
                  <w:color w:val="0000EE"/>
                  <w:w w:val="95"/>
                </w:rPr>
                <w:t xml:space="preserve"> E</w:t>
              </w:r>
              <w:r>
                <w:rPr>
                  <w:rFonts w:ascii="Arial" w:cs="Arial" w:eastAsia="Arial" w:hAnsi="Arial"/>
                  <w:sz w:val="15"/>
                  <w:szCs w:val="15"/>
                  <w:color w:val="0000EE"/>
                  <w:w w:val="95"/>
                </w:rPr>
                <w:t>ARNINGS TO</w:t>
              </w:r>
              <w:r>
                <w:rPr>
                  <w:rFonts w:ascii="Arial" w:cs="Arial" w:eastAsia="Arial" w:hAnsi="Arial"/>
                  <w:sz w:val="18"/>
                  <w:szCs w:val="18"/>
                  <w:color w:val="0000EE"/>
                  <w:w w:val="95"/>
                </w:rPr>
                <w:t xml:space="preserve"> F</w:t>
              </w:r>
              <w:r>
                <w:rPr>
                  <w:rFonts w:ascii="Arial" w:cs="Arial" w:eastAsia="Arial" w:hAnsi="Arial"/>
                  <w:sz w:val="15"/>
                  <w:szCs w:val="15"/>
                  <w:color w:val="0000EE"/>
                  <w:w w:val="95"/>
                </w:rPr>
                <w:t>IXED</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HARGES</w:t>
              </w:r>
            </w:hyperlink>
          </w:p>
        </w:tc>
        <w:tc>
          <w:tcPr>
            <w:tcW w:w="13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4340" w:type="dxa"/>
            <w:vAlign w:val="bottom"/>
            <w:gridSpan w:val="1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2960" w:type="dxa"/>
            <w:vAlign w:val="bottom"/>
            <w:gridSpan w:val="3"/>
          </w:tcPr>
          <w:p>
            <w:pPr>
              <w:spacing w:after="0"/>
              <w:rPr>
                <w:sz w:val="17"/>
                <w:szCs w:val="17"/>
                <w:color w:val="auto"/>
              </w:rPr>
            </w:pPr>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4340" w:type="dxa"/>
            <w:vAlign w:val="bottom"/>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N</w:t>
              </w:r>
              <w:r>
                <w:rPr>
                  <w:rFonts w:ascii="Arial" w:cs="Arial" w:eastAsia="Arial" w:hAnsi="Arial"/>
                  <w:sz w:val="15"/>
                  <w:szCs w:val="15"/>
                  <w:color w:val="0000EE"/>
                  <w:w w:val="94"/>
                </w:rPr>
                <w:t>OTES</w:t>
              </w:r>
            </w:hyperlink>
          </w:p>
        </w:tc>
        <w:tc>
          <w:tcPr>
            <w:tcW w:w="2540" w:type="dxa"/>
            <w:vAlign w:val="bottom"/>
            <w:gridSpan w:val="2"/>
          </w:tcPr>
          <w:p>
            <w:pPr>
              <w:spacing w:after="0"/>
              <w:rPr>
                <w:sz w:val="17"/>
                <w:szCs w:val="17"/>
                <w:color w:val="auto"/>
              </w:rPr>
            </w:pPr>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4340" w:type="dxa"/>
            <w:vAlign w:val="bottom"/>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3060" w:type="dxa"/>
            <w:vAlign w:val="bottom"/>
            <w:gridSpan w:val="4"/>
          </w:tcPr>
          <w:p>
            <w:pPr>
              <w:spacing w:after="0"/>
              <w:rPr>
                <w:sz w:val="17"/>
                <w:szCs w:val="17"/>
                <w:color w:val="auto"/>
              </w:rPr>
            </w:pPr>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4340" w:type="dxa"/>
            <w:vAlign w:val="bottom"/>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w:t>
              </w:r>
              <w:r>
                <w:rPr>
                  <w:rFonts w:ascii="Arial" w:cs="Arial" w:eastAsia="Arial" w:hAnsi="Arial"/>
                  <w:sz w:val="15"/>
                  <w:szCs w:val="15"/>
                  <w:color w:val="0000EE"/>
                  <w:w w:val="95"/>
                </w:rPr>
                <w:t>NCORPORATION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D</w:t>
              </w:r>
              <w:r>
                <w:rPr>
                  <w:rFonts w:ascii="Arial" w:cs="Arial" w:eastAsia="Arial" w:hAnsi="Arial"/>
                  <w:sz w:val="15"/>
                  <w:szCs w:val="15"/>
                  <w:color w:val="0000EE"/>
                  <w:w w:val="95"/>
                </w:rPr>
                <w:t>OCUMENTS BY</w:t>
              </w:r>
              <w:r>
                <w:rPr>
                  <w:rFonts w:ascii="Arial" w:cs="Arial" w:eastAsia="Arial" w:hAnsi="Arial"/>
                  <w:sz w:val="18"/>
                  <w:szCs w:val="18"/>
                  <w:color w:val="0000EE"/>
                  <w:w w:val="95"/>
                </w:rPr>
                <w:t xml:space="preserve"> R</w:t>
              </w:r>
              <w:r>
                <w:rPr>
                  <w:rFonts w:ascii="Arial" w:cs="Arial" w:eastAsia="Arial" w:hAnsi="Arial"/>
                  <w:sz w:val="15"/>
                  <w:szCs w:val="15"/>
                  <w:color w:val="0000EE"/>
                  <w:w w:val="95"/>
                </w:rPr>
                <w:t>EFERENCE</w:t>
              </w:r>
            </w:hyperlink>
          </w:p>
        </w:tc>
        <w:tc>
          <w:tcPr>
            <w:tcW w:w="616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71"/>
        </w:trPr>
        <w:tc>
          <w:tcPr>
            <w:tcW w:w="2520" w:type="dxa"/>
            <w:vAlign w:val="bottom"/>
            <w:gridSpan w:val="11"/>
            <w:vMerge w:val="restart"/>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2340" w:type="dxa"/>
            <w:vAlign w:val="bottom"/>
            <w:gridSpan w:val="6"/>
            <w:vMerge w:val="restart"/>
          </w:tcPr>
          <w:p>
            <w:pPr>
              <w:spacing w:after="0"/>
              <w:rPr>
                <w:sz w:val="14"/>
                <w:szCs w:val="14"/>
                <w:color w:val="auto"/>
              </w:rPr>
            </w:pPr>
          </w:p>
        </w:tc>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520" w:type="dxa"/>
            <w:vAlign w:val="bottom"/>
            <w:tcBorders>
              <w:bottom w:val="single" w:sz="8" w:color="0000EE"/>
            </w:tcBorders>
            <w:gridSpan w:val="11"/>
            <w:vMerge w:val="continue"/>
          </w:tcPr>
          <w:p>
            <w:pPr>
              <w:spacing w:after="0"/>
              <w:rPr>
                <w:sz w:val="13"/>
                <w:szCs w:val="13"/>
                <w:color w:val="auto"/>
              </w:rPr>
            </w:pPr>
          </w:p>
        </w:tc>
        <w:tc>
          <w:tcPr>
            <w:tcW w:w="2340" w:type="dxa"/>
            <w:vAlign w:val="bottom"/>
            <w:gridSpan w:val="6"/>
            <w:vMerge w:val="continue"/>
          </w:tcPr>
          <w:p>
            <w:pPr>
              <w:spacing w:after="0"/>
              <w:rPr>
                <w:sz w:val="13"/>
                <w:szCs w:val="13"/>
                <w:color w:val="auto"/>
              </w:rPr>
            </w:pPr>
          </w:p>
        </w:tc>
        <w:tc>
          <w:tcPr>
            <w:tcW w:w="17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A</w:t>
              </w:r>
              <w:r>
                <w:rPr>
                  <w:rFonts w:ascii="Arial" w:cs="Arial" w:eastAsia="Arial" w:hAnsi="Arial"/>
                  <w:sz w:val="15"/>
                  <w:szCs w:val="15"/>
                  <w:color w:val="0000EE"/>
                  <w:w w:val="93"/>
                </w:rPr>
                <w:t>BOUT</w:t>
              </w:r>
              <w:r>
                <w:rPr>
                  <w:rFonts w:ascii="Arial" w:cs="Arial" w:eastAsia="Arial" w:hAnsi="Arial"/>
                  <w:sz w:val="18"/>
                  <w:szCs w:val="18"/>
                  <w:color w:val="0000EE"/>
                  <w:w w:val="93"/>
                </w:rPr>
                <w:t xml:space="preserve"> T</w:t>
              </w:r>
              <w:r>
                <w:rPr>
                  <w:rFonts w:ascii="Arial" w:cs="Arial" w:eastAsia="Arial" w:hAnsi="Arial"/>
                  <w:sz w:val="15"/>
                  <w:szCs w:val="15"/>
                  <w:color w:val="0000EE"/>
                  <w:w w:val="93"/>
                </w:rPr>
                <w: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2920" w:type="dxa"/>
            <w:vAlign w:val="bottom"/>
            <w:gridSpan w:val="10"/>
          </w:tcPr>
          <w:p>
            <w:pPr>
              <w:spacing w:after="0"/>
              <w:rPr>
                <w:sz w:val="18"/>
                <w:szCs w:val="18"/>
                <w:color w:val="auto"/>
              </w:rPr>
            </w:pPr>
          </w:p>
        </w:tc>
        <w:tc>
          <w:tcPr>
            <w:tcW w:w="646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w:t>
              </w:r>
              <w:r>
                <w:rPr>
                  <w:rFonts w:ascii="Arial" w:cs="Arial" w:eastAsia="Arial" w:hAnsi="Arial"/>
                  <w:sz w:val="15"/>
                  <w:szCs w:val="15"/>
                  <w:color w:val="0000EE"/>
                  <w:w w:val="95"/>
                </w:rPr>
                <w:t>NCORPORATION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D</w:t>
              </w:r>
              <w:r>
                <w:rPr>
                  <w:rFonts w:ascii="Arial" w:cs="Arial" w:eastAsia="Arial" w:hAnsi="Arial"/>
                  <w:sz w:val="15"/>
                  <w:szCs w:val="15"/>
                  <w:color w:val="0000EE"/>
                  <w:w w:val="95"/>
                </w:rPr>
                <w:t>OCUMENTS BY</w:t>
              </w:r>
              <w:r>
                <w:rPr>
                  <w:rFonts w:ascii="Arial" w:cs="Arial" w:eastAsia="Arial" w:hAnsi="Arial"/>
                  <w:sz w:val="18"/>
                  <w:szCs w:val="18"/>
                  <w:color w:val="0000EE"/>
                  <w:w w:val="95"/>
                </w:rPr>
                <w:t xml:space="preserve"> R</w:t>
              </w:r>
              <w:r>
                <w:rPr>
                  <w:rFonts w:ascii="Arial" w:cs="Arial" w:eastAsia="Arial" w:hAnsi="Arial"/>
                  <w:sz w:val="15"/>
                  <w:szCs w:val="15"/>
                  <w:color w:val="0000EE"/>
                  <w:w w:val="95"/>
                </w:rPr>
                <w:t>EFERENCE</w:t>
              </w:r>
            </w:hyperlink>
          </w:p>
        </w:tc>
        <w:tc>
          <w:tcPr>
            <w:tcW w:w="520" w:type="dxa"/>
            <w:vAlign w:val="bottom"/>
          </w:tcPr>
          <w:p>
            <w:pPr>
              <w:spacing w:after="0"/>
              <w:rPr>
                <w:sz w:val="17"/>
                <w:szCs w:val="17"/>
                <w:color w:val="auto"/>
              </w:rPr>
            </w:pPr>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86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w:t>
              </w:r>
              <w:r>
                <w:rPr>
                  <w:rFonts w:ascii="Arial" w:cs="Arial" w:eastAsia="Arial" w:hAnsi="Arial"/>
                  <w:sz w:val="15"/>
                  <w:szCs w:val="15"/>
                  <w:color w:val="0000EE"/>
                </w:rPr>
                <w:t>HERE</w:t>
              </w:r>
              <w:r>
                <w:rPr>
                  <w:rFonts w:ascii="Arial" w:cs="Arial" w:eastAsia="Arial" w:hAnsi="Arial"/>
                  <w:sz w:val="18"/>
                  <w:szCs w:val="18"/>
                  <w:color w:val="0000EE"/>
                </w:rPr>
                <w:t xml:space="preserve"> Y</w:t>
              </w:r>
              <w:r>
                <w:rPr>
                  <w:rFonts w:ascii="Arial" w:cs="Arial" w:eastAsia="Arial" w:hAnsi="Arial"/>
                  <w:sz w:val="15"/>
                  <w:szCs w:val="15"/>
                  <w:color w:val="0000EE"/>
                </w:rPr>
                <w:t>OU</w:t>
              </w:r>
              <w:r>
                <w:rPr>
                  <w:rFonts w:ascii="Arial" w:cs="Arial" w:eastAsia="Arial" w:hAnsi="Arial"/>
                  <w:sz w:val="18"/>
                  <w:szCs w:val="18"/>
                  <w:color w:val="0000EE"/>
                </w:rPr>
                <w:t xml:space="preserve"> C</w:t>
              </w:r>
              <w:r>
                <w:rPr>
                  <w:rFonts w:ascii="Arial" w:cs="Arial" w:eastAsia="Arial" w:hAnsi="Arial"/>
                  <w:sz w:val="15"/>
                  <w:szCs w:val="15"/>
                  <w:color w:val="0000EE"/>
                </w:rPr>
                <w:t>AN</w:t>
              </w:r>
              <w:r>
                <w:rPr>
                  <w:rFonts w:ascii="Arial" w:cs="Arial" w:eastAsia="Arial" w:hAnsi="Arial"/>
                  <w:sz w:val="18"/>
                  <w:szCs w:val="18"/>
                  <w:color w:val="0000EE"/>
                </w:rPr>
                <w:t xml:space="preserve"> F</w:t>
              </w:r>
              <w:r>
                <w:rPr>
                  <w:rFonts w:ascii="Arial" w:cs="Arial" w:eastAsia="Arial" w:hAnsi="Arial"/>
                  <w:sz w:val="15"/>
                  <w:szCs w:val="15"/>
                  <w:color w:val="0000EE"/>
                </w:rPr>
                <w:t>IND</w:t>
              </w:r>
              <w:r>
                <w:rPr>
                  <w:rFonts w:ascii="Arial" w:cs="Arial" w:eastAsia="Arial" w:hAnsi="Arial"/>
                  <w:sz w:val="18"/>
                  <w:szCs w:val="18"/>
                  <w:color w:val="0000EE"/>
                </w:rPr>
                <w:t xml:space="preserve"> M</w:t>
              </w:r>
              <w:r>
                <w:rPr>
                  <w:rFonts w:ascii="Arial" w:cs="Arial" w:eastAsia="Arial" w:hAnsi="Arial"/>
                  <w:sz w:val="15"/>
                  <w:szCs w:val="15"/>
                  <w:color w:val="0000EE"/>
                </w:rPr>
                <w:t>ORE</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T</w:t>
              </w:r>
              <w:r>
                <w:rPr>
                  <w:rFonts w:ascii="Arial" w:cs="Arial" w:eastAsia="Arial" w:hAnsi="Arial"/>
                  <w:sz w:val="15"/>
                  <w:szCs w:val="15"/>
                  <w:color w:val="0000EE"/>
                  <w:w w:val="95"/>
                </w:rPr>
                <w:t>HE</w:t>
              </w:r>
              <w:r>
                <w:rPr>
                  <w:rFonts w:ascii="Arial" w:cs="Arial" w:eastAsia="Arial" w:hAnsi="Arial"/>
                  <w:sz w:val="18"/>
                  <w:szCs w:val="18"/>
                  <w:color w:val="0000EE"/>
                  <w:w w:val="95"/>
                </w:rPr>
                <w:t xml:space="preserve"> C</w:t>
              </w:r>
              <w:r>
                <w:rPr>
                  <w:rFonts w:ascii="Arial" w:cs="Arial" w:eastAsia="Arial" w:hAnsi="Arial"/>
                  <w:sz w:val="15"/>
                  <w:szCs w:val="15"/>
                  <w:color w:val="0000EE"/>
                  <w:w w:val="95"/>
                </w:rPr>
                <w:t>OMPANY</w:t>
              </w:r>
            </w:hyperlink>
          </w:p>
        </w:tc>
        <w:tc>
          <w:tcPr>
            <w:tcW w:w="2220" w:type="dxa"/>
            <w:vAlign w:val="bottom"/>
            <w:tcBorders>
              <w:top w:val="single" w:sz="8" w:color="0000EE"/>
            </w:tcBorders>
            <w:gridSpan w:val="12"/>
          </w:tcPr>
          <w:p>
            <w:pPr>
              <w:spacing w:after="0"/>
              <w:rPr>
                <w:sz w:val="17"/>
                <w:szCs w:val="17"/>
                <w:color w:val="auto"/>
              </w:rPr>
            </w:pPr>
          </w:p>
        </w:tc>
        <w:tc>
          <w:tcPr>
            <w:tcW w:w="1520" w:type="dxa"/>
            <w:vAlign w:val="bottom"/>
            <w:gridSpan w:val="2"/>
          </w:tcPr>
          <w:p>
            <w:pPr>
              <w:spacing w:after="0"/>
              <w:rPr>
                <w:sz w:val="17"/>
                <w:szCs w:val="17"/>
                <w:color w:val="auto"/>
              </w:rPr>
            </w:pPr>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86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R</w:t>
              </w:r>
              <w:r>
                <w:rPr>
                  <w:rFonts w:ascii="Arial" w:cs="Arial" w:eastAsia="Arial" w:hAnsi="Arial"/>
                  <w:sz w:val="15"/>
                  <w:szCs w:val="15"/>
                  <w:color w:val="0000EE"/>
                  <w:w w:val="95"/>
                </w:rPr>
                <w:t>ATIO OF</w:t>
              </w:r>
              <w:r>
                <w:rPr>
                  <w:rFonts w:ascii="Arial" w:cs="Arial" w:eastAsia="Arial" w:hAnsi="Arial"/>
                  <w:sz w:val="18"/>
                  <w:szCs w:val="18"/>
                  <w:color w:val="0000EE"/>
                  <w:w w:val="95"/>
                </w:rPr>
                <w:t xml:space="preserve"> E</w:t>
              </w:r>
              <w:r>
                <w:rPr>
                  <w:rFonts w:ascii="Arial" w:cs="Arial" w:eastAsia="Arial" w:hAnsi="Arial"/>
                  <w:sz w:val="15"/>
                  <w:szCs w:val="15"/>
                  <w:color w:val="0000EE"/>
                  <w:w w:val="95"/>
                </w:rPr>
                <w:t>ARNINGS TO</w:t>
              </w:r>
              <w:r>
                <w:rPr>
                  <w:rFonts w:ascii="Arial" w:cs="Arial" w:eastAsia="Arial" w:hAnsi="Arial"/>
                  <w:sz w:val="18"/>
                  <w:szCs w:val="18"/>
                  <w:color w:val="0000EE"/>
                  <w:w w:val="95"/>
                </w:rPr>
                <w:t xml:space="preserve"> F</w:t>
              </w:r>
              <w:r>
                <w:rPr>
                  <w:rFonts w:ascii="Arial" w:cs="Arial" w:eastAsia="Arial" w:hAnsi="Arial"/>
                  <w:sz w:val="15"/>
                  <w:szCs w:val="15"/>
                  <w:color w:val="0000EE"/>
                  <w:w w:val="95"/>
                </w:rPr>
                <w:t>IXED</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HARGES</w:t>
              </w:r>
            </w:hyperlink>
          </w:p>
        </w:tc>
        <w:tc>
          <w:tcPr>
            <w:tcW w:w="1820" w:type="dxa"/>
            <w:vAlign w:val="bottom"/>
            <w:gridSpan w:val="3"/>
          </w:tcPr>
          <w:p>
            <w:pPr>
              <w:spacing w:after="0"/>
              <w:rPr>
                <w:sz w:val="17"/>
                <w:szCs w:val="17"/>
                <w:color w:val="auto"/>
              </w:rPr>
            </w:pPr>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3480" w:type="dxa"/>
            <w:vAlign w:val="bottom"/>
            <w:gridSpan w:val="12"/>
          </w:tcPr>
          <w:p>
            <w:pPr>
              <w:spacing w:after="0"/>
              <w:rPr>
                <w:sz w:val="17"/>
                <w:szCs w:val="17"/>
                <w:color w:val="auto"/>
              </w:rPr>
            </w:pPr>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8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w:t>
              </w:r>
              <w:r>
                <w:rPr>
                  <w:rFonts w:ascii="Arial" w:cs="Arial" w:eastAsia="Arial" w:hAnsi="Arial"/>
                  <w:sz w:val="15"/>
                  <w:szCs w:val="15"/>
                  <w:color w:val="0000EE"/>
                </w:rPr>
                <w:t>ESCRIPTION OF THE</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64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G</w:t>
              </w:r>
              <w:r>
                <w:rPr>
                  <w:rFonts w:ascii="Arial" w:cs="Arial" w:eastAsia="Arial" w:hAnsi="Arial"/>
                  <w:sz w:val="15"/>
                  <w:szCs w:val="15"/>
                  <w:color w:val="0000EE"/>
                </w:rPr>
                <w:t>UARANTEES</w:t>
              </w:r>
            </w:hyperlink>
          </w:p>
        </w:tc>
        <w:tc>
          <w:tcPr>
            <w:tcW w:w="1920" w:type="dxa"/>
            <w:vAlign w:val="bottom"/>
            <w:gridSpan w:val="4"/>
          </w:tcPr>
          <w:p>
            <w:pPr>
              <w:spacing w:after="0"/>
              <w:rPr>
                <w:sz w:val="17"/>
                <w:szCs w:val="17"/>
                <w:color w:val="auto"/>
              </w:rPr>
            </w:pPr>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2380" w:type="dxa"/>
            <w:vAlign w:val="bottom"/>
            <w:gridSpan w:val="7"/>
          </w:tcPr>
          <w:p>
            <w:pPr>
              <w:spacing w:after="0"/>
              <w:rPr>
                <w:sz w:val="17"/>
                <w:szCs w:val="17"/>
                <w:color w:val="auto"/>
              </w:rPr>
            </w:pPr>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THER</w:t>
              </w:r>
              <w:r>
                <w:rPr>
                  <w:rFonts w:ascii="Arial" w:cs="Arial" w:eastAsia="Arial" w:hAnsi="Arial"/>
                  <w:sz w:val="18"/>
                  <w:szCs w:val="18"/>
                  <w:color w:val="0000EE"/>
                  <w:w w:val="94"/>
                </w:rPr>
                <w:t xml:space="preserve"> S</w:t>
              </w:r>
              <w:r>
                <w:rPr>
                  <w:rFonts w:ascii="Arial" w:cs="Arial" w:eastAsia="Arial" w:hAnsi="Arial"/>
                  <w:sz w:val="15"/>
                  <w:szCs w:val="15"/>
                  <w:color w:val="0000EE"/>
                  <w:w w:val="94"/>
                </w:rPr>
                <w:t>ECURITIES</w:t>
              </w:r>
            </w:hyperlink>
          </w:p>
        </w:tc>
        <w:tc>
          <w:tcPr>
            <w:tcW w:w="2140" w:type="dxa"/>
            <w:vAlign w:val="bottom"/>
            <w:gridSpan w:val="5"/>
          </w:tcPr>
          <w:p>
            <w:pPr>
              <w:spacing w:after="0"/>
              <w:rPr>
                <w:sz w:val="17"/>
                <w:szCs w:val="17"/>
                <w:color w:val="auto"/>
              </w:rPr>
            </w:pPr>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S</w:t>
              </w:r>
              <w:r>
                <w:rPr>
                  <w:rFonts w:ascii="Arial" w:cs="Arial" w:eastAsia="Arial" w:hAnsi="Arial"/>
                  <w:sz w:val="15"/>
                  <w:szCs w:val="15"/>
                  <w:color w:val="0000EE"/>
                  <w:w w:val="96"/>
                </w:rPr>
                <w:t>ELLING</w:t>
              </w:r>
              <w:r>
                <w:rPr>
                  <w:rFonts w:ascii="Arial" w:cs="Arial" w:eastAsia="Arial" w:hAnsi="Arial"/>
                  <w:sz w:val="18"/>
                  <w:szCs w:val="18"/>
                  <w:color w:val="0000EE"/>
                  <w:w w:val="96"/>
                </w:rPr>
                <w:t xml:space="preserve"> S</w:t>
              </w:r>
              <w:r>
                <w:rPr>
                  <w:rFonts w:ascii="Arial" w:cs="Arial" w:eastAsia="Arial" w:hAnsi="Arial"/>
                  <w:sz w:val="15"/>
                  <w:szCs w:val="15"/>
                  <w:color w:val="0000EE"/>
                  <w:w w:val="96"/>
                </w:rPr>
                <w:t>ECURITYHOLDERS</w:t>
              </w:r>
            </w:hyperlink>
          </w:p>
        </w:tc>
        <w:tc>
          <w:tcPr>
            <w:tcW w:w="2720" w:type="dxa"/>
            <w:vAlign w:val="bottom"/>
            <w:gridSpan w:val="9"/>
          </w:tcPr>
          <w:p>
            <w:pPr>
              <w:spacing w:after="0"/>
              <w:rPr>
                <w:sz w:val="17"/>
                <w:szCs w:val="17"/>
                <w:color w:val="auto"/>
              </w:rPr>
            </w:pPr>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3580" w:type="dxa"/>
            <w:vAlign w:val="bottom"/>
            <w:gridSpan w:val="13"/>
          </w:tcPr>
          <w:p>
            <w:pPr>
              <w:spacing w:after="0"/>
              <w:rPr>
                <w:sz w:val="17"/>
                <w:szCs w:val="17"/>
                <w:color w:val="auto"/>
              </w:rPr>
            </w:pPr>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6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41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6341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380" w:firstLine="443"/>
        <w:spacing w:after="0" w:line="279" w:lineRule="auto"/>
        <w:rPr>
          <w:sz w:val="20"/>
          <w:szCs w:val="20"/>
          <w:color w:val="auto"/>
        </w:rPr>
      </w:pPr>
      <w:r>
        <w:rPr>
          <w:rFonts w:ascii="Arial" w:cs="Arial" w:eastAsia="Arial" w:hAnsi="Arial"/>
          <w:sz w:val="17"/>
          <w:szCs w:val="17"/>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the documents incorporated by reference, in their entirety before making an investment decision.</w:t>
      </w:r>
    </w:p>
    <w:p>
      <w:pPr>
        <w:spacing w:after="0" w:line="171" w:lineRule="exact"/>
        <w:rPr>
          <w:sz w:val="20"/>
          <w:szCs w:val="20"/>
          <w:color w:val="auto"/>
        </w:rPr>
      </w:pPr>
    </w:p>
    <w:p>
      <w:pPr>
        <w:ind w:left="200" w:right="920" w:firstLine="443"/>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Our telephone number at that address is</w:t>
      </w:r>
    </w:p>
    <w:p>
      <w:pPr>
        <w:spacing w:after="0" w:line="46" w:lineRule="exact"/>
        <w:rPr>
          <w:sz w:val="20"/>
          <w:szCs w:val="20"/>
          <w:color w:val="auto"/>
        </w:rPr>
      </w:pPr>
    </w:p>
    <w:p>
      <w:pPr>
        <w:ind w:left="200" w:hanging="3"/>
        <w:spacing w:after="0" w:line="254"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512-6200. Our website address is 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wholly-owned subsidiary of Waste Management, Inc. WM Holdings is a holding company.</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i w:val="1"/>
          <w:iCs w:val="1"/>
          <w:color w:val="auto"/>
        </w:rPr>
        <w:t xml:space="preserve">Concurrent Tender Offer. </w:t>
      </w:r>
      <w:r>
        <w:rPr>
          <w:rFonts w:ascii="Arial" w:cs="Arial" w:eastAsia="Arial" w:hAnsi="Arial"/>
          <w:sz w:val="16"/>
          <w:szCs w:val="16"/>
          <w:color w:val="auto"/>
        </w:rPr>
        <w:t>Concurrently with this notes offering, we are conducting a cash tender offer, referred to herein as the “Tender Offer,”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or all of our 7.10% Notes due 2026 (issued by WM Holdings), 7.00% Senior Notes due 2028, 7.375% Senior Notes due 2029, 7.75% Senior Notes due 2032 and 6.125% Senior Notes due 2039. We refer to these notes collectively as the “Tender Notes.” The Tender Offer is scheduled to expire at 5:00 p.m., New York City Time, on February 24, 2015, subject to our right to extend the Tender Offer. As of February 17, 2015, the aggregate amount outstanding of the Tender Notes is $2,345,110,000. The Tender Offer is being made pursuant to an Offer to Purchase dated as of February 18, 2015 issued in connection with the Tender Offer. This prospectus supplement is not an offer to purchase any of the Tender Notes.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closing of the Tender Offer is conditioned on, among other things, the completion of this offering on terms and conditions satisfactory to us; however, this offering is not conditioned on the closing of the Tender Offer. We are permitted, among other things, to amend or terminate the Tender Offer, and there is no assurance that the Tender Offer will be consummated in accordance with its terms, or at all. Credit Suisse (USA) LLC, Deutsche Bank Securities Inc., Goldman, Sachs &amp; Co. and J.P. Morgan Securities LLC are the dealer managers for the Tender Offer. Please read “Use of Proceeds” and “Underwriting” in this prospectus supplement.</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84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Redemption of Senior Notes</w:t>
      </w:r>
      <w:r>
        <w:rPr>
          <w:rFonts w:ascii="Arial" w:cs="Arial" w:eastAsia="Arial" w:hAnsi="Arial"/>
          <w:sz w:val="18"/>
          <w:szCs w:val="18"/>
          <w:color w:val="auto"/>
        </w:rPr>
        <w:t>. In December 2014, we decided to redeem $947 million of senior notes with a weighted average coupon rate of 7.0%,</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$350 million of 6.375% senior notes that were scheduled to mature in March 2015, $147 million of 7.125% senior notes that were scheduled to mature in December 2017 and $450 million of 7.375% senior notes that were scheduled to mature in March 2019. We repaid these notes and the related make-whole premium and accrued interest with available cash in January 2015.</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96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Issuer</w:t>
            </w:r>
          </w:p>
        </w:tc>
        <w:tc>
          <w:tcPr>
            <w:tcW w:w="4320" w:type="dxa"/>
            <w:vAlign w:val="bottom"/>
            <w:gridSpan w:val="3"/>
          </w:tcPr>
          <w:p>
            <w:pPr>
              <w:ind w:left="1320"/>
              <w:spacing w:after="0"/>
              <w:rPr>
                <w:sz w:val="20"/>
                <w:szCs w:val="20"/>
                <w:color w:val="auto"/>
              </w:rPr>
            </w:pPr>
            <w:r>
              <w:rPr>
                <w:rFonts w:ascii="Arial" w:cs="Arial" w:eastAsia="Arial" w:hAnsi="Arial"/>
                <w:sz w:val="18"/>
                <w:szCs w:val="18"/>
                <w:color w:val="auto"/>
              </w:rPr>
              <w:t>Waste Management, Inc.</w:t>
            </w:r>
          </w:p>
        </w:tc>
        <w:tc>
          <w:tcPr>
            <w:tcW w:w="3800" w:type="dxa"/>
            <w:vAlign w:val="bottom"/>
          </w:tcPr>
          <w:p>
            <w:pPr>
              <w:spacing w:after="0"/>
              <w:rPr>
                <w:sz w:val="20"/>
                <w:szCs w:val="20"/>
                <w:color w:val="auto"/>
              </w:rPr>
            </w:pPr>
          </w:p>
        </w:tc>
      </w:tr>
      <w:tr>
        <w:trPr>
          <w:trHeight w:val="473"/>
        </w:trPr>
        <w:tc>
          <w:tcPr>
            <w:tcW w:w="2880" w:type="dxa"/>
            <w:vAlign w:val="bottom"/>
          </w:tcPr>
          <w:p>
            <w:pPr>
              <w:spacing w:after="0"/>
              <w:rPr>
                <w:sz w:val="20"/>
                <w:szCs w:val="20"/>
                <w:color w:val="auto"/>
              </w:rPr>
            </w:pPr>
            <w:r>
              <w:rPr>
                <w:rFonts w:ascii="Arial" w:cs="Arial" w:eastAsia="Arial" w:hAnsi="Arial"/>
                <w:sz w:val="18"/>
                <w:szCs w:val="18"/>
                <w:color w:val="auto"/>
              </w:rPr>
              <w:t>Securities Offered</w:t>
            </w:r>
          </w:p>
        </w:tc>
        <w:tc>
          <w:tcPr>
            <w:tcW w:w="1720" w:type="dxa"/>
            <w:vAlign w:val="bottom"/>
          </w:tcPr>
          <w:p>
            <w:pPr>
              <w:ind w:left="1320"/>
              <w:spacing w:after="0"/>
              <w:rPr>
                <w:sz w:val="20"/>
                <w:szCs w:val="20"/>
                <w:color w:val="auto"/>
              </w:rPr>
            </w:pPr>
            <w:r>
              <w:rPr>
                <w:rFonts w:ascii="Arial" w:cs="Arial" w:eastAsia="Arial" w:hAnsi="Arial"/>
                <w:sz w:val="18"/>
                <w:szCs w:val="18"/>
                <w:color w:val="auto"/>
              </w:rPr>
              <w:t>$</w:t>
            </w:r>
          </w:p>
        </w:tc>
        <w:tc>
          <w:tcPr>
            <w:tcW w:w="6400" w:type="dxa"/>
            <w:vAlign w:val="bottom"/>
            <w:gridSpan w:val="3"/>
          </w:tcPr>
          <w:p>
            <w:pPr>
              <w:ind w:left="100"/>
              <w:spacing w:after="0"/>
              <w:rPr>
                <w:sz w:val="20"/>
                <w:szCs w:val="20"/>
                <w:color w:val="auto"/>
              </w:rPr>
            </w:pPr>
            <w:r>
              <w:rPr>
                <w:rFonts w:ascii="Arial" w:cs="Arial" w:eastAsia="Arial" w:hAnsi="Arial"/>
                <w:sz w:val="18"/>
                <w:szCs w:val="18"/>
                <w:color w:val="auto"/>
              </w:rPr>
              <w:t>million aggregate principal amount of notes, consisting of:</w:t>
            </w:r>
          </w:p>
        </w:tc>
      </w:tr>
      <w:tr>
        <w:trPr>
          <w:trHeight w:val="338"/>
        </w:trPr>
        <w:tc>
          <w:tcPr>
            <w:tcW w:w="2880" w:type="dxa"/>
            <w:vAlign w:val="bottom"/>
          </w:tcPr>
          <w:p>
            <w:pPr>
              <w:spacing w:after="0"/>
              <w:rPr>
                <w:sz w:val="24"/>
                <w:szCs w:val="24"/>
                <w:color w:val="auto"/>
              </w:rPr>
            </w:pPr>
          </w:p>
        </w:tc>
        <w:tc>
          <w:tcPr>
            <w:tcW w:w="1720" w:type="dxa"/>
            <w:vAlign w:val="bottom"/>
          </w:tcPr>
          <w:p>
            <w:pPr>
              <w:ind w:left="154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30"/>
              <w:spacing w:after="0"/>
              <w:rPr>
                <w:sz w:val="20"/>
                <w:szCs w:val="20"/>
                <w:color w:val="auto"/>
              </w:rPr>
            </w:pPr>
            <w:r>
              <w:rPr>
                <w:rFonts w:ascii="Arial" w:cs="Arial" w:eastAsia="Arial" w:hAnsi="Arial"/>
                <w:sz w:val="18"/>
                <w:szCs w:val="18"/>
                <w:color w:val="auto"/>
              </w:rPr>
              <w:t>aggregate principal amount of</w:t>
            </w:r>
          </w:p>
        </w:tc>
        <w:tc>
          <w:tcPr>
            <w:tcW w:w="3800" w:type="dxa"/>
            <w:vAlign w:val="bottom"/>
          </w:tcPr>
          <w:p>
            <w:pPr>
              <w:ind w:left="100"/>
              <w:spacing w:after="0"/>
              <w:rPr>
                <w:sz w:val="20"/>
                <w:szCs w:val="20"/>
                <w:color w:val="auto"/>
              </w:rPr>
            </w:pPr>
            <w:r>
              <w:rPr>
                <w:rFonts w:ascii="Arial" w:cs="Arial" w:eastAsia="Arial" w:hAnsi="Arial"/>
                <w:sz w:val="18"/>
                <w:szCs w:val="18"/>
                <w:color w:val="auto"/>
              </w:rPr>
              <w:t>% Senior Notes due 2025</w:t>
            </w:r>
          </w:p>
        </w:tc>
      </w:tr>
      <w:tr>
        <w:trPr>
          <w:trHeight w:val="324"/>
        </w:trPr>
        <w:tc>
          <w:tcPr>
            <w:tcW w:w="2880" w:type="dxa"/>
            <w:vAlign w:val="bottom"/>
          </w:tcPr>
          <w:p>
            <w:pPr>
              <w:spacing w:after="0"/>
              <w:rPr>
                <w:sz w:val="24"/>
                <w:szCs w:val="24"/>
                <w:color w:val="auto"/>
              </w:rPr>
            </w:pPr>
          </w:p>
        </w:tc>
        <w:tc>
          <w:tcPr>
            <w:tcW w:w="1720" w:type="dxa"/>
            <w:vAlign w:val="bottom"/>
          </w:tcPr>
          <w:p>
            <w:pPr>
              <w:ind w:left="154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30"/>
              <w:spacing w:after="0"/>
              <w:rPr>
                <w:sz w:val="20"/>
                <w:szCs w:val="20"/>
                <w:color w:val="auto"/>
              </w:rPr>
            </w:pPr>
            <w:r>
              <w:rPr>
                <w:rFonts w:ascii="Arial" w:cs="Arial" w:eastAsia="Arial" w:hAnsi="Arial"/>
                <w:sz w:val="18"/>
                <w:szCs w:val="18"/>
                <w:color w:val="auto"/>
              </w:rPr>
              <w:t>aggregate principal amount of</w:t>
            </w:r>
          </w:p>
        </w:tc>
        <w:tc>
          <w:tcPr>
            <w:tcW w:w="3800" w:type="dxa"/>
            <w:vAlign w:val="bottom"/>
          </w:tcPr>
          <w:p>
            <w:pPr>
              <w:ind w:left="100"/>
              <w:spacing w:after="0"/>
              <w:rPr>
                <w:sz w:val="20"/>
                <w:szCs w:val="20"/>
                <w:color w:val="auto"/>
              </w:rPr>
            </w:pPr>
            <w:r>
              <w:rPr>
                <w:rFonts w:ascii="Arial" w:cs="Arial" w:eastAsia="Arial" w:hAnsi="Arial"/>
                <w:sz w:val="18"/>
                <w:szCs w:val="18"/>
                <w:color w:val="auto"/>
              </w:rPr>
              <w:t>% Senior Notes due 2035</w:t>
            </w:r>
          </w:p>
        </w:tc>
      </w:tr>
      <w:tr>
        <w:trPr>
          <w:trHeight w:val="324"/>
        </w:trPr>
        <w:tc>
          <w:tcPr>
            <w:tcW w:w="2880" w:type="dxa"/>
            <w:vAlign w:val="bottom"/>
          </w:tcPr>
          <w:p>
            <w:pPr>
              <w:spacing w:after="0"/>
              <w:rPr>
                <w:sz w:val="24"/>
                <w:szCs w:val="24"/>
                <w:color w:val="auto"/>
              </w:rPr>
            </w:pPr>
          </w:p>
        </w:tc>
        <w:tc>
          <w:tcPr>
            <w:tcW w:w="1720" w:type="dxa"/>
            <w:vAlign w:val="bottom"/>
          </w:tcPr>
          <w:p>
            <w:pPr>
              <w:ind w:left="154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30"/>
              <w:spacing w:after="0"/>
              <w:rPr>
                <w:sz w:val="20"/>
                <w:szCs w:val="20"/>
                <w:color w:val="auto"/>
              </w:rPr>
            </w:pPr>
            <w:r>
              <w:rPr>
                <w:rFonts w:ascii="Arial" w:cs="Arial" w:eastAsia="Arial" w:hAnsi="Arial"/>
                <w:sz w:val="18"/>
                <w:szCs w:val="18"/>
                <w:color w:val="auto"/>
              </w:rPr>
              <w:t>aggregate principal amount of</w:t>
            </w:r>
          </w:p>
        </w:tc>
        <w:tc>
          <w:tcPr>
            <w:tcW w:w="3800" w:type="dxa"/>
            <w:vAlign w:val="bottom"/>
          </w:tcPr>
          <w:p>
            <w:pPr>
              <w:ind w:left="100"/>
              <w:spacing w:after="0"/>
              <w:rPr>
                <w:sz w:val="20"/>
                <w:szCs w:val="20"/>
                <w:color w:val="auto"/>
              </w:rPr>
            </w:pPr>
            <w:r>
              <w:rPr>
                <w:rFonts w:ascii="Arial" w:cs="Arial" w:eastAsia="Arial" w:hAnsi="Arial"/>
                <w:sz w:val="18"/>
                <w:szCs w:val="18"/>
                <w:color w:val="auto"/>
              </w:rPr>
              <w:t>% Senior Notes due 2045</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Subsidiary Guarantee</w:t>
            </w: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4"/>
              </w:rPr>
              <w:t>WM Holdings will fully and unconditionally guarantee, on a senior unsecured basis, the full</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89"/>
              </w:rPr>
              <w:t>and prompt payment of the principal and any premium and interest on the notes of each series,</w:t>
            </w:r>
          </w:p>
        </w:tc>
      </w:tr>
      <w:tr>
        <w:trPr>
          <w:trHeight w:val="230"/>
        </w:trPr>
        <w:tc>
          <w:tcPr>
            <w:tcW w:w="2880" w:type="dxa"/>
            <w:vAlign w:val="bottom"/>
          </w:tcPr>
          <w:p>
            <w:pPr>
              <w:spacing w:after="0"/>
              <w:rPr>
                <w:sz w:val="20"/>
                <w:szCs w:val="20"/>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rPr>
              <w:t>when and as they become due and payable, whether at maturity or otherwise.</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Maturity Date</w:t>
            </w:r>
          </w:p>
        </w:tc>
        <w:tc>
          <w:tcPr>
            <w:tcW w:w="2420" w:type="dxa"/>
            <w:vAlign w:val="bottom"/>
            <w:gridSpan w:val="2"/>
          </w:tcPr>
          <w:p>
            <w:pPr>
              <w:ind w:left="1320"/>
              <w:spacing w:after="0"/>
              <w:rPr>
                <w:sz w:val="20"/>
                <w:szCs w:val="20"/>
                <w:color w:val="auto"/>
              </w:rPr>
            </w:pPr>
            <w:r>
              <w:rPr>
                <w:rFonts w:ascii="Arial" w:cs="Arial" w:eastAsia="Arial" w:hAnsi="Arial"/>
                <w:sz w:val="18"/>
                <w:szCs w:val="18"/>
                <w:color w:val="auto"/>
                <w:w w:val="98"/>
              </w:rPr>
              <w:t>2025 Notes—</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 2025</w:t>
            </w:r>
          </w:p>
        </w:tc>
        <w:tc>
          <w:tcPr>
            <w:tcW w:w="3800" w:type="dxa"/>
            <w:vAlign w:val="bottom"/>
          </w:tcPr>
          <w:p>
            <w:pPr>
              <w:spacing w:after="0"/>
              <w:rPr>
                <w:sz w:val="24"/>
                <w:szCs w:val="24"/>
                <w:color w:val="auto"/>
              </w:rPr>
            </w:pPr>
          </w:p>
        </w:tc>
      </w:tr>
      <w:tr>
        <w:trPr>
          <w:trHeight w:val="446"/>
        </w:trPr>
        <w:tc>
          <w:tcPr>
            <w:tcW w:w="2880" w:type="dxa"/>
            <w:vAlign w:val="bottom"/>
          </w:tcPr>
          <w:p>
            <w:pPr>
              <w:spacing w:after="0"/>
              <w:rPr>
                <w:sz w:val="24"/>
                <w:szCs w:val="24"/>
                <w:color w:val="auto"/>
              </w:rPr>
            </w:pPr>
          </w:p>
        </w:tc>
        <w:tc>
          <w:tcPr>
            <w:tcW w:w="2420" w:type="dxa"/>
            <w:vAlign w:val="bottom"/>
            <w:gridSpan w:val="2"/>
          </w:tcPr>
          <w:p>
            <w:pPr>
              <w:ind w:left="1320"/>
              <w:spacing w:after="0"/>
              <w:rPr>
                <w:sz w:val="20"/>
                <w:szCs w:val="20"/>
                <w:color w:val="auto"/>
              </w:rPr>
            </w:pPr>
            <w:r>
              <w:rPr>
                <w:rFonts w:ascii="Arial" w:cs="Arial" w:eastAsia="Arial" w:hAnsi="Arial"/>
                <w:sz w:val="18"/>
                <w:szCs w:val="18"/>
                <w:color w:val="auto"/>
                <w:w w:val="98"/>
              </w:rPr>
              <w:t>2035 Notes—</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 2035</w:t>
            </w:r>
          </w:p>
        </w:tc>
        <w:tc>
          <w:tcPr>
            <w:tcW w:w="380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2420" w:type="dxa"/>
            <w:vAlign w:val="bottom"/>
            <w:gridSpan w:val="2"/>
          </w:tcPr>
          <w:p>
            <w:pPr>
              <w:ind w:left="1320"/>
              <w:spacing w:after="0"/>
              <w:rPr>
                <w:sz w:val="20"/>
                <w:szCs w:val="20"/>
                <w:color w:val="auto"/>
              </w:rPr>
            </w:pPr>
            <w:r>
              <w:rPr>
                <w:rFonts w:ascii="Arial" w:cs="Arial" w:eastAsia="Arial" w:hAnsi="Arial"/>
                <w:sz w:val="18"/>
                <w:szCs w:val="18"/>
                <w:color w:val="auto"/>
                <w:w w:val="98"/>
              </w:rPr>
              <w:t>2045 Notes—</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 2045</w:t>
            </w:r>
          </w:p>
        </w:tc>
        <w:tc>
          <w:tcPr>
            <w:tcW w:w="380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Interest Rate</w:t>
            </w:r>
          </w:p>
        </w:tc>
        <w:tc>
          <w:tcPr>
            <w:tcW w:w="2420" w:type="dxa"/>
            <w:vAlign w:val="bottom"/>
            <w:gridSpan w:val="2"/>
          </w:tcPr>
          <w:p>
            <w:pPr>
              <w:ind w:left="1320"/>
              <w:spacing w:after="0"/>
              <w:rPr>
                <w:sz w:val="20"/>
                <w:szCs w:val="20"/>
                <w:color w:val="auto"/>
              </w:rPr>
            </w:pPr>
            <w:r>
              <w:rPr>
                <w:rFonts w:ascii="Arial" w:cs="Arial" w:eastAsia="Arial" w:hAnsi="Arial"/>
                <w:sz w:val="18"/>
                <w:szCs w:val="18"/>
                <w:color w:val="auto"/>
                <w:w w:val="98"/>
              </w:rPr>
              <w:t>2025 Notes—</w:t>
            </w:r>
          </w:p>
        </w:tc>
        <w:tc>
          <w:tcPr>
            <w:tcW w:w="1900" w:type="dxa"/>
            <w:vAlign w:val="bottom"/>
          </w:tcPr>
          <w:p>
            <w:pPr>
              <w:jc w:val="right"/>
              <w:ind w:right="950"/>
              <w:spacing w:after="0"/>
              <w:rPr>
                <w:sz w:val="20"/>
                <w:szCs w:val="20"/>
                <w:color w:val="auto"/>
              </w:rPr>
            </w:pPr>
            <w:r>
              <w:rPr>
                <w:rFonts w:ascii="Arial" w:cs="Arial" w:eastAsia="Arial" w:hAnsi="Arial"/>
                <w:sz w:val="18"/>
                <w:szCs w:val="18"/>
                <w:color w:val="auto"/>
                <w:w w:val="96"/>
              </w:rPr>
              <w:t>% per year</w:t>
            </w:r>
          </w:p>
        </w:tc>
        <w:tc>
          <w:tcPr>
            <w:tcW w:w="3800" w:type="dxa"/>
            <w:vAlign w:val="bottom"/>
          </w:tcPr>
          <w:p>
            <w:pPr>
              <w:spacing w:after="0"/>
              <w:rPr>
                <w:sz w:val="24"/>
                <w:szCs w:val="24"/>
                <w:color w:val="auto"/>
              </w:rPr>
            </w:pPr>
          </w:p>
        </w:tc>
      </w:tr>
      <w:tr>
        <w:trPr>
          <w:trHeight w:val="446"/>
        </w:trPr>
        <w:tc>
          <w:tcPr>
            <w:tcW w:w="2880" w:type="dxa"/>
            <w:vAlign w:val="bottom"/>
          </w:tcPr>
          <w:p>
            <w:pPr>
              <w:spacing w:after="0"/>
              <w:rPr>
                <w:sz w:val="24"/>
                <w:szCs w:val="24"/>
                <w:color w:val="auto"/>
              </w:rPr>
            </w:pPr>
          </w:p>
        </w:tc>
        <w:tc>
          <w:tcPr>
            <w:tcW w:w="2420" w:type="dxa"/>
            <w:vAlign w:val="bottom"/>
            <w:gridSpan w:val="2"/>
          </w:tcPr>
          <w:p>
            <w:pPr>
              <w:ind w:left="1320"/>
              <w:spacing w:after="0"/>
              <w:rPr>
                <w:sz w:val="20"/>
                <w:szCs w:val="20"/>
                <w:color w:val="auto"/>
              </w:rPr>
            </w:pPr>
            <w:r>
              <w:rPr>
                <w:rFonts w:ascii="Arial" w:cs="Arial" w:eastAsia="Arial" w:hAnsi="Arial"/>
                <w:sz w:val="18"/>
                <w:szCs w:val="18"/>
                <w:color w:val="auto"/>
                <w:w w:val="98"/>
              </w:rPr>
              <w:t>2035 Notes—</w:t>
            </w:r>
          </w:p>
        </w:tc>
        <w:tc>
          <w:tcPr>
            <w:tcW w:w="1900" w:type="dxa"/>
            <w:vAlign w:val="bottom"/>
          </w:tcPr>
          <w:p>
            <w:pPr>
              <w:jc w:val="right"/>
              <w:ind w:right="950"/>
              <w:spacing w:after="0"/>
              <w:rPr>
                <w:sz w:val="20"/>
                <w:szCs w:val="20"/>
                <w:color w:val="auto"/>
              </w:rPr>
            </w:pPr>
            <w:r>
              <w:rPr>
                <w:rFonts w:ascii="Arial" w:cs="Arial" w:eastAsia="Arial" w:hAnsi="Arial"/>
                <w:sz w:val="18"/>
                <w:szCs w:val="18"/>
                <w:color w:val="auto"/>
                <w:w w:val="96"/>
              </w:rPr>
              <w:t>% per year</w:t>
            </w:r>
          </w:p>
        </w:tc>
        <w:tc>
          <w:tcPr>
            <w:tcW w:w="380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2420" w:type="dxa"/>
            <w:vAlign w:val="bottom"/>
            <w:gridSpan w:val="2"/>
          </w:tcPr>
          <w:p>
            <w:pPr>
              <w:ind w:left="1320"/>
              <w:spacing w:after="0"/>
              <w:rPr>
                <w:sz w:val="20"/>
                <w:szCs w:val="20"/>
                <w:color w:val="auto"/>
              </w:rPr>
            </w:pPr>
            <w:r>
              <w:rPr>
                <w:rFonts w:ascii="Arial" w:cs="Arial" w:eastAsia="Arial" w:hAnsi="Arial"/>
                <w:sz w:val="18"/>
                <w:szCs w:val="18"/>
                <w:color w:val="auto"/>
                <w:w w:val="98"/>
              </w:rPr>
              <w:t>2045 Notes—</w:t>
            </w:r>
          </w:p>
        </w:tc>
        <w:tc>
          <w:tcPr>
            <w:tcW w:w="1900" w:type="dxa"/>
            <w:vAlign w:val="bottom"/>
          </w:tcPr>
          <w:p>
            <w:pPr>
              <w:jc w:val="right"/>
              <w:ind w:right="950"/>
              <w:spacing w:after="0"/>
              <w:rPr>
                <w:sz w:val="20"/>
                <w:szCs w:val="20"/>
                <w:color w:val="auto"/>
              </w:rPr>
            </w:pPr>
            <w:r>
              <w:rPr>
                <w:rFonts w:ascii="Arial" w:cs="Arial" w:eastAsia="Arial" w:hAnsi="Arial"/>
                <w:sz w:val="18"/>
                <w:szCs w:val="18"/>
                <w:color w:val="auto"/>
                <w:w w:val="96"/>
              </w:rPr>
              <w:t>% per year</w:t>
            </w:r>
          </w:p>
        </w:tc>
        <w:tc>
          <w:tcPr>
            <w:tcW w:w="3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 each year, beginning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2015.</w:t>
      </w:r>
    </w:p>
    <w:p>
      <w:pPr>
        <w:spacing w:after="0" w:line="200" w:lineRule="exact"/>
        <w:rPr>
          <w:sz w:val="20"/>
          <w:szCs w:val="20"/>
          <w:color w:val="auto"/>
        </w:rPr>
      </w:pPr>
    </w:p>
    <w:p>
      <w:pPr>
        <w:sectPr>
          <w:pgSz w:w="11900" w:h="16838" w:orient="portrait"/>
          <w:cols w:equalWidth="0" w:num="4">
            <w:col w:w="4220" w:space="720"/>
            <w:col w:w="260" w:space="580"/>
            <w:col w:w="1900" w:space="720"/>
            <w:col w:w="2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elect to redeem and repay any or all of the notes at any time in minimum principal amounts of $2,000 or any integral multiple of $1,000 in excess thereof. If we elect to redeem and repay the 2025 notes before the date that is three months prior to the maturity date, we will pay an amount equal to the greater of 100% of the principal amount of the notes redeemed and</w:t>
      </w:r>
    </w:p>
    <w:p>
      <w:pPr>
        <w:spacing w:after="0" w:line="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00"/>
        <w:spacing w:after="0" w:line="271" w:lineRule="auto"/>
        <w:rPr>
          <w:sz w:val="20"/>
          <w:szCs w:val="20"/>
          <w:color w:val="auto"/>
        </w:rPr>
      </w:pPr>
      <w:r>
        <w:rPr>
          <w:rFonts w:ascii="Arial" w:cs="Arial" w:eastAsia="Arial" w:hAnsi="Arial"/>
          <w:sz w:val="17"/>
          <w:szCs w:val="17"/>
          <w:color w:val="auto"/>
        </w:rPr>
        <w:t>repaid, or the sum of the present values of the remaining scheduled payments of principal and interest on the notes to be redeemed and repaid that would be due if the notes matured three months prior to the maturity date. If we elect to redeem and repay the 2025 notes on or after the date that is three months prior to the maturity date, we will pay an amount equal to 100% of the principal amount of the notes redeemed and repaid.</w:t>
      </w:r>
    </w:p>
    <w:p>
      <w:pPr>
        <w:spacing w:after="0" w:line="206" w:lineRule="exact"/>
        <w:rPr>
          <w:sz w:val="20"/>
          <w:szCs w:val="20"/>
          <w:color w:val="auto"/>
        </w:rPr>
      </w:pPr>
    </w:p>
    <w:p>
      <w:pPr>
        <w:jc w:val="both"/>
        <w:ind w:left="4400" w:right="320"/>
        <w:spacing w:after="0" w:line="259" w:lineRule="auto"/>
        <w:rPr>
          <w:sz w:val="20"/>
          <w:szCs w:val="20"/>
          <w:color w:val="auto"/>
        </w:rPr>
      </w:pPr>
      <w:r>
        <w:rPr>
          <w:rFonts w:ascii="Arial" w:cs="Arial" w:eastAsia="Arial" w:hAnsi="Arial"/>
          <w:sz w:val="18"/>
          <w:szCs w:val="18"/>
          <w:color w:val="auto"/>
        </w:rPr>
        <w:t>If we elect to redeem and repay the 2035 notes or the 2045 notes before the date that is six months prior to the applicable maturity date, we will pay an amount equal to the greater of 100% of the principal amount of the notes redeemed and repaid, or the sum of the present values of the</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gridSpan w:val="2"/>
          </w:tcPr>
          <w:p>
            <w:pPr>
              <w:ind w:left="1220"/>
              <w:spacing w:after="0"/>
              <w:rPr>
                <w:sz w:val="20"/>
                <w:szCs w:val="20"/>
                <w:color w:val="auto"/>
              </w:rPr>
            </w:pPr>
            <w:r>
              <w:rPr>
                <w:rFonts w:ascii="Arial" w:cs="Arial" w:eastAsia="Arial" w:hAnsi="Arial"/>
                <w:sz w:val="18"/>
                <w:szCs w:val="18"/>
                <w:color w:val="auto"/>
                <w:w w:val="91"/>
              </w:rPr>
              <w:t>remaining scheduled payments of principal and interest on the notes to be redeemed and repaid</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5"/>
              </w:rPr>
              <w:t>that would be due if the notes matured six months prior to the applicable maturity date. If we</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8"/>
              </w:rPr>
              <w:t>elect to redeem and repay the 2035 notes or the 2045 notes on or after the date that is six</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9"/>
              </w:rPr>
              <w:t>months prior to the applicable maturity date, we will pay an amount equal to 100% of the</w:t>
            </w:r>
          </w:p>
        </w:tc>
      </w:tr>
      <w:tr>
        <w:trPr>
          <w:trHeight w:val="230"/>
        </w:trPr>
        <w:tc>
          <w:tcPr>
            <w:tcW w:w="3180" w:type="dxa"/>
            <w:vAlign w:val="bottom"/>
            <w:tcBorders>
              <w:left w:val="single" w:sz="8" w:color="auto"/>
            </w:tcBorders>
          </w:tcPr>
          <w:p>
            <w:pPr>
              <w:spacing w:after="0"/>
              <w:rPr>
                <w:sz w:val="20"/>
                <w:szCs w:val="20"/>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rPr>
              <w:t>principal amount of the notes redeemed and repaid.</w:t>
            </w:r>
          </w:p>
        </w:tc>
        <w:tc>
          <w:tcPr>
            <w:tcW w:w="2080" w:type="dxa"/>
            <w:vAlign w:val="bottom"/>
            <w:tcBorders>
              <w:right w:val="single" w:sz="8" w:color="auto"/>
            </w:tcBorders>
          </w:tcPr>
          <w:p>
            <w:pPr>
              <w:spacing w:after="0"/>
              <w:rPr>
                <w:sz w:val="20"/>
                <w:szCs w:val="20"/>
                <w:color w:val="auto"/>
              </w:rPr>
            </w:pPr>
          </w:p>
        </w:tc>
      </w:tr>
      <w:tr>
        <w:trPr>
          <w:trHeight w:val="310"/>
        </w:trPr>
        <w:tc>
          <w:tcPr>
            <w:tcW w:w="318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4"/>
              </w:rPr>
              <w:t>We will pay accrued interest on the notes redeemed to the redemption date. See “Description</w:t>
            </w:r>
          </w:p>
        </w:tc>
      </w:tr>
      <w:tr>
        <w:trPr>
          <w:trHeight w:val="230"/>
        </w:trPr>
        <w:tc>
          <w:tcPr>
            <w:tcW w:w="3180" w:type="dxa"/>
            <w:vAlign w:val="bottom"/>
            <w:tcBorders>
              <w:left w:val="single" w:sz="8" w:color="auto"/>
            </w:tcBorders>
          </w:tcPr>
          <w:p>
            <w:pPr>
              <w:spacing w:after="0"/>
              <w:rPr>
                <w:sz w:val="20"/>
                <w:szCs w:val="20"/>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w w:val="98"/>
              </w:rPr>
              <w:t>of Notes—Optional redemption” in this prospectus supplement.</w:t>
            </w:r>
          </w:p>
        </w:tc>
        <w:tc>
          <w:tcPr>
            <w:tcW w:w="2080" w:type="dxa"/>
            <w:vAlign w:val="bottom"/>
            <w:tcBorders>
              <w:right w:val="single" w:sz="8" w:color="auto"/>
            </w:tcBorders>
          </w:tcPr>
          <w:p>
            <w:pPr>
              <w:spacing w:after="0"/>
              <w:rPr>
                <w:sz w:val="20"/>
                <w:szCs w:val="20"/>
                <w:color w:val="auto"/>
              </w:rPr>
            </w:pP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4"/>
              </w:rPr>
              <w:t>If a change of control triggering event occurs, holders of the notes of each series may require</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5"/>
              </w:rPr>
              <w:t>us to purchase all or a portion of such holders’ notes at a price equal to 101% of the principal</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7"/>
              </w:rPr>
              <w:t>amount, plus accrued interest, if any, to the date of purchase. See “Description of Notes—</w:t>
            </w:r>
          </w:p>
        </w:tc>
      </w:tr>
      <w:tr>
        <w:trPr>
          <w:trHeight w:val="230"/>
        </w:trPr>
        <w:tc>
          <w:tcPr>
            <w:tcW w:w="3180" w:type="dxa"/>
            <w:vAlign w:val="bottom"/>
            <w:tcBorders>
              <w:left w:val="single" w:sz="8" w:color="auto"/>
            </w:tcBorders>
          </w:tcPr>
          <w:p>
            <w:pPr>
              <w:spacing w:after="0"/>
              <w:rPr>
                <w:sz w:val="20"/>
                <w:szCs w:val="20"/>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rPr>
              <w:t>Change of control offer” in this prospectus supplement.</w:t>
            </w:r>
          </w:p>
        </w:tc>
        <w:tc>
          <w:tcPr>
            <w:tcW w:w="2080" w:type="dxa"/>
            <w:vAlign w:val="bottom"/>
            <w:tcBorders>
              <w:right w:val="single" w:sz="8" w:color="auto"/>
            </w:tcBorders>
          </w:tcPr>
          <w:p>
            <w:pPr>
              <w:spacing w:after="0"/>
              <w:rPr>
                <w:sz w:val="20"/>
                <w:szCs w:val="20"/>
                <w:color w:val="auto"/>
              </w:rPr>
            </w:pP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2"/>
              </w:rPr>
              <w:t>The notes and the guarantees will constitute the senior unsecured debt of Waste Management,</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5"/>
              </w:rPr>
              <w:t>Inc. and WM Holdings, respectively, and will rank equally with all of our and its other existing</w:t>
            </w:r>
          </w:p>
        </w:tc>
      </w:tr>
      <w:tr>
        <w:trPr>
          <w:trHeight w:val="230"/>
        </w:trPr>
        <w:tc>
          <w:tcPr>
            <w:tcW w:w="3180" w:type="dxa"/>
            <w:vAlign w:val="bottom"/>
            <w:tcBorders>
              <w:left w:val="single" w:sz="8" w:color="auto"/>
            </w:tcBorders>
          </w:tcPr>
          <w:p>
            <w:pPr>
              <w:spacing w:after="0"/>
              <w:rPr>
                <w:sz w:val="20"/>
                <w:szCs w:val="20"/>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rPr>
              <w:t>and future senior indebtedness from time to time outstanding.</w:t>
            </w:r>
          </w:p>
        </w:tc>
        <w:tc>
          <w:tcPr>
            <w:tcW w:w="2080" w:type="dxa"/>
            <w:vAlign w:val="bottom"/>
            <w:tcBorders>
              <w:right w:val="single" w:sz="8" w:color="auto"/>
            </w:tcBorders>
          </w:tcPr>
          <w:p>
            <w:pPr>
              <w:spacing w:after="0"/>
              <w:rPr>
                <w:sz w:val="20"/>
                <w:szCs w:val="20"/>
                <w:color w:val="auto"/>
              </w:rPr>
            </w:pP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Covenants</w:t>
            </w: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rPr>
              <w:t>We will issue the notes under an indenture containing covenants for your benefit. These</w:t>
            </w:r>
          </w:p>
        </w:tc>
      </w:tr>
      <w:tr>
        <w:trPr>
          <w:trHeight w:val="230"/>
        </w:trPr>
        <w:tc>
          <w:tcPr>
            <w:tcW w:w="3180" w:type="dxa"/>
            <w:vAlign w:val="bottom"/>
            <w:tcBorders>
              <w:left w:val="single" w:sz="8" w:color="auto"/>
            </w:tcBorders>
          </w:tcPr>
          <w:p>
            <w:pPr>
              <w:spacing w:after="0"/>
              <w:rPr>
                <w:sz w:val="20"/>
                <w:szCs w:val="20"/>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rPr>
              <w:t>covenants restrict our ability, with certain exceptions, to:</w:t>
            </w:r>
          </w:p>
        </w:tc>
        <w:tc>
          <w:tcPr>
            <w:tcW w:w="2080" w:type="dxa"/>
            <w:vAlign w:val="bottom"/>
            <w:tcBorders>
              <w:right w:val="single" w:sz="8" w:color="auto"/>
            </w:tcBorders>
          </w:tcPr>
          <w:p>
            <w:pPr>
              <w:spacing w:after="0"/>
              <w:rPr>
                <w:sz w:val="20"/>
                <w:szCs w:val="20"/>
                <w:color w:val="auto"/>
              </w:rPr>
            </w:pPr>
          </w:p>
        </w:tc>
      </w:tr>
      <w:tr>
        <w:trPr>
          <w:trHeight w:val="338"/>
        </w:trPr>
        <w:tc>
          <w:tcPr>
            <w:tcW w:w="3180" w:type="dxa"/>
            <w:vAlign w:val="bottom"/>
            <w:tcBorders>
              <w:left w:val="single" w:sz="8" w:color="auto"/>
            </w:tcBorders>
          </w:tcPr>
          <w:p>
            <w:pPr>
              <w:spacing w:after="0"/>
              <w:rPr>
                <w:sz w:val="24"/>
                <w:szCs w:val="24"/>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rPr>
              <w:t>•  create, incur or assume debt secured by liens;</w:t>
            </w:r>
          </w:p>
        </w:tc>
        <w:tc>
          <w:tcPr>
            <w:tcW w:w="2080" w:type="dxa"/>
            <w:vAlign w:val="bottom"/>
            <w:tcBorders>
              <w:right w:val="single" w:sz="8" w:color="auto"/>
            </w:tcBorders>
          </w:tcPr>
          <w:p>
            <w:pPr>
              <w:spacing w:after="0"/>
              <w:rPr>
                <w:sz w:val="24"/>
                <w:szCs w:val="24"/>
                <w:color w:val="auto"/>
              </w:rPr>
            </w:pPr>
          </w:p>
        </w:tc>
      </w:tr>
      <w:tr>
        <w:trPr>
          <w:trHeight w:val="338"/>
        </w:trPr>
        <w:tc>
          <w:tcPr>
            <w:tcW w:w="3180" w:type="dxa"/>
            <w:vAlign w:val="bottom"/>
            <w:tcBorders>
              <w:left w:val="single" w:sz="8" w:color="auto"/>
            </w:tcBorders>
          </w:tcPr>
          <w:p>
            <w:pPr>
              <w:spacing w:after="0"/>
              <w:rPr>
                <w:sz w:val="24"/>
                <w:szCs w:val="24"/>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rPr>
              <w:t>•  engage in sale and leaseback transactions; and</w:t>
            </w:r>
          </w:p>
        </w:tc>
        <w:tc>
          <w:tcPr>
            <w:tcW w:w="2080" w:type="dxa"/>
            <w:vAlign w:val="bottom"/>
            <w:tcBorders>
              <w:right w:val="single" w:sz="8" w:color="auto"/>
            </w:tcBorders>
          </w:tcPr>
          <w:p>
            <w:pPr>
              <w:spacing w:after="0"/>
              <w:rPr>
                <w:sz w:val="24"/>
                <w:szCs w:val="24"/>
                <w:color w:val="auto"/>
              </w:rPr>
            </w:pPr>
          </w:p>
        </w:tc>
      </w:tr>
      <w:tr>
        <w:trPr>
          <w:trHeight w:val="338"/>
        </w:trPr>
        <w:tc>
          <w:tcPr>
            <w:tcW w:w="3180" w:type="dxa"/>
            <w:vAlign w:val="bottom"/>
            <w:tcBorders>
              <w:left w:val="single" w:sz="8" w:color="auto"/>
            </w:tcBorders>
          </w:tcPr>
          <w:p>
            <w:pPr>
              <w:spacing w:after="0"/>
              <w:rPr>
                <w:sz w:val="24"/>
                <w:szCs w:val="24"/>
                <w:color w:val="auto"/>
              </w:rPr>
            </w:pPr>
          </w:p>
        </w:tc>
        <w:tc>
          <w:tcPr>
            <w:tcW w:w="6200" w:type="dxa"/>
            <w:vAlign w:val="bottom"/>
          </w:tcPr>
          <w:p>
            <w:pPr>
              <w:ind w:left="1220"/>
              <w:spacing w:after="0"/>
              <w:rPr>
                <w:sz w:val="20"/>
                <w:szCs w:val="20"/>
                <w:color w:val="auto"/>
              </w:rPr>
            </w:pPr>
            <w:r>
              <w:rPr>
                <w:rFonts w:ascii="Arial" w:cs="Arial" w:eastAsia="Arial" w:hAnsi="Arial"/>
                <w:sz w:val="18"/>
                <w:szCs w:val="18"/>
                <w:color w:val="auto"/>
                <w:w w:val="92"/>
              </w:rPr>
              <w:t>•  merge, consolidate or transfer all or substantially all of our assets</w:t>
            </w:r>
          </w:p>
        </w:tc>
        <w:tc>
          <w:tcPr>
            <w:tcW w:w="2080" w:type="dxa"/>
            <w:vAlign w:val="bottom"/>
            <w:tcBorders>
              <w:right w:val="single" w:sz="8" w:color="auto"/>
            </w:tcBorders>
          </w:tcPr>
          <w:p>
            <w:pPr>
              <w:spacing w:after="0"/>
              <w:rPr>
                <w:sz w:val="24"/>
                <w:szCs w:val="24"/>
                <w:color w:val="auto"/>
              </w:rPr>
            </w:pP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00" w:type="dxa"/>
            <w:vAlign w:val="bottom"/>
          </w:tcPr>
          <w:p>
            <w:pPr>
              <w:ind w:left="1220"/>
              <w:spacing w:after="0"/>
              <w:rPr>
                <w:sz w:val="20"/>
                <w:szCs w:val="20"/>
                <w:color w:val="auto"/>
              </w:rPr>
            </w:pPr>
            <w:r>
              <w:rPr>
                <w:rFonts w:ascii="Arial" w:cs="Arial" w:eastAsia="Arial" w:hAnsi="Arial"/>
                <w:sz w:val="18"/>
                <w:szCs w:val="18"/>
                <w:color w:val="auto"/>
                <w:w w:val="95"/>
              </w:rPr>
              <w:t>We expect the net proceeds from the offering of the notes to be $</w:t>
            </w:r>
          </w:p>
        </w:tc>
        <w:tc>
          <w:tcPr>
            <w:tcW w:w="2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billion, after deducting</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3"/>
              </w:rPr>
              <w:t>the underwriting discount and estimated expenses of the offering that we will pay. We intend to</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2"/>
              </w:rPr>
              <w:t>use the proceeds from the offering of the 2025 notes for general corporate purposes. We intend</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4"/>
              </w:rPr>
              <w:t>to use the proceeds from the offering of the 2035 notes and the 2045 notes to pay a portion of</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4"/>
              </w:rPr>
              <w:t>the purchase price and accrued interest in the Tender Offer, and any remaining proceeds will</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2"/>
              </w:rPr>
              <w:t>be used for general corporate purposes. See “Use of Proceeds” in this prospectus supplement.</w:t>
            </w:r>
          </w:p>
        </w:tc>
      </w:tr>
      <w:tr>
        <w:trPr>
          <w:trHeight w:val="459"/>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6200" w:type="dxa"/>
            <w:vAlign w:val="bottom"/>
          </w:tcPr>
          <w:p>
            <w:pPr>
              <w:ind w:left="1220"/>
              <w:spacing w:after="0"/>
              <w:rPr>
                <w:sz w:val="20"/>
                <w:szCs w:val="20"/>
                <w:color w:val="auto"/>
              </w:rPr>
            </w:pPr>
            <w:r>
              <w:rPr>
                <w:rFonts w:ascii="Arial" w:cs="Arial" w:eastAsia="Arial" w:hAnsi="Arial"/>
                <w:sz w:val="18"/>
                <w:szCs w:val="18"/>
                <w:color w:val="auto"/>
              </w:rPr>
              <w:t>The Bank of New York Mellon Trust Company, N.A.</w:t>
            </w:r>
          </w:p>
        </w:tc>
        <w:tc>
          <w:tcPr>
            <w:tcW w:w="2080" w:type="dxa"/>
            <w:vAlign w:val="bottom"/>
            <w:tcBorders>
              <w:right w:val="single" w:sz="8" w:color="auto"/>
            </w:tcBorders>
          </w:tcPr>
          <w:p>
            <w:pPr>
              <w:spacing w:after="0"/>
              <w:rPr>
                <w:sz w:val="24"/>
                <w:szCs w:val="24"/>
                <w:color w:val="auto"/>
              </w:rPr>
            </w:pPr>
          </w:p>
        </w:tc>
      </w:tr>
      <w:tr>
        <w:trPr>
          <w:trHeight w:val="458"/>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Issues</w:t>
            </w: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5"/>
              </w:rPr>
              <w:t>We may create and issue additional notes of each series ranking equally and ratably with the</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rPr>
              <w:t>notes of such series offered by this prospectus supplement in all respects, so that such</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8"/>
              </w:rPr>
              <w:t>additional notes will be consolidated and form a single series with the notes of such series</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1"/>
              </w:rPr>
              <w:t>offered by this prospectus supplement and will have the same terms, as to status, redemption or</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w w:val="98"/>
              </w:rPr>
              <w:t>otherwise except for the issue date, the initial interest payment date, if applicable, and the</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rPr>
              <w:t>payment of interest accruing prior to the issue date of such additional notes.</w:t>
            </w:r>
          </w:p>
        </w:tc>
      </w:tr>
      <w:tr>
        <w:trPr>
          <w:trHeight w:val="159"/>
        </w:trPr>
        <w:tc>
          <w:tcPr>
            <w:tcW w:w="3180" w:type="dxa"/>
            <w:vAlign w:val="bottom"/>
            <w:tcBorders>
              <w:left w:val="single" w:sz="8" w:color="auto"/>
              <w:bottom w:val="single" w:sz="8" w:color="auto"/>
            </w:tcBorders>
          </w:tcPr>
          <w:p>
            <w:pPr>
              <w:spacing w:after="0"/>
              <w:rPr>
                <w:sz w:val="13"/>
                <w:szCs w:val="13"/>
                <w:color w:val="auto"/>
              </w:rPr>
            </w:pPr>
          </w:p>
        </w:tc>
        <w:tc>
          <w:tcPr>
            <w:tcW w:w="620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r>
      <w:tr>
        <w:trPr>
          <w:trHeight w:val="361"/>
        </w:trPr>
        <w:tc>
          <w:tcPr>
            <w:tcW w:w="3180" w:type="dxa"/>
            <w:vAlign w:val="bottom"/>
          </w:tcPr>
          <w:p>
            <w:pPr>
              <w:spacing w:after="0"/>
              <w:rPr>
                <w:sz w:val="24"/>
                <w:szCs w:val="24"/>
                <w:color w:val="auto"/>
              </w:rPr>
            </w:pPr>
          </w:p>
        </w:tc>
        <w:tc>
          <w:tcPr>
            <w:tcW w:w="6200" w:type="dxa"/>
            <w:vAlign w:val="bottom"/>
          </w:tcPr>
          <w:p>
            <w:pPr>
              <w:ind w:left="2400"/>
              <w:spacing w:after="0"/>
              <w:rPr>
                <w:sz w:val="20"/>
                <w:szCs w:val="20"/>
                <w:color w:val="auto"/>
              </w:rPr>
            </w:pPr>
            <w:r>
              <w:rPr>
                <w:rFonts w:ascii="Arial" w:cs="Arial" w:eastAsia="Arial" w:hAnsi="Arial"/>
                <w:sz w:val="18"/>
                <w:szCs w:val="18"/>
                <w:color w:val="auto"/>
              </w:rPr>
              <w:t>S-4</w:t>
            </w:r>
          </w:p>
        </w:tc>
        <w:tc>
          <w:tcPr>
            <w:tcW w:w="20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240" w:firstLine="443"/>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jc w:val="center"/>
              <w:ind w:right="180"/>
              <w:spacing w:after="0" w:line="128"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 and losses in equity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1,805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1,350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1,557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1,656</w:t>
            </w:r>
          </w:p>
        </w:tc>
        <w:tc>
          <w:tcPr>
            <w:tcW w:w="0" w:type="dxa"/>
            <w:vAlign w:val="bottom"/>
          </w:tcPr>
          <w:p>
            <w:pPr>
              <w:spacing w:after="0"/>
              <w:rPr>
                <w:sz w:val="1"/>
                <w:szCs w:val="1"/>
                <w:color w:val="auto"/>
              </w:rPr>
            </w:pPr>
          </w:p>
        </w:tc>
      </w:tr>
      <w:tr>
        <w:trPr>
          <w:trHeight w:val="209"/>
        </w:trPr>
        <w:tc>
          <w:tcPr>
            <w:tcW w:w="680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680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2,083</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488</w:t>
            </w:r>
          </w:p>
        </w:tc>
        <w:tc>
          <w:tcPr>
            <w:tcW w:w="400" w:type="dxa"/>
            <w:vAlign w:val="bottom"/>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481</w:t>
            </w:r>
          </w:p>
        </w:tc>
        <w:tc>
          <w:tcPr>
            <w:tcW w:w="400" w:type="dxa"/>
            <w:vAlign w:val="bottom"/>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Arial" w:cs="Arial" w:eastAsia="Arial" w:hAnsi="Arial"/>
                <w:sz w:val="18"/>
                <w:szCs w:val="18"/>
                <w:color w:val="auto"/>
              </w:rPr>
              <w:t>Total fixed charges(a)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1.9x</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3.3x</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3.8x</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40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3.9x</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80" w:hanging="423"/>
        <w:spacing w:after="0" w:line="25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 w:lineRule="exact"/>
        <w:rPr>
          <w:rFonts w:ascii="Arial" w:cs="Arial" w:eastAsia="Arial" w:hAnsi="Arial"/>
          <w:sz w:val="18"/>
          <w:szCs w:val="18"/>
          <w:color w:val="auto"/>
        </w:rPr>
      </w:pPr>
    </w:p>
    <w:p>
      <w:pPr>
        <w:ind w:left="620" w:right="420" w:hanging="423"/>
        <w:spacing w:after="0" w:line="25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 items on our “Income before income taxes and losses in equity investments” used to calculate our earnings available for fixed charges is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2"/>
              </w:rPr>
              <w:t>Years Ended December 31,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As reported Income before income taxes and losses in equity investments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140"/>
              <w:spacing w:after="0" w:line="128" w:lineRule="exact"/>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80" w:type="dxa"/>
            <w:vAlign w:val="bottom"/>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1,805</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0" w:type="dxa"/>
            <w:vAlign w:val="bottom"/>
          </w:tcPr>
          <w:p>
            <w:pPr>
              <w:spacing w:after="0"/>
              <w:rPr>
                <w:sz w:val="1"/>
                <w:szCs w:val="1"/>
                <w:color w:val="auto"/>
              </w:rPr>
            </w:pPr>
          </w:p>
        </w:tc>
      </w:tr>
      <w:tr>
        <w:trPr>
          <w:trHeight w:val="209"/>
        </w:trPr>
        <w:tc>
          <w:tcPr>
            <w:tcW w:w="7380" w:type="dxa"/>
            <w:vAlign w:val="bottom"/>
          </w:tcPr>
          <w:p>
            <w:pPr>
              <w:ind w:left="200"/>
              <w:spacing w:after="0"/>
              <w:rPr>
                <w:sz w:val="20"/>
                <w:szCs w:val="20"/>
                <w:color w:val="auto"/>
              </w:rPr>
            </w:pPr>
            <w:r>
              <w:rPr>
                <w:rFonts w:ascii="Arial" w:cs="Arial" w:eastAsia="Arial" w:hAnsi="Arial"/>
                <w:sz w:val="18"/>
                <w:szCs w:val="18"/>
                <w:color w:val="auto"/>
              </w:rPr>
              <w:t>Adjustments to Income before income taxes and losses in equity investments:</w:t>
            </w: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Restructuring costs</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Goodwill impairments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509</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Asset impairments (other than goodwill)</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79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560"/>
              <w:spacing w:after="0"/>
              <w:rPr>
                <w:sz w:val="20"/>
                <w:szCs w:val="20"/>
                <w:color w:val="auto"/>
              </w:rPr>
            </w:pPr>
            <w:r>
              <w:rPr>
                <w:rFonts w:ascii="Arial" w:cs="Arial" w:eastAsia="Arial" w:hAnsi="Arial"/>
                <w:sz w:val="18"/>
                <w:szCs w:val="18"/>
                <w:color w:val="auto"/>
              </w:rPr>
              <w:t>(Income) expense from divestitures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Adjusted income before income taxes and losses in equity investments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1,526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1,500</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7380" w:type="dxa"/>
            <w:vAlign w:val="bottom"/>
          </w:tcPr>
          <w:p>
            <w:pPr>
              <w:ind w:left="5580"/>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22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922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2014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substantial indebtedness could impair our financial condition and our ability to fulfill our debt obligations, including our obligations under the notes.</w:t>
      </w:r>
    </w:p>
    <w:p>
      <w:pPr>
        <w:spacing w:after="0" w:line="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substantial indebtedness. At December 31, 2014, our ratio of total debt to total capitalization was 61.6% and we had $9.4 billion of long-term debt. In addition, as of December 31, 2014, we had approximately $1.2 billion of letters of credit outstanding under our $2.25 billion revolving credit facility and letter of credit facilities. Our indebtedness makes us vulnerable to changes in interest rates, with the effective interest rates of approximately $1.4 billion of our outstanding debt obligations subject to change during 2015. Our level of indebtedness and the covenants contained in the agreements governing our debt could have important consequences, including:</w:t>
      </w:r>
    </w:p>
    <w:p>
      <w:pPr>
        <w:spacing w:after="0" w:line="94" w:lineRule="exact"/>
        <w:rPr>
          <w:sz w:val="20"/>
          <w:szCs w:val="20"/>
          <w:color w:val="auto"/>
        </w:rPr>
      </w:pPr>
    </w:p>
    <w:p>
      <w:pPr>
        <w:ind w:left="660" w:right="1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revolving credit facility), as of December 31, 2014 and after giving effect to the offering of the notes and the use of proceeds contemplated hereby,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depend upon cash distributions from our subsidiaries to service our debt.</w:t>
      </w:r>
    </w:p>
    <w:p>
      <w:pPr>
        <w:spacing w:after="0" w:line="12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effectively subordinated to certain of our subsidiaries’ debt and our secured debt.</w:t>
      </w:r>
    </w:p>
    <w:p>
      <w:pPr>
        <w:spacing w:after="0" w:line="12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December 31, 2014 was $104 million. As of December 31, 2014, our operating subsidiaries had $3.1 billion of indebtedness and WM Holdings had $449 million of indebtedness (excluding guarantees of $5.8 billion of our senior debt), in each case excluding intercompany loans. For a description of the ranking of the notes, see “Description of Notes—Ranking” in this prospectus supplement.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the guarantee of the notes.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have sufficient funds to purchase the notes upon a change of control triggering event, and this covenant provides limited protection to investors.</w:t>
      </w:r>
    </w:p>
    <w:p>
      <w:pPr>
        <w:spacing w:after="0" w:line="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notes.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any series, and a market may never develop. We do not currently intend to apply for listing of any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92"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the net proceeds from the offering of the notes to be $ billion, after deducting the underwriting discount and estimated expenses of the offering that we will pay. We intend to use the proceeds from the offering of the 2025 notes for general corporate purposes. We intend to use the proceeds from the offering of the 2035 notes and the 2045 notes to pay a portion of the purchase price and accrued interest in the Tender Offer, and any remaining proceeds will be used for general corporate purposes.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December 31, 2014 on an actual basis and as adjusted to give effect to the offering of the notes and the January 2015 redemption of senior notes. The following table does not give effect to the Tender Offer. See “Summary—Recent Developments.”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4"/>
                <w:szCs w:val="14"/>
                <w:b w:val="1"/>
                <w:bCs w:val="1"/>
                <w:color w:val="auto"/>
                <w:w w:val="91"/>
              </w:rPr>
              <w:t>December 31, 2014</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Actual</w:t>
            </w: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11"/>
                <w:szCs w:val="11"/>
                <w:color w:val="auto"/>
              </w:rPr>
            </w:pPr>
          </w:p>
        </w:tc>
        <w:tc>
          <w:tcPr>
            <w:tcW w:w="1540" w:type="dxa"/>
            <w:vAlign w:val="bottom"/>
            <w:gridSpan w:val="3"/>
          </w:tcPr>
          <w:p>
            <w:pPr>
              <w:jc w:val="center"/>
              <w:ind w:left="232"/>
              <w:spacing w:after="0" w:line="128" w:lineRule="exact"/>
              <w:rPr>
                <w:sz w:val="20"/>
                <w:szCs w:val="20"/>
                <w:color w:val="auto"/>
              </w:rPr>
            </w:pPr>
            <w:r>
              <w:rPr>
                <w:rFonts w:ascii="Arial" w:cs="Arial" w:eastAsia="Arial" w:hAnsi="Arial"/>
                <w:sz w:val="14"/>
                <w:szCs w:val="14"/>
                <w:b w:val="1"/>
                <w:bCs w:val="1"/>
                <w:color w:val="auto"/>
                <w:w w:val="93"/>
              </w:rPr>
              <w:t>(Dollars in millions)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92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5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Revolving credit facility(b)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Letter of credit facilities(b)</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Canadian credit facility and term loan (weighted average interest rate of 2.6% at December 31, 2014)(c)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w w:val="97"/>
              </w:rPr>
              <w:t>Senior notes maturing through 2039, interest rates ranging from 2.60% to 7.75% (weighted average interest rate of</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5.7% at December 31, 2014)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6,273</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5,326</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 Senior Notes due 2025 offered hereby (including unamortized discount)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 Senior Notes due 2035 offered hereby (including unamortized discount)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 Senior Notes due 2045 offered hereby (including unamortized discount)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w w:val="97"/>
              </w:rPr>
              <w:t>Tax-exempt bonds maturing through 2045, fixed and variable interest rates ranging from 0.04% to 5.7% (weighted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average interest rate of 2.2% at December 31, 2014)(d)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2,541</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2,541</w:t>
            </w:r>
          </w:p>
        </w:tc>
        <w:tc>
          <w:tcPr>
            <w:tcW w:w="0" w:type="dxa"/>
            <w:vAlign w:val="bottom"/>
          </w:tcPr>
          <w:p>
            <w:pPr>
              <w:spacing w:after="0"/>
              <w:rPr>
                <w:sz w:val="1"/>
                <w:szCs w:val="1"/>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926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9,435</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4,585</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4,585</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6,888</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6,814</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Treasury stock at cost, 171,745,077 shares</w:t>
            </w:r>
          </w:p>
        </w:tc>
        <w:tc>
          <w:tcPr>
            <w:tcW w:w="1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(5,636)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09"/>
        </w:trPr>
        <w:tc>
          <w:tcPr>
            <w:tcW w:w="9260" w:type="dxa"/>
            <w:vAlign w:val="bottom"/>
          </w:tcPr>
          <w:p>
            <w:pPr>
              <w:ind w:left="3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926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260" w:type="dxa"/>
            <w:vAlign w:val="bottom"/>
          </w:tcPr>
          <w:p>
            <w:pPr>
              <w:ind w:left="360"/>
              <w:spacing w:after="0"/>
              <w:rPr>
                <w:sz w:val="20"/>
                <w:szCs w:val="20"/>
                <w:color w:val="auto"/>
              </w:rPr>
            </w:pPr>
            <w:r>
              <w:rPr>
                <w:rFonts w:ascii="Arial" w:cs="Arial" w:eastAsia="Arial" w:hAnsi="Arial"/>
                <w:sz w:val="18"/>
                <w:szCs w:val="18"/>
                <w:color w:val="auto"/>
              </w:rPr>
              <w:t>Total debt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15,324</w:t>
            </w:r>
          </w:p>
        </w:tc>
        <w:tc>
          <w:tcPr>
            <w:tcW w:w="5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4" w:lineRule="exact"/>
        <w:rPr>
          <w:sz w:val="20"/>
          <w:szCs w:val="20"/>
          <w:color w:val="auto"/>
        </w:rPr>
      </w:pPr>
    </w:p>
    <w:p>
      <w:pPr>
        <w:ind w:left="460" w:right="2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 Adjusted column gives effect to the January 2015 redemption of senior notes but does not give effect to the Tender Offer. As of February 17, 2015, the aggregate amount outstanding of the Tender Notes is $2.345 billion. There is no assurance that the Tender Offer will be consummated in accordance with its terms, or at all.</w:t>
      </w:r>
    </w:p>
    <w:p>
      <w:pPr>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$2.25 billion revolving credit facility matures in July 2018. This facility provides us with credit capacity to be used for either cash borrowings or to support letters of credit. At December 31, 2014, we had no outstanding borrowings and $785 million of letters of credit issued and supported by the facility, leaving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unused and available credit capacity of $1,465 million. As of December 31, 2014, we also had fully utilized an aggregate committed capacity of $400 million under letter of credit facilities with terms ending through December 2018. We supplement the letter of credit capacity we have through these committed facilities with stand-alone letters of credit with various banking partners.</w:t>
      </w: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Waste Management of Canada Corporation and WM Quebec Inc., wholly-owned subsidiaries of Waste Management, Inc., are borrowers under a Canadian credit agreement that provides C$150 million of revolving credit capacity and initially provided C$500 million of term credit. The credit agreement matures in November 2017. Waste Management, Inc. and WM Holdings guaranty all subsidiary obligations outstanding under the credit agreement. We have the ability to issue up to C$50 million of letters of credit under the Canadian revolving credit facility, which if utilized, reduces the amount of credit capacity available for borrowings. As of December 31, 2014, we had no revolving borrowings or letters of credit outstanding under the facility.</w:t>
      </w:r>
    </w:p>
    <w:p>
      <w:pPr>
        <w:spacing w:after="0" w:line="2"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380"/>
          </w:cols>
          <w:pgMar w:left="240" w:top="459" w:right="279" w:bottom="1440" w:gutter="0" w:footer="0" w:header="0"/>
        </w:sectPr>
      </w:pPr>
    </w:p>
    <w:p>
      <w:pPr>
        <w:spacing w:after="0" w:line="22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We are offering $ of our % senior notes due , 2025, $ of our % senior notes due , 2035 and $ of our senior notes due , 2045. The notes of each series will be issued under and pursuant to an Indenture dated as of September 10, 1997, between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73" w:lineRule="exact"/>
        <w:rPr>
          <w:sz w:val="20"/>
          <w:szCs w:val="20"/>
          <w:color w:val="auto"/>
        </w:rPr>
      </w:pPr>
    </w:p>
    <w:p>
      <w:pPr>
        <w:sectPr>
          <w:pgSz w:w="11900" w:h="16838" w:orient="portrait"/>
          <w:cols w:equalWidth="0" w:num="2">
            <w:col w:w="11160" w:space="80"/>
            <w:col w:w="140"/>
          </w:cols>
          <w:pgMar w:left="240" w:top="459" w:right="279" w:bottom="1440" w:gutter="0" w:footer="0" w:header="0"/>
          <w:type w:val="continuous"/>
        </w:sectPr>
      </w:pPr>
    </w:p>
    <w:p>
      <w:pPr>
        <w:ind w:right="200"/>
        <w:spacing w:after="0" w:line="302" w:lineRule="auto"/>
        <w:rPr>
          <w:sz w:val="20"/>
          <w:szCs w:val="20"/>
          <w:color w:val="auto"/>
        </w:rPr>
      </w:pPr>
      <w:r>
        <w:rPr>
          <w:rFonts w:ascii="Arial" w:cs="Arial" w:eastAsia="Arial" w:hAnsi="Arial"/>
          <w:sz w:val="16"/>
          <w:szCs w:val="16"/>
          <w:color w:val="auto"/>
        </w:rPr>
        <w:t>and The Bank of New York Mellon Trust Company, N.A. (the current successor to the initial trustee, Texas Commerce Bank National Association), as Trustee. The 2025 notes, 2035 notes and the 2045 notes are separate series of notes under the Indenture. We will issue the notes of each series pursuant to a resolution of our Board of Directors and accompanying officers’ certificate setting forth the specific terms applicable to the notes of each series.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Notes</w:t>
      </w:r>
      <w:r>
        <w:rPr>
          <w:rFonts w:ascii="Arial" w:cs="Arial" w:eastAsia="Arial" w:hAnsi="Arial"/>
          <w:sz w:val="18"/>
          <w:szCs w:val="18"/>
          <w:color w:val="auto"/>
        </w:rPr>
        <w:t>. The notes will:</w:t>
      </w:r>
    </w:p>
    <w:p>
      <w:pPr>
        <w:spacing w:after="0" w:line="13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constitute new and separate series of debt securities issued under the Indenture: the 2025 notes will be initially limited to an aggregate principal</w:t>
      </w:r>
    </w:p>
    <w:p>
      <w:pPr>
        <w:spacing w:after="0" w:line="46" w:lineRule="exact"/>
        <w:rPr>
          <w:sz w:val="20"/>
          <w:szCs w:val="20"/>
          <w:color w:val="auto"/>
        </w:rPr>
      </w:pPr>
    </w:p>
    <w:p>
      <w:pPr>
        <w:ind w:left="660" w:right="460"/>
        <w:spacing w:after="0" w:line="261" w:lineRule="auto"/>
        <w:rPr>
          <w:sz w:val="20"/>
          <w:szCs w:val="20"/>
          <w:color w:val="auto"/>
        </w:rPr>
      </w:pPr>
      <w:r>
        <w:rPr>
          <w:rFonts w:ascii="Arial" w:cs="Arial" w:eastAsia="Arial" w:hAnsi="Arial"/>
          <w:sz w:val="18"/>
          <w:szCs w:val="18"/>
          <w:color w:val="auto"/>
        </w:rPr>
        <w:t>amount of $ million, the 2035 notes will be initially limited to an aggregate principal amount of $ million and the 2045 notes will be initially limited to an aggregate principal amount of $ million;</w:t>
      </w:r>
    </w:p>
    <w:p>
      <w:pPr>
        <w:sectPr>
          <w:pgSz w:w="11900" w:h="16838" w:orient="portrait"/>
          <w:cols w:equalWidth="0" w:num="1">
            <w:col w:w="11380"/>
          </w:cols>
          <w:pgMar w:left="240" w:top="459" w:right="279" w:bottom="1440" w:gutter="0" w:footer="0" w:header="0"/>
          <w:type w:val="continuous"/>
        </w:sectPr>
      </w:pPr>
    </w:p>
    <w:p>
      <w:pPr>
        <w:spacing w:after="0" w:line="89"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mature 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 2025 in the case of the 2025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 2035 in the case of the 2035 notes and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2045 in the case of the</w:t>
      </w:r>
    </w:p>
    <w:p>
      <w:pPr>
        <w:spacing w:after="0" w:line="45" w:lineRule="exact"/>
        <w:rPr>
          <w:sz w:val="20"/>
          <w:szCs w:val="20"/>
          <w:color w:val="auto"/>
        </w:rPr>
      </w:pPr>
    </w:p>
    <w:p>
      <w:pPr>
        <w:sectPr>
          <w:pgSz w:w="11900" w:h="16838" w:orient="portrait"/>
          <w:cols w:equalWidth="0" w:num="4">
            <w:col w:w="1620" w:space="720"/>
            <w:col w:w="2820" w:space="720"/>
            <w:col w:w="3060" w:space="720"/>
            <w:col w:w="1720"/>
          </w:cols>
          <w:pgMar w:left="240" w:top="459" w:right="27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2045 notes;</w:t>
      </w:r>
    </w:p>
    <w:p>
      <w:pPr>
        <w:sectPr>
          <w:pgSz w:w="11900" w:h="16838" w:orient="portrait"/>
          <w:cols w:equalWidth="0" w:num="1">
            <w:col w:w="11380"/>
          </w:cols>
          <w:pgMar w:left="240" w:top="459" w:right="279" w:bottom="1440" w:gutter="0" w:footer="0" w:header="0"/>
          <w:type w:val="continuous"/>
        </w:sectPr>
      </w:pPr>
    </w:p>
    <w:p>
      <w:pPr>
        <w:spacing w:after="0" w:line="139"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130" w:lineRule="exact"/>
        <w:rPr>
          <w:rFonts w:ascii="Arial" w:cs="Arial" w:eastAsia="Arial" w:hAnsi="Arial"/>
          <w:sz w:val="18"/>
          <w:szCs w:val="18"/>
          <w:color w:val="auto"/>
        </w:rPr>
      </w:pPr>
    </w:p>
    <w:p>
      <w:pPr>
        <w:jc w:val="both"/>
        <w:ind w:left="660" w:right="200" w:hanging="20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Interest will:</w:t>
      </w:r>
    </w:p>
    <w:p>
      <w:pPr>
        <w:sectPr>
          <w:pgSz w:w="11900" w:h="16838" w:orient="portrait"/>
          <w:cols w:equalWidth="0" w:num="1">
            <w:col w:w="11380"/>
          </w:cols>
          <w:pgMar w:left="240" w:top="459" w:right="279" w:bottom="1440" w:gutter="0" w:footer="0" w:header="0"/>
          <w:type w:val="continuous"/>
        </w:sectPr>
      </w:pPr>
    </w:p>
    <w:p>
      <w:pPr>
        <w:spacing w:after="0" w:line="13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accrue on the 2025 notes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per annum, accrue on the 2035 notes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 per annum and accrue on the 2045 notes at the</w:t>
      </w:r>
    </w:p>
    <w:p>
      <w:pPr>
        <w:spacing w:after="0" w:line="57" w:lineRule="exact"/>
        <w:rPr>
          <w:sz w:val="20"/>
          <w:szCs w:val="20"/>
          <w:color w:val="auto"/>
        </w:rPr>
      </w:pPr>
    </w:p>
    <w:p>
      <w:pPr>
        <w:sectPr>
          <w:pgSz w:w="11900" w:h="16838" w:orient="portrait"/>
          <w:cols w:equalWidth="0" w:num="3">
            <w:col w:w="3400" w:space="240"/>
            <w:col w:w="3780" w:space="220"/>
            <w:col w:w="3740"/>
          </w:cols>
          <w:pgMar w:left="240" w:top="459" w:right="279" w:bottom="1440" w:gutter="0" w:footer="0" w:header="0"/>
          <w:type w:val="continuous"/>
        </w:sectPr>
      </w:pPr>
    </w:p>
    <w:p>
      <w:pPr>
        <w:ind w:left="660"/>
        <w:spacing w:after="0"/>
        <w:tabs>
          <w:tab w:leader="none" w:pos="1340" w:val="left"/>
        </w:tabs>
        <w:rPr>
          <w:sz w:val="20"/>
          <w:szCs w:val="20"/>
          <w:color w:val="auto"/>
        </w:rPr>
      </w:pPr>
      <w:r>
        <w:rPr>
          <w:rFonts w:ascii="Arial" w:cs="Arial" w:eastAsia="Arial" w:hAnsi="Arial"/>
          <w:sz w:val="18"/>
          <w:szCs w:val="18"/>
          <w:color w:val="auto"/>
        </w:rPr>
        <w:t>rate of</w:t>
      </w:r>
      <w:r>
        <w:rPr>
          <w:sz w:val="20"/>
          <w:szCs w:val="20"/>
          <w:color w:val="auto"/>
        </w:rPr>
        <w:tab/>
      </w:r>
      <w:r>
        <w:rPr>
          <w:rFonts w:ascii="Arial" w:cs="Arial" w:eastAsia="Arial" w:hAnsi="Arial"/>
          <w:sz w:val="16"/>
          <w:szCs w:val="16"/>
          <w:color w:val="auto"/>
        </w:rPr>
        <w:t>% per annum;</w:t>
      </w:r>
    </w:p>
    <w:p>
      <w:pPr>
        <w:sectPr>
          <w:pgSz w:w="11900" w:h="16838" w:orient="portrait"/>
          <w:cols w:equalWidth="0" w:num="1">
            <w:col w:w="11380"/>
          </w:cols>
          <w:pgMar w:left="240" w:top="459" w:right="279" w:bottom="1440" w:gutter="0" w:footer="0" w:header="0"/>
          <w:type w:val="continuous"/>
        </w:sectPr>
      </w:pPr>
    </w:p>
    <w:p>
      <w:pPr>
        <w:spacing w:after="0" w:line="1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accrue from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2015 or the most recent interest payment date;</w:t>
      </w:r>
    </w:p>
    <w:p>
      <w:pPr>
        <w:spacing w:after="0" w:line="153" w:lineRule="exact"/>
        <w:rPr>
          <w:sz w:val="20"/>
          <w:szCs w:val="20"/>
          <w:color w:val="auto"/>
        </w:rPr>
      </w:pPr>
    </w:p>
    <w:p>
      <w:pPr>
        <w:sectPr>
          <w:pgSz w:w="11900" w:h="16838" w:orient="portrait"/>
          <w:cols w:equalWidth="0" w:num="2">
            <w:col w:w="1760" w:space="720"/>
            <w:col w:w="8900"/>
          </w:cols>
          <w:pgMar w:left="240" w:top="459" w:right="279" w:bottom="1440" w:gutter="0" w:footer="0" w:header="0"/>
          <w:type w:val="continuous"/>
        </w:sect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2015;</w:t>
      </w:r>
    </w:p>
    <w:p>
      <w:pPr>
        <w:spacing w:after="0" w:line="153" w:lineRule="exact"/>
        <w:rPr>
          <w:sz w:val="20"/>
          <w:szCs w:val="20"/>
          <w:color w:val="auto"/>
        </w:rPr>
      </w:pPr>
    </w:p>
    <w:p>
      <w:pPr>
        <w:sectPr>
          <w:pgSz w:w="11900" w:h="16838" w:orient="portrait"/>
          <w:cols w:equalWidth="0" w:num="4">
            <w:col w:w="4000" w:space="580"/>
            <w:col w:w="260" w:space="600"/>
            <w:col w:w="2120" w:space="720"/>
            <w:col w:w="3100"/>
          </w:cols>
          <w:pgMar w:left="240" w:top="459" w:right="279" w:bottom="1440" w:gutter="0" w:footer="0" w:header="0"/>
          <w:type w:val="continuous"/>
        </w:sect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153" w:lineRule="exact"/>
        <w:rPr>
          <w:sz w:val="20"/>
          <w:szCs w:val="20"/>
          <w:color w:val="auto"/>
        </w:rPr>
      </w:pPr>
    </w:p>
    <w:p>
      <w:pPr>
        <w:sectPr>
          <w:pgSz w:w="11900" w:h="16838" w:orient="portrait"/>
          <w:cols w:equalWidth="0" w:num="3">
            <w:col w:w="3400" w:space="580"/>
            <w:col w:w="260" w:space="580"/>
            <w:col w:w="6560"/>
          </w:cols>
          <w:pgMar w:left="240" w:top="459" w:right="279" w:bottom="1440" w:gutter="0" w:footer="0" w:header="0"/>
          <w:type w:val="continuous"/>
        </w:sect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computed on the basis of a 360-day year consisting of twelve 30-day months.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 and transfer</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7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on the notes of the applicable series to be redeemed that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would be due if such notes matured on the applicable Par Call Date (exclusive of interest accrued to the date of redemption) discounted to the date of</w:t>
      </w:r>
    </w:p>
    <w:p>
      <w:pPr>
        <w:spacing w:after="0" w:line="248"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redemption on a semi-annual basis (assuming a 360-day year consisting of twelve 30-day months) at the applicable Treasury Yield plus basis points for the 2025 notes, basis points for the 2035 notes or basis points for the 2045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factors that we generally consider in determining whether to redeem the notes are (1) whether the current rates on new notes would be considerably less than the interest rates on the notes to be redeemed after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consideration of any make-whole provision, (2) whether we have excess cash on hand and decide to reduce debt levels and (3) whether we are involved in a substantial merger or acquisition in which it becomes necessary to redeem the notes because of a debt restructuring agreement. We are currently unaware of any circumstances under which we would redeem the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117"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79" w:lineRule="exact"/>
        <w:rPr>
          <w:sz w:val="20"/>
          <w:szCs w:val="20"/>
          <w:color w:val="auto"/>
        </w:rPr>
      </w:pPr>
    </w:p>
    <w:p>
      <w:pPr>
        <w:ind w:left="460" w:right="4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an Independent Investment Banker as having a maturity comparable to the remaining term of the notes of the series to be redeemed,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63" w:lineRule="exact"/>
        <w:rPr>
          <w:sz w:val="20"/>
          <w:szCs w:val="20"/>
          <w:color w:val="auto"/>
        </w:rPr>
      </w:pPr>
    </w:p>
    <w:p>
      <w:pPr>
        <w:ind w:left="460" w:right="100" w:firstLine="43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Independent Investment Banker</w:t>
      </w:r>
      <w:r>
        <w:rPr>
          <w:rFonts w:ascii="Arial" w:cs="Arial" w:eastAsia="Arial" w:hAnsi="Arial"/>
          <w:sz w:val="16"/>
          <w:szCs w:val="16"/>
          <w:color w:val="auto"/>
        </w:rPr>
        <w:t>” means any of Credit Suisse (USA) LLC, Deutsche Bank Securities Inc., Goldman, Sachs &amp; Co., and J.P. Morgan Securities LLC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39"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79" w:lineRule="exact"/>
        <w:rPr>
          <w:sz w:val="20"/>
          <w:szCs w:val="20"/>
          <w:color w:val="auto"/>
        </w:rPr>
      </w:pPr>
    </w:p>
    <w:p>
      <w:pPr>
        <w:ind w:left="460" w:right="2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(three months prior to the maturity date) in the case of the 2025 notes, (six months prior to the maturity date) in the case of the 2035 notes, and (six months prior to the maturity date) in the case of the 2045 notes.</w:t>
      </w:r>
    </w:p>
    <w:p>
      <w:pPr>
        <w:spacing w:after="0" w:line="62" w:lineRule="exact"/>
        <w:rPr>
          <w:sz w:val="20"/>
          <w:szCs w:val="20"/>
          <w:color w:val="auto"/>
        </w:rPr>
      </w:pPr>
    </w:p>
    <w:p>
      <w:pPr>
        <w:ind w:left="460" w:right="2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Credit Suisse (USA) LLC, Deutsche Bank Securities Inc., Goldman, Sachs &amp; Co., and J.P. Morgan Securities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79"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of a series,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set forth above, the notes will not be redeemable by us prior to maturity and will not be entitled to the benefit of any sinking fund.</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Debt Securities—Provisions Applicable to Each Indenture—Defeasance” in the accompanying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38"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73" w:lineRule="exact"/>
        <w:rPr>
          <w:rFonts w:ascii="Arial" w:cs="Arial" w:eastAsia="Arial" w:hAnsi="Arial"/>
          <w:sz w:val="18"/>
          <w:szCs w:val="18"/>
          <w:color w:val="auto"/>
        </w:rPr>
      </w:pPr>
    </w:p>
    <w:p>
      <w:pPr>
        <w:ind w:left="460" w:firstLine="443"/>
        <w:spacing w:after="0" w:line="255" w:lineRule="auto"/>
        <w:tabs>
          <w:tab w:leader="none" w:pos="11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description of the limitations on our ability to incur secured debt, see “Description of Debt Securities—Provisions Applicable Solely to Senior Debt Securities” in the accompanying prospectus.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2014, our operating subsidiaries had $3.1 billion of indebtedness and WM Holdings had $449 million of indebtedness (excluding guarantees of $5.8 billion of our senior debt), in each case excluding intercompany loans.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WM Holdings will unconditionally guarantee our obligations under the notes of each series.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of each series until the earliest to occur of:</w:t>
      </w:r>
    </w:p>
    <w:p>
      <w:pPr>
        <w:spacing w:after="0" w:line="76"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130"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control offer</w:t>
      </w:r>
    </w:p>
    <w:p>
      <w:pPr>
        <w:spacing w:after="0" w:line="2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of any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130" w:lineRule="exact"/>
        <w:rPr>
          <w:rFonts w:ascii="Arial" w:cs="Arial" w:eastAsia="Arial" w:hAnsi="Arial"/>
          <w:sz w:val="18"/>
          <w:szCs w:val="18"/>
          <w:color w:val="auto"/>
        </w:rPr>
      </w:pPr>
    </w:p>
    <w:p>
      <w:pPr>
        <w:jc w:val="center"/>
        <w:ind w:left="5540" w:right="260" w:hanging="5086"/>
        <w:spacing w:after="0" w:line="449"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 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18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117"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of the applicable series or fails to make a rating of such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9"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notes are rated below an investment grade rating by at least two of the three rating agencies, in any case on any day during the period (which period will be extended so long as the rating of such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117" w:lineRule="exact"/>
        <w:rPr>
          <w:sz w:val="20"/>
          <w:szCs w:val="20"/>
          <w:color w:val="auto"/>
        </w:rPr>
      </w:pPr>
    </w:p>
    <w:p>
      <w:pPr>
        <w:ind w:left="460" w:right="26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stock</w:t>
      </w:r>
      <w:r>
        <w:rPr>
          <w:rFonts w:ascii="Arial" w:cs="Arial" w:eastAsia="Arial" w:hAnsi="Arial"/>
          <w:sz w:val="17"/>
          <w:szCs w:val="17"/>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For a description of these covenants, see “Description of Debt Securities—Provisions Applicable to Each Indenture—Consolidation, Merger and Sale of Assets” and “—Provisions Applicable Solely to Senior Debt Securities—Restrictive Covenants” in the accompanying prospectus.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Further issuances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from time to time, without notice or the consent of the holders of the notes, create and issue further notes ranking equally and ratably with the notes of any series in all respects (or in all respects except for the issue date, the initial interest payment date, if applicable, and the payment of interest accruing prior to the issue date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systems</w:t>
      </w:r>
    </w:p>
    <w:p>
      <w:pPr>
        <w:spacing w:after="0" w:line="22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660" w:hanging="206"/>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52" w:lineRule="exact"/>
        <w:rPr>
          <w:rFonts w:ascii="Arial" w:cs="Arial" w:eastAsia="Arial" w:hAnsi="Arial"/>
          <w:sz w:val="16"/>
          <w:szCs w:val="16"/>
          <w:color w:val="auto"/>
        </w:rPr>
      </w:pPr>
    </w:p>
    <w:p>
      <w:pPr>
        <w:ind w:left="660" w:right="300" w:hanging="20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 entry changes in direct DTC participants’ accounts, thereby eliminating the need for physical movement of securities certificates.</w:t>
      </w:r>
    </w:p>
    <w:p>
      <w:pPr>
        <w:spacing w:after="0" w:line="86"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DTC may discontinue providing its service as securities depositary with respect to the notes of any series at any time by giving reasonable notice to us or the Trustee. In addition, we may decide to discontinue use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Euroclear</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7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70"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Clearstream</w:t>
      </w:r>
    </w:p>
    <w:p>
      <w:pPr>
        <w:spacing w:after="0" w:line="229"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the Deutsche Bôrse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70"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Credit Suisse (USA) LLC, Deutsche Bank Securities Inc., Goldman, Sachs &amp; Co. and J.P. Morgan Securities LLC are acting as joint book-running and joint lead managers of the offering and as representatives of the underwriters named below.</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3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w w:val="91"/>
              </w:rPr>
              <w:t>Principal Amount</w:t>
            </w:r>
          </w:p>
        </w:tc>
        <w:tc>
          <w:tcPr>
            <w:tcW w:w="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w w:val="93"/>
              </w:rPr>
              <w:t>Principal Amount</w:t>
            </w:r>
          </w:p>
        </w:tc>
        <w:tc>
          <w:tcPr>
            <w:tcW w:w="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w w:val="93"/>
              </w:rPr>
              <w:t>Principal Amount</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auto"/>
            </w:tcBorders>
          </w:tcPr>
          <w:p>
            <w:pPr>
              <w:ind w:left="120"/>
              <w:spacing w:after="0" w:line="158" w:lineRule="exact"/>
              <w:rPr>
                <w:sz w:val="20"/>
                <w:szCs w:val="20"/>
                <w:color w:val="auto"/>
              </w:rPr>
            </w:pPr>
            <w:r>
              <w:rPr>
                <w:rFonts w:ascii="Arial" w:cs="Arial" w:eastAsia="Arial" w:hAnsi="Arial"/>
                <w:sz w:val="14"/>
                <w:szCs w:val="14"/>
                <w:b w:val="1"/>
                <w:bCs w:val="1"/>
                <w:color w:val="auto"/>
              </w:rPr>
              <w:t>of 2025 Notes</w:t>
            </w:r>
          </w:p>
        </w:tc>
        <w:tc>
          <w:tcPr>
            <w:tcW w:w="940" w:type="dxa"/>
            <w:vAlign w:val="bottom"/>
          </w:tcPr>
          <w:p>
            <w:pPr>
              <w:spacing w:after="0"/>
              <w:rPr>
                <w:sz w:val="15"/>
                <w:szCs w:val="15"/>
                <w:color w:val="auto"/>
              </w:rPr>
            </w:pPr>
          </w:p>
        </w:tc>
        <w:tc>
          <w:tcPr>
            <w:tcW w:w="1100" w:type="dxa"/>
            <w:vAlign w:val="bottom"/>
            <w:tcBorders>
              <w:bottom w:val="single" w:sz="8" w:color="auto"/>
            </w:tcBorders>
          </w:tcPr>
          <w:p>
            <w:pPr>
              <w:ind w:left="140"/>
              <w:spacing w:after="0" w:line="158" w:lineRule="exact"/>
              <w:rPr>
                <w:sz w:val="20"/>
                <w:szCs w:val="20"/>
                <w:color w:val="auto"/>
              </w:rPr>
            </w:pPr>
            <w:r>
              <w:rPr>
                <w:rFonts w:ascii="Arial" w:cs="Arial" w:eastAsia="Arial" w:hAnsi="Arial"/>
                <w:sz w:val="14"/>
                <w:szCs w:val="14"/>
                <w:b w:val="1"/>
                <w:bCs w:val="1"/>
                <w:color w:val="auto"/>
              </w:rPr>
              <w:t>of 2035 Notes</w:t>
            </w:r>
          </w:p>
        </w:tc>
        <w:tc>
          <w:tcPr>
            <w:tcW w:w="940" w:type="dxa"/>
            <w:vAlign w:val="bottom"/>
          </w:tcPr>
          <w:p>
            <w:pPr>
              <w:spacing w:after="0"/>
              <w:rPr>
                <w:sz w:val="15"/>
                <w:szCs w:val="15"/>
                <w:color w:val="auto"/>
              </w:rPr>
            </w:pPr>
          </w:p>
        </w:tc>
        <w:tc>
          <w:tcPr>
            <w:tcW w:w="1100" w:type="dxa"/>
            <w:vAlign w:val="bottom"/>
            <w:tcBorders>
              <w:bottom w:val="single" w:sz="8" w:color="auto"/>
            </w:tcBorders>
          </w:tcPr>
          <w:p>
            <w:pPr>
              <w:ind w:left="140"/>
              <w:spacing w:after="0" w:line="158" w:lineRule="exact"/>
              <w:rPr>
                <w:sz w:val="20"/>
                <w:szCs w:val="20"/>
                <w:color w:val="auto"/>
              </w:rPr>
            </w:pPr>
            <w:r>
              <w:rPr>
                <w:rFonts w:ascii="Arial" w:cs="Arial" w:eastAsia="Arial" w:hAnsi="Arial"/>
                <w:sz w:val="14"/>
                <w:szCs w:val="14"/>
                <w:b w:val="1"/>
                <w:bCs w:val="1"/>
                <w:color w:val="auto"/>
              </w:rPr>
              <w:t>of 2045 Notes</w:t>
            </w:r>
          </w:p>
        </w:tc>
        <w:tc>
          <w:tcPr>
            <w:tcW w:w="0" w:type="dxa"/>
            <w:vAlign w:val="bottom"/>
          </w:tcPr>
          <w:p>
            <w:pPr>
              <w:spacing w:after="0"/>
              <w:rPr>
                <w:sz w:val="1"/>
                <w:szCs w:val="1"/>
                <w:color w:val="auto"/>
              </w:rPr>
            </w:pPr>
          </w:p>
        </w:tc>
      </w:tr>
      <w:tr>
        <w:trPr>
          <w:trHeight w:val="189"/>
        </w:trPr>
        <w:tc>
          <w:tcPr>
            <w:tcW w:w="6140" w:type="dxa"/>
            <w:vAlign w:val="bottom"/>
            <w:gridSpan w:val="2"/>
          </w:tcPr>
          <w:p>
            <w:pPr>
              <w:spacing w:after="0" w:line="189" w:lineRule="exact"/>
              <w:rPr>
                <w:sz w:val="20"/>
                <w:szCs w:val="20"/>
                <w:color w:val="auto"/>
              </w:rPr>
            </w:pPr>
            <w:r>
              <w:rPr>
                <w:rFonts w:ascii="Arial" w:cs="Arial" w:eastAsia="Arial" w:hAnsi="Arial"/>
                <w:sz w:val="18"/>
                <w:szCs w:val="18"/>
                <w:color w:val="auto"/>
              </w:rPr>
              <w:t>Credit Suisse (USA) LLC</w:t>
            </w:r>
          </w:p>
        </w:tc>
        <w:tc>
          <w:tcPr>
            <w:tcW w:w="20" w:type="dxa"/>
            <w:vAlign w:val="bottom"/>
          </w:tcPr>
          <w:p>
            <w:pPr>
              <w:spacing w:after="0"/>
              <w:rPr>
                <w:sz w:val="16"/>
                <w:szCs w:val="16"/>
                <w:color w:val="auto"/>
              </w:rPr>
            </w:pPr>
          </w:p>
        </w:tc>
        <w:tc>
          <w:tcPr>
            <w:tcW w:w="10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6"/>
                <w:szCs w:val="16"/>
                <w:color w:val="auto"/>
              </w:rPr>
            </w:pPr>
          </w:p>
        </w:tc>
        <w:tc>
          <w:tcPr>
            <w:tcW w:w="11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6"/>
                <w:szCs w:val="16"/>
                <w:color w:val="auto"/>
              </w:rPr>
            </w:pPr>
          </w:p>
        </w:tc>
        <w:tc>
          <w:tcPr>
            <w:tcW w:w="11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 of the principal amount of the 2025 notes, % of the principal amount of the 2035 notes and % of the principal amount of the 2045 notes. The underwriters may allow, and dealers may reallow, a concession not to exceed % of the principal amount of the 2025 notes, % of the principal amount of the 2035 notes and % of the principal amount of the 2045 notes on sales to other dealers. After the initial offering of the notes to the public, the representatives may change the public offering price and other selling terms applicable to the notes of any series.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93"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any series of notes. They may also cause the price of the notes to be higher than the price that otherwise would exist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open market in the absence of these transactions. The underwriters may conduct these transactions in the over-the-counter market or otherwise. If the underwriters commence any of these transactions, they may discontinue them at any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expect delivery of the notes will be made against payment therefor on or about , 2015, which is the business day following the date of pricing of the notes (such settlement being referred to as “T + ”). Under Rule 15c6-1 of the Securities Exchange Act of 1934, as amended, trades in the secondary market generally are required to settle in three business days unless the parties to any such trade expressly agree otherwise. Accordingly,</w:t>
      </w:r>
    </w:p>
    <w:p>
      <w:pPr>
        <w:ind w:right="20"/>
        <w:spacing w:after="0" w:line="255" w:lineRule="auto"/>
        <w:rPr>
          <w:sz w:val="20"/>
          <w:szCs w:val="20"/>
          <w:color w:val="auto"/>
        </w:rPr>
      </w:pPr>
      <w:r>
        <w:rPr>
          <w:rFonts w:ascii="Arial" w:cs="Arial" w:eastAsia="Arial" w:hAnsi="Arial"/>
          <w:sz w:val="18"/>
          <w:szCs w:val="18"/>
          <w:color w:val="auto"/>
        </w:rPr>
        <w:t>purchasers who wish to trade the notes on the date of pricing of the notes or the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Each of the underwriters or one of their respective affiliates is a lender to us under our $2.25 billion revolving credit facility.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Credit Suisse (USA) LLC, Deutsche Bank Securities Inc., Goldman, Sachs &amp; Co. and J.P. Morgan Securities LLC are the dealer managers for the Tender Offer.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79" w:lineRule="exact"/>
        <w:rPr>
          <w:sz w:val="20"/>
          <w:szCs w:val="20"/>
          <w:color w:val="auto"/>
        </w:rPr>
      </w:pPr>
    </w:p>
    <w:p>
      <w:pPr>
        <w:ind w:left="660" w:hanging="19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firstLine="464"/>
        <w:spacing w:after="0" w:line="264" w:lineRule="auto"/>
        <w:tabs>
          <w:tab w:leader="none" w:pos="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181" w:lineRule="exact"/>
        <w:rPr>
          <w:rFonts w:ascii="Arial" w:cs="Arial" w:eastAsia="Arial" w:hAnsi="Arial"/>
          <w:sz w:val="18"/>
          <w:szCs w:val="18"/>
          <w:color w:val="auto"/>
        </w:rPr>
      </w:pPr>
    </w:p>
    <w:p>
      <w:pPr>
        <w:ind w:left="660" w:hanging="19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provided that no such offer of notes shall require us or any underwriter to publish a prospectus pursuant to Article 3 of the Prospectus Directive.</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40" w:firstLine="456"/>
        <w:spacing w:after="0" w:line="342" w:lineRule="auto"/>
        <w:rPr>
          <w:sz w:val="20"/>
          <w:szCs w:val="20"/>
          <w:color w:val="auto"/>
        </w:rPr>
      </w:pPr>
      <w:r>
        <w:rPr>
          <w:rFonts w:ascii="Arial" w:cs="Arial" w:eastAsia="Arial" w:hAnsi="Arial"/>
          <w:sz w:val="16"/>
          <w:szCs w:val="16"/>
          <w:color w:val="auto"/>
        </w:rPr>
        <w:t>Certain legal matters in connection with the notes offered hereby will be passed upon for us by Baker Botts I. L.P., Houston, Texas, and for the underwriters by Vinson &amp; Elkins L.L.P., Houston, Texas. Vinson &amp; Elkins I. L.P. represents us from time to time in matters unrelated to this offering.</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8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67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89"/>
        </w:trPr>
        <w:tc>
          <w:tcPr>
            <w:tcW w:w="9560" w:type="dxa"/>
            <w:vAlign w:val="bottom"/>
            <w:gridSpan w:val="2"/>
          </w:tcPr>
          <w:p>
            <w:pPr>
              <w:spacing w:after="0" w:line="189" w:lineRule="exact"/>
              <w:rPr>
                <w:sz w:val="20"/>
                <w:szCs w:val="20"/>
                <w:color w:val="auto"/>
              </w:rPr>
            </w:pPr>
            <w:r>
              <w:rPr>
                <w:rFonts w:ascii="Arial" w:cs="Arial" w:eastAsia="Arial" w:hAnsi="Arial"/>
                <w:sz w:val="18"/>
                <w:szCs w:val="18"/>
                <w:color w:val="auto"/>
              </w:rPr>
              <w:t>Annual Report on Form 10-K for the year ended December 31, 2014</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89"/>
              </w:rPr>
              <w:t>February 17,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January 2,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w w:val="93"/>
              </w:rPr>
              <w:t>The portions of our proxy statement for our 2014 annual meeting of stockholders incorporated by reference in our Annual Report</w:t>
            </w:r>
          </w:p>
        </w:tc>
        <w:tc>
          <w:tcPr>
            <w:tcW w:w="1860" w:type="dxa"/>
            <w:vAlign w:val="bottom"/>
          </w:tcPr>
          <w:p>
            <w:pPr>
              <w:spacing w:after="0"/>
              <w:rPr>
                <w:sz w:val="18"/>
                <w:szCs w:val="18"/>
                <w:color w:val="auto"/>
              </w:rPr>
            </w:pPr>
          </w:p>
        </w:tc>
      </w:tr>
      <w:tr>
        <w:trPr>
          <w:trHeight w:val="230"/>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on Form 10-K for the year ended December 31, 2013</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27, 2014</w:t>
            </w: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88"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www.wm.com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283210</wp:posOffset>
            </wp:positionV>
            <wp:extent cx="1329055"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WASTE MANAGEMENT, INC.</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337185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306"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349250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80" w:firstLine="456"/>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w:t>
      </w:r>
      <w:hyperlink w:anchor="page37">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6 of this prospectus, the risk factors included in our periodic reports that we file with the Securities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314325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prospectus is dated September 28, 2012</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18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Description of Debt Securities</w:t>
              </w:r>
            </w:hyperlink>
          </w:p>
        </w:tc>
        <w:tc>
          <w:tcPr>
            <w:tcW w:w="198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Other Securities</w:t>
              </w:r>
            </w:hyperlink>
          </w:p>
        </w:tc>
        <w:tc>
          <w:tcPr>
            <w:tcW w:w="19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2011.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84" w:lineRule="exact"/>
        <w:rPr>
          <w:sz w:val="20"/>
          <w:szCs w:val="20"/>
          <w:color w:val="auto"/>
        </w:rPr>
      </w:pPr>
    </w:p>
    <w:p>
      <w:pPr>
        <w:ind w:left="900" w:right="8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in implementing our optimization and growth initiatives and overall business strategy, which could adversely impact our financial performance and growth;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restructuring initiatives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developments in technology could trigger a fundamental change in the waste management industry, as waste streams are increasingly viewed as a resource, which may adversely impact volumes at our landfills and waste to energy facilities and our profitability;</w:t>
      </w:r>
    </w:p>
    <w:p>
      <w:pPr>
        <w:spacing w:after="0" w:line="51" w:lineRule="exact"/>
        <w:rPr>
          <w:rFonts w:ascii="Arial" w:cs="Arial" w:eastAsia="Arial" w:hAnsi="Arial"/>
          <w:sz w:val="17"/>
          <w:szCs w:val="17"/>
          <w:color w:val="auto"/>
        </w:rPr>
      </w:pPr>
    </w:p>
    <w:p>
      <w:pPr>
        <w:ind w:left="900" w:right="8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7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584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95"/>
        </w:trPr>
        <w:tc>
          <w:tcPr>
            <w:tcW w:w="870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2011</w:t>
            </w: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16,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2012</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April 26,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2012</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14,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May 14,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June 22,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July 5,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 (except for the information furnished pursuant to Item 2.02)</w:t>
            </w:r>
          </w:p>
        </w:tc>
        <w:tc>
          <w:tcPr>
            <w:tcW w:w="27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26, 2012</w:t>
            </w:r>
          </w:p>
        </w:tc>
      </w:tr>
      <w:tr>
        <w:trPr>
          <w:trHeight w:val="243"/>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August 28, 2012</w:t>
            </w:r>
          </w:p>
        </w:tc>
      </w:tr>
      <w:tr>
        <w:trPr>
          <w:trHeight w:val="230"/>
        </w:trPr>
        <w:tc>
          <w:tcPr>
            <w:tcW w:w="28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September 11, 2012</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20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by requesting them in writing, by telephone or via the Internet at: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www.wm.com</w:t>
      </w:r>
    </w:p>
    <w:p>
      <w:pPr>
        <w:spacing w:after="0" w:line="207"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b w:val="1"/>
          <w:bCs w:val="1"/>
          <w:color w:val="auto"/>
        </w:rPr>
        <w:t xml:space="preserve">THE INFORMATION CONTAINED ON OUR WEBSITE DOES NOT CONSTITUTE A PART OF THIS PROSPECTUS. </w:t>
      </w: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8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and our telephone number is (713) 512-6200.</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Six Months</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Ended</w:t>
            </w: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2012</w:t>
            </w: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8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8"/>
              </w:rPr>
              <w:t>3.2x</w:t>
            </w:r>
          </w:p>
        </w:tc>
        <w:tc>
          <w:tcPr>
            <w:tcW w:w="320" w:type="dxa"/>
            <w:vAlign w:val="bottom"/>
          </w:tcPr>
          <w:p>
            <w:pPr>
              <w:spacing w:after="0"/>
              <w:rPr>
                <w:sz w:val="19"/>
                <w:szCs w:val="19"/>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2"/>
              </w:rPr>
              <w:t>3.8x</w:t>
            </w:r>
          </w:p>
        </w:tc>
        <w:tc>
          <w:tcPr>
            <w:tcW w:w="320" w:type="dxa"/>
            <w:vAlign w:val="bottom"/>
          </w:tcPr>
          <w:p>
            <w:pPr>
              <w:spacing w:after="0"/>
              <w:rPr>
                <w:sz w:val="19"/>
                <w:szCs w:val="19"/>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4.1 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2"/>
              </w:rPr>
              <w:t>4.0x</w:t>
            </w:r>
          </w:p>
        </w:tc>
        <w:tc>
          <w:tcPr>
            <w:tcW w:w="320" w:type="dxa"/>
            <w:vAlign w:val="bottom"/>
          </w:tcPr>
          <w:p>
            <w:pPr>
              <w:spacing w:after="0"/>
              <w:rPr>
                <w:sz w:val="19"/>
                <w:szCs w:val="19"/>
                <w:color w:val="auto"/>
              </w:rPr>
            </w:pP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4.5x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2"/>
              </w:rPr>
              <w:t>4.0x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18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No shares of our preference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the initial trustee, Texas Commerce Bank National Association ), as trustee. We will issue subordinated debt securities under an indenture dated as of February 1, 1997, among Waste Management, as issuer, and The Bank of New York Mellon Trust Company, N.A., as trustee. The indentures are substantially identical, except for provisions relating to subordination and covenants.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7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76" w:lineRule="exact"/>
        <w:rPr>
          <w:sz w:val="20"/>
          <w:szCs w:val="20"/>
          <w:color w:val="auto"/>
        </w:rPr>
      </w:pPr>
    </w:p>
    <w:p>
      <w:pPr>
        <w:ind w:left="900" w:right="2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86"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0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7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1" w:lineRule="exact"/>
        <w:rPr>
          <w:sz w:val="20"/>
          <w:szCs w:val="20"/>
          <w:color w:val="auto"/>
        </w:rPr>
      </w:pPr>
    </w:p>
    <w:p>
      <w:pPr>
        <w:ind w:left="900" w:right="4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Mellon Trust Company, N.A. serves as trustee or custodian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relating to a number of series of debt obligations of Waste Management. Certain of The Bank of New York Mellon Trust Company, N.A.’s affiliates perform certain commercial banking services for us for which they receive customary fees and act as a lender under our current credit facility.</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 of the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liens on the property or assets existing at the time of acquisition which secure obligations assumed by us or our Restricted Subsidiaries;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any successor entity that becomes the Company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 liens on assets either:</w:t>
      </w:r>
    </w:p>
    <w:p>
      <w:pPr>
        <w:spacing w:after="0" w:line="131" w:lineRule="exact"/>
        <w:rPr>
          <w:sz w:val="20"/>
          <w:szCs w:val="20"/>
          <w:color w:val="auto"/>
        </w:rPr>
      </w:pPr>
    </w:p>
    <w:p>
      <w:pPr>
        <w:ind w:left="1480" w:hanging="446"/>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1480" w:right="20" w:hanging="446"/>
        <w:spacing w:after="0" w:line="286" w:lineRule="auto"/>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in connection with legal proceedings so long as the proceeding is being contested in good faith or execution thereon is stayed;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17"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460" w:right="280" w:firstLine="443"/>
        <w:spacing w:after="0" w:line="264" w:lineRule="auto"/>
        <w:tabs>
          <w:tab w:leader="none" w:pos="11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an amount equal to the fair value (as determined by our Board of Directors) of the property to be leased to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color w:val="auto"/>
        </w:rPr>
        <w:t xml:space="preserve">redemption or retirement of any senior debt securities issued under the senior indenture or to payment or other retirement of other debt of the Company that ranks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debt securities listed under the senior indenture or debt incurred by a Restricted Subsidiary; or</w:t>
      </w:r>
    </w:p>
    <w:p>
      <w:pPr>
        <w:spacing w:after="0" w:line="16" w:lineRule="exact"/>
        <w:rPr>
          <w:sz w:val="20"/>
          <w:szCs w:val="20"/>
          <w:color w:val="auto"/>
        </w:rPr>
      </w:pPr>
    </w:p>
    <w:p>
      <w:pPr>
        <w:ind w:left="460" w:right="220" w:firstLine="443"/>
        <w:spacing w:after="0" w:line="342" w:lineRule="auto"/>
        <w:tabs>
          <w:tab w:leader="none" w:pos="1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6"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 lease included in the Sale/Leaseback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131" w:lineRule="exact"/>
        <w:rPr>
          <w:sz w:val="20"/>
          <w:szCs w:val="20"/>
          <w:color w:val="auto"/>
        </w:rPr>
      </w:pPr>
    </w:p>
    <w:p>
      <w:pPr>
        <w:ind w:left="900" w:right="7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46"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principally engaged in, or whose principal assets consist of property used by us or any Restricted Subsidiary in the storage, collection, transfer, interim</w:t>
      </w:r>
    </w:p>
    <w:p>
      <w:pPr>
        <w:spacing w:after="0" w:line="32"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Restricted Subsidiary has sold or transferred or will sell or transfer to that person. This term excludes the following:</w:t>
      </w:r>
    </w:p>
    <w:p>
      <w:pPr>
        <w:spacing w:after="0" w:line="7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are authorized to issue 1,500,000,000 shares of common stock, of which 463,859,445 shares were outstanding at September 21, 2012 (excluding treasury shares of 166,423,015). We are also authorized to issue 10,000,000 shares of preferred stock, none of which were outstanding on that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in the election of directors and in each other matter we may ask stockholders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in Jersey City, New Jersey.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corporation from engaging in a “business combination” with an “interested stockholder” for a period of three years after the time the person became an interested stockholder, unless:</w:t>
      </w:r>
    </w:p>
    <w:p>
      <w:pPr>
        <w:spacing w:after="0" w:line="76" w:lineRule="exact"/>
        <w:rPr>
          <w:sz w:val="20"/>
          <w:szCs w:val="20"/>
          <w:color w:val="auto"/>
        </w:rPr>
      </w:pPr>
    </w:p>
    <w:p>
      <w:pPr>
        <w:ind w:left="900" w:right="3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7"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60"/>
        <w:spacing w:after="0"/>
        <w:rPr>
          <w:sz w:val="20"/>
          <w:szCs w:val="20"/>
          <w:color w:val="auto"/>
        </w:rPr>
      </w:pPr>
      <w:r>
        <w:rPr>
          <w:rFonts w:ascii="Arial" w:cs="Arial" w:eastAsia="Arial" w:hAnsi="Arial"/>
          <w:sz w:val="29"/>
          <w:szCs w:val="2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468630</wp:posOffset>
            </wp:positionV>
            <wp:extent cx="1329055"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20"/>
        <w:spacing w:after="0"/>
        <w:tabs>
          <w:tab w:leader="none" w:pos="4820" w:val="left"/>
        </w:tabs>
        <w:rPr>
          <w:sz w:val="20"/>
          <w:szCs w:val="20"/>
          <w:color w:val="auto"/>
        </w:rPr>
      </w:pPr>
      <w:r>
        <w:rPr>
          <w:rFonts w:ascii="Arial" w:cs="Arial" w:eastAsia="Arial" w:hAnsi="Arial"/>
          <w:sz w:val="29"/>
          <w:szCs w:val="29"/>
          <w:color w:val="auto"/>
        </w:rPr>
        <w:t>$</w:t>
      </w:r>
      <w:r>
        <w:rPr>
          <w:sz w:val="20"/>
          <w:szCs w:val="20"/>
          <w:color w:val="auto"/>
        </w:rPr>
        <w:tab/>
      </w:r>
      <w:r>
        <w:rPr>
          <w:rFonts w:ascii="Arial" w:cs="Arial" w:eastAsia="Arial" w:hAnsi="Arial"/>
          <w:sz w:val="29"/>
          <w:szCs w:val="29"/>
          <w:color w:val="auto"/>
        </w:rPr>
        <w:t>% Senior Notes due 2025</w:t>
      </w:r>
    </w:p>
    <w:p>
      <w:pPr>
        <w:spacing w:after="0" w:line="220" w:lineRule="exact"/>
        <w:rPr>
          <w:sz w:val="20"/>
          <w:szCs w:val="20"/>
          <w:color w:val="auto"/>
        </w:rPr>
      </w:pPr>
    </w:p>
    <w:p>
      <w:pPr>
        <w:ind w:left="3320"/>
        <w:spacing w:after="0"/>
        <w:tabs>
          <w:tab w:leader="none" w:pos="4820" w:val="left"/>
        </w:tabs>
        <w:rPr>
          <w:sz w:val="20"/>
          <w:szCs w:val="20"/>
          <w:color w:val="auto"/>
        </w:rPr>
      </w:pPr>
      <w:r>
        <w:rPr>
          <w:rFonts w:ascii="Arial" w:cs="Arial" w:eastAsia="Arial" w:hAnsi="Arial"/>
          <w:sz w:val="29"/>
          <w:szCs w:val="29"/>
          <w:color w:val="auto"/>
        </w:rPr>
        <w:t>$</w:t>
      </w:r>
      <w:r>
        <w:rPr>
          <w:sz w:val="20"/>
          <w:szCs w:val="20"/>
          <w:color w:val="auto"/>
        </w:rPr>
        <w:tab/>
      </w:r>
      <w:r>
        <w:rPr>
          <w:rFonts w:ascii="Arial" w:cs="Arial" w:eastAsia="Arial" w:hAnsi="Arial"/>
          <w:sz w:val="29"/>
          <w:szCs w:val="29"/>
          <w:color w:val="auto"/>
        </w:rPr>
        <w:t>% Senior Notes due 2035</w:t>
      </w:r>
    </w:p>
    <w:p>
      <w:pPr>
        <w:spacing w:after="0" w:line="220" w:lineRule="exact"/>
        <w:rPr>
          <w:sz w:val="20"/>
          <w:szCs w:val="20"/>
          <w:color w:val="auto"/>
        </w:rPr>
      </w:pPr>
    </w:p>
    <w:p>
      <w:pPr>
        <w:ind w:left="3320"/>
        <w:spacing w:after="0"/>
        <w:tabs>
          <w:tab w:leader="none" w:pos="4820" w:val="left"/>
        </w:tabs>
        <w:rPr>
          <w:sz w:val="20"/>
          <w:szCs w:val="20"/>
          <w:color w:val="auto"/>
        </w:rPr>
      </w:pPr>
      <w:r>
        <w:rPr>
          <w:rFonts w:ascii="Arial" w:cs="Arial" w:eastAsia="Arial" w:hAnsi="Arial"/>
          <w:sz w:val="29"/>
          <w:szCs w:val="29"/>
          <w:color w:val="auto"/>
        </w:rPr>
        <w:t>$</w:t>
      </w:r>
      <w:r>
        <w:rPr>
          <w:sz w:val="20"/>
          <w:szCs w:val="20"/>
          <w:color w:val="auto"/>
        </w:rPr>
        <w:tab/>
      </w:r>
      <w:r>
        <w:rPr>
          <w:rFonts w:ascii="Arial" w:cs="Arial" w:eastAsia="Arial" w:hAnsi="Arial"/>
          <w:sz w:val="29"/>
          <w:szCs w:val="29"/>
          <w:color w:val="auto"/>
        </w:rPr>
        <w:t>%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760095</wp:posOffset>
            </wp:positionV>
            <wp:extent cx="10890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263525</wp:posOffset>
            </wp:positionV>
            <wp:extent cx="1089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Joint Book-Running Managers</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Deutsche Bank Securities</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Barclays</w:t>
      </w: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BofA Merrill Lynch</w:t>
      </w: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RBS</w:t>
      </w: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Wells Fargo Securities</w:t>
      </w:r>
    </w:p>
    <w:p>
      <w:pPr>
        <w:spacing w:after="0" w:line="25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713"/>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3"/>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lvl w:ilvl="1">
      <w:lvlJc w:val="left"/>
      <w:lvlText w:val="(%2)"/>
      <w:numFmt w:val="lowerLetter"/>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5"/>
    </w:lvl>
    <w:lvl w:ilvl="1">
      <w:lvlJc w:val="left"/>
      <w:lvlText w:val="•"/>
      <w:numFmt w:val="bullet"/>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2019-12-20T23:05:35Z</dcterms:created>
  <dcterms:modified xsi:type="dcterms:W3CDTF">2019-12-20T23:05:35Z</dcterms:modified>
</cp:coreProperties>
</file>