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208915</wp:posOffset>
            </wp:positionV>
            <wp:extent cx="2615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Waste Management, Inc. (the “Company”) issued a press release this morning announcing its financial results for the second quarter of 2016,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43986112. To access a replay telephonically, please dial (855) 859-2056 and use the replay conference ID number 43986112.</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footnote (b) and the tables to the press release issued this morning.</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Press Release dated July 27, 2016</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6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2016</w:t>
            </w:r>
          </w:p>
        </w:tc>
        <w:tc>
          <w:tcPr>
            <w:tcW w:w="78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Barry H. Caldwell</w:t>
            </w:r>
          </w:p>
        </w:tc>
      </w:tr>
      <w:tr>
        <w:trPr>
          <w:trHeight w:val="191"/>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Barry H. Caldwell</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Corporate Affairs</w:t>
            </w:r>
          </w:p>
        </w:tc>
      </w:tr>
      <w:tr>
        <w:trPr>
          <w:trHeight w:val="234"/>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378"/>
        </w:trPr>
        <w:tc>
          <w:tcPr>
            <w:tcW w:w="3540" w:type="dxa"/>
            <w:vAlign w:val="bottom"/>
          </w:tcPr>
          <w:p>
            <w:pPr>
              <w:spacing w:after="0"/>
              <w:rPr>
                <w:sz w:val="24"/>
                <w:szCs w:val="24"/>
                <w:color w:val="auto"/>
              </w:rPr>
            </w:pPr>
          </w:p>
        </w:tc>
        <w:tc>
          <w:tcPr>
            <w:tcW w:w="2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 w:name="page4"/>
    <w:bookmarkEnd w:id="3"/>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84" w:lineRule="auto"/>
        <w:tabs>
          <w:tab w:leader="none" w:pos="10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Number</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July 27, 2016</w:t>
      </w:r>
    </w:p>
    <w:p>
      <w:pPr>
        <w:spacing w:after="0" w:line="13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66" w:right="1440" w:bottom="1440" w:gutter="0" w:footer="0" w:header="0"/>
        </w:sectPr>
      </w:pPr>
    </w:p>
    <w:bookmarkStart w:id="4" w:name="page5"/>
    <w:bookmarkEnd w:id="4"/>
    <w:p>
      <w:pPr>
        <w:spacing w:after="0"/>
        <w:tabs>
          <w:tab w:leader="none" w:pos="8780" w:val="left"/>
        </w:tabs>
        <w:rPr>
          <w:sz w:val="20"/>
          <w:szCs w:val="20"/>
          <w:color w:val="auto"/>
        </w:rPr>
      </w:pPr>
      <w:r>
        <w:rPr>
          <w:rFonts w:ascii="Arial" w:cs="Arial" w:eastAsia="Arial" w:hAnsi="Arial"/>
          <w:sz w:val="16"/>
          <w:szCs w:val="16"/>
          <w:b w:val="1"/>
          <w:bCs w:val="1"/>
          <w:color w:val="00693C"/>
        </w:rPr>
        <w:t>FOR IMMEDIATE RELEASE</w:t>
      </w:r>
      <w:r>
        <w:rPr>
          <w:sz w:val="20"/>
          <w:szCs w:val="20"/>
          <w:color w:val="auto"/>
        </w:rPr>
        <w:tab/>
      </w:r>
      <w:r>
        <w:rPr>
          <w:rFonts w:ascii="Arial" w:cs="Arial" w:eastAsia="Arial" w:hAnsi="Arial"/>
          <w:sz w:val="32"/>
          <w:szCs w:val="32"/>
          <w:b w:val="1"/>
          <w:bCs w:val="1"/>
          <w:color w:val="auto"/>
          <w:vertAlign w:val="subscript"/>
        </w:rPr>
        <w:t>EXHIBIT 99.1</w:t>
      </w:r>
    </w:p>
    <w:p>
      <w:pPr>
        <w:spacing w:after="0" w:line="185" w:lineRule="exact"/>
        <w:rPr>
          <w:sz w:val="20"/>
          <w:szCs w:val="20"/>
          <w:color w:val="auto"/>
        </w:rPr>
      </w:pPr>
    </w:p>
    <w:p>
      <w:pPr>
        <w:jc w:val="center"/>
        <w:ind w:right="2380"/>
        <w:spacing w:after="0"/>
        <w:rPr>
          <w:sz w:val="20"/>
          <w:szCs w:val="20"/>
          <w:color w:val="auto"/>
        </w:rPr>
      </w:pPr>
      <w:r>
        <w:rPr>
          <w:rFonts w:ascii="Arial" w:cs="Arial" w:eastAsia="Arial" w:hAnsi="Arial"/>
          <w:sz w:val="40"/>
          <w:szCs w:val="40"/>
          <w:color w:val="7AB800"/>
        </w:rPr>
        <w:t>Waste Management Announces Second</w:t>
      </w:r>
    </w:p>
    <w:p>
      <w:pPr>
        <w:spacing w:after="0" w:line="51" w:lineRule="exact"/>
        <w:rPr>
          <w:sz w:val="20"/>
          <w:szCs w:val="20"/>
          <w:color w:val="auto"/>
        </w:rPr>
      </w:pPr>
    </w:p>
    <w:p>
      <w:pPr>
        <w:jc w:val="center"/>
        <w:ind w:right="2380"/>
        <w:spacing w:after="0"/>
        <w:rPr>
          <w:sz w:val="20"/>
          <w:szCs w:val="20"/>
          <w:color w:val="auto"/>
        </w:rPr>
      </w:pPr>
      <w:r>
        <w:rPr>
          <w:rFonts w:ascii="Arial" w:cs="Arial" w:eastAsia="Arial" w:hAnsi="Arial"/>
          <w:sz w:val="40"/>
          <w:szCs w:val="40"/>
          <w:color w:val="7AB800"/>
        </w:rPr>
        <w:t>Quarter Earnings</w:t>
      </w:r>
    </w:p>
    <w:p>
      <w:pPr>
        <w:sectPr>
          <w:pgSz w:w="11900" w:h="16838" w:orient="portrait"/>
          <w:cols w:equalWidth="0" w:num="1">
            <w:col w:w="10840"/>
          </w:cols>
          <w:pgMar w:left="240" w:top="0" w:right="819" w:bottom="1440" w:gutter="0" w:footer="0" w:header="0"/>
        </w:sectPr>
      </w:pPr>
    </w:p>
    <w:p>
      <w:pPr>
        <w:spacing w:after="0" w:line="24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22"/>
          <w:szCs w:val="22"/>
          <w:b w:val="1"/>
          <w:bCs w:val="1"/>
          <w:color w:val="auto"/>
        </w:rPr>
        <w:t>Continued Strong Earnings Growth Driven by Revenue Expansion and Cost Control</w:t>
      </w:r>
    </w:p>
    <w:p>
      <w:pPr>
        <w:spacing w:after="0" w:line="2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b w:val="1"/>
          <w:bCs w:val="1"/>
          <w:color w:val="auto"/>
        </w:rPr>
        <w:t>Company Increases Full-Year 2016 Cash Flow and EPS Guidance</w:t>
      </w:r>
    </w:p>
    <w:p>
      <w:pPr>
        <w:spacing w:after="0" w:line="200" w:lineRule="exact"/>
        <w:rPr>
          <w:sz w:val="20"/>
          <w:szCs w:val="20"/>
          <w:color w:val="auto"/>
        </w:rPr>
      </w:pPr>
    </w:p>
    <w:p>
      <w:pPr>
        <w:spacing w:after="0" w:line="36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b w:val="1"/>
          <w:bCs w:val="1"/>
          <w:color w:val="auto"/>
        </w:rPr>
        <w:t>HOUSTON — July 27, 2016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w:t>
      </w:r>
      <w:r>
        <w:rPr>
          <w:rFonts w:ascii="Arial" w:cs="Arial" w:eastAsia="Arial" w:hAnsi="Arial"/>
          <w:sz w:val="16"/>
          <w:szCs w:val="16"/>
          <w:b w:val="1"/>
          <w:bCs w:val="1"/>
          <w:color w:val="auto"/>
        </w:rPr>
        <w:t xml:space="preserve"> </w:t>
      </w:r>
      <w:r>
        <w:rPr>
          <w:rFonts w:ascii="Arial" w:cs="Arial" w:eastAsia="Arial" w:hAnsi="Arial"/>
          <w:sz w:val="18"/>
          <w:szCs w:val="18"/>
          <w:color w:val="57584F"/>
        </w:rPr>
        <w:t>its quarter ended June 30, 2016. Revenues for the second quarter of 2016 were $3.43 billion compared with $3.32 billion for the same 2015 period. Net income for the quarter was $287 million, or $0.64 per diluted share, compared with net income of $274 million, or $0.60 per diluted share, for the second quarter of 2015.</w:t>
      </w:r>
      <w:r>
        <w:rPr>
          <w:rFonts w:ascii="Arial" w:cs="Arial" w:eastAsia="Arial" w:hAnsi="Arial"/>
          <w:sz w:val="15"/>
          <w:szCs w:val="15"/>
          <w:color w:val="57584F"/>
        </w:rPr>
        <w:t>(a)</w:t>
      </w:r>
      <w:r>
        <w:rPr>
          <w:rFonts w:ascii="Arial" w:cs="Arial" w:eastAsia="Arial" w:hAnsi="Arial"/>
          <w:sz w:val="18"/>
          <w:szCs w:val="18"/>
          <w:color w:val="57584F"/>
        </w:rPr>
        <w:t xml:space="preserve"> On an as-adjusted basis, excluding certain items, net income was $329 million, or $0.74 per diluted share, in the second quarter of 2016 compared with $306 million, or $0.67 per diluted share, in the second quarter of 2015.</w:t>
      </w:r>
      <w:r>
        <w:rPr>
          <w:rFonts w:ascii="Arial" w:cs="Arial" w:eastAsia="Arial" w:hAnsi="Arial"/>
          <w:sz w:val="15"/>
          <w:szCs w:val="15"/>
          <w:color w:val="57584F"/>
        </w:rPr>
        <w:t>(b)</w:t>
      </w:r>
    </w:p>
    <w:p>
      <w:pPr>
        <w:spacing w:after="0" w:line="17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57584F"/>
        </w:rPr>
        <w:t>The Company’s as-adjusted second quarter 2016 results exclude $0.10 per diluted share of non-cash charges related to the write-down of investments in waste diversion technology companies to their fair value.</w:t>
      </w:r>
    </w:p>
    <w:p>
      <w:pPr>
        <w:spacing w:after="0" w:line="16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57584F"/>
        </w:rPr>
        <w:t>David P. Steiner, President and Chief Executive Officer of Waste Management, commented, “Our second quarter results mirrored the strong first quarter trends, as we again exceeded our revenue, earnings, and margin targets. In the second quarter, our revenue continued to see benefits from core price, volumes, and acquisitions. Core price was 4.9% and traditional solid waste volumes were positive 0.8%. Importantly, our commercial collection volumes turned positive for the first time since 2005. We also continued to make progress in our cost programs, as operating costs as a percent of revenue improved 300 basis points, or 140 basis points on an as-adjusted basis. The combined revenue growth and cost improvement led to strong growth in operating EBITDA, which increased $127 million, to $951 million.”</w:t>
      </w:r>
      <w:r>
        <w:rPr>
          <w:rFonts w:ascii="Arial" w:cs="Arial" w:eastAsia="Arial" w:hAnsi="Arial"/>
          <w:sz w:val="15"/>
          <w:szCs w:val="15"/>
          <w:color w:val="57584F"/>
        </w:rPr>
        <w:t>(c)</w:t>
      </w:r>
      <w:r>
        <w:rPr>
          <w:rFonts w:ascii="Arial" w:cs="Arial" w:eastAsia="Arial" w:hAnsi="Arial"/>
          <w:sz w:val="18"/>
          <w:szCs w:val="18"/>
          <w:color w:val="57584F"/>
        </w:rPr>
        <w:t xml:space="preserve"> </w:t>
      </w:r>
      <w:r>
        <w:rPr>
          <w:rFonts w:ascii="Arial" w:cs="Arial" w:eastAsia="Arial" w:hAnsi="Arial"/>
          <w:sz w:val="15"/>
          <w:szCs w:val="15"/>
          <w:color w:val="57584F"/>
        </w:rPr>
        <w:t>(d)</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SECOND QUARTER 2016</w:t>
      </w:r>
    </w:p>
    <w:p>
      <w:pPr>
        <w:spacing w:after="0" w:line="245" w:lineRule="exact"/>
        <w:rPr>
          <w:sz w:val="20"/>
          <w:szCs w:val="20"/>
          <w:color w:val="auto"/>
        </w:rPr>
      </w:pPr>
    </w:p>
    <w:p>
      <w:pPr>
        <w:jc w:val="both"/>
        <w:ind w:left="780" w:hanging="407"/>
        <w:spacing w:after="0" w:line="239" w:lineRule="auto"/>
        <w:tabs>
          <w:tab w:leader="none" w:pos="780" w:val="left"/>
        </w:tabs>
        <w:numPr>
          <w:ilvl w:val="0"/>
          <w:numId w:val="3"/>
        </w:numPr>
        <w:rPr>
          <w:rFonts w:ascii="Times New Roman" w:cs="Times New Roman" w:eastAsia="Times New Roman" w:hAnsi="Times New Roman"/>
          <w:sz w:val="18"/>
          <w:szCs w:val="18"/>
          <w:color w:val="57584F"/>
        </w:rPr>
      </w:pPr>
      <w:r>
        <w:rPr>
          <w:rFonts w:ascii="Arial" w:cs="Arial" w:eastAsia="Arial" w:hAnsi="Arial"/>
          <w:sz w:val="18"/>
          <w:szCs w:val="18"/>
          <w:color w:val="57584F"/>
        </w:rPr>
        <w:t>Overall revenue increased by 3.3%, or $110 million. The revenue increase was driven by positive yield and volume in the Company’s collection and disposal business of $98 million. Acquisitions, net of divestitures, also contributed $52 million of revenue growth to the current quarter. These increases were partially offset by $24 million in lower fuel surcharge revenue, $10 million in foreign currency fluctuations, and $5 million in lower recycling revenues.</w:t>
      </w:r>
    </w:p>
    <w:p>
      <w:pPr>
        <w:spacing w:after="0" w:line="3" w:lineRule="exact"/>
        <w:rPr>
          <w:rFonts w:ascii="Times New Roman" w:cs="Times New Roman" w:eastAsia="Times New Roman" w:hAnsi="Times New Roman"/>
          <w:sz w:val="18"/>
          <w:szCs w:val="18"/>
          <w:color w:val="57584F"/>
        </w:rPr>
      </w:pPr>
    </w:p>
    <w:p>
      <w:pPr>
        <w:ind w:left="780" w:hanging="407"/>
        <w:spacing w:after="0" w:line="234" w:lineRule="auto"/>
        <w:tabs>
          <w:tab w:leader="none" w:pos="780" w:val="left"/>
        </w:tabs>
        <w:numPr>
          <w:ilvl w:val="0"/>
          <w:numId w:val="3"/>
        </w:numPr>
        <w:rPr>
          <w:rFonts w:ascii="Times New Roman" w:cs="Times New Roman" w:eastAsia="Times New Roman" w:hAnsi="Times New Roman"/>
          <w:sz w:val="18"/>
          <w:szCs w:val="18"/>
          <w:color w:val="57584F"/>
        </w:rPr>
      </w:pPr>
      <w:r>
        <w:rPr>
          <w:rFonts w:ascii="Arial" w:cs="Arial" w:eastAsia="Arial" w:hAnsi="Arial"/>
          <w:sz w:val="18"/>
          <w:szCs w:val="18"/>
          <w:color w:val="57584F"/>
        </w:rPr>
        <w:t>Core price, which consists of price increases net of rollbacks and fees, other than the Company’s fuel surcharge, was 4.9%, up from 4.1% in the second quarter of 2015.</w:t>
      </w:r>
      <w:r>
        <w:rPr>
          <w:rFonts w:ascii="Arial" w:cs="Arial" w:eastAsia="Arial" w:hAnsi="Arial"/>
          <w:sz w:val="15"/>
          <w:szCs w:val="15"/>
          <w:color w:val="57584F"/>
        </w:rPr>
        <w:t>(c)</w:t>
      </w:r>
    </w:p>
    <w:p>
      <w:pPr>
        <w:ind w:left="780" w:hanging="407"/>
        <w:spacing w:after="0" w:line="234" w:lineRule="auto"/>
        <w:tabs>
          <w:tab w:leader="none" w:pos="780" w:val="left"/>
        </w:tabs>
        <w:numPr>
          <w:ilvl w:val="0"/>
          <w:numId w:val="3"/>
        </w:numPr>
        <w:rPr>
          <w:rFonts w:ascii="Times New Roman" w:cs="Times New Roman" w:eastAsia="Times New Roman" w:hAnsi="Times New Roman"/>
          <w:sz w:val="18"/>
          <w:szCs w:val="18"/>
          <w:color w:val="57584F"/>
        </w:rPr>
      </w:pPr>
      <w:r>
        <w:rPr>
          <w:rFonts w:ascii="Arial" w:cs="Arial" w:eastAsia="Arial" w:hAnsi="Arial"/>
          <w:sz w:val="18"/>
          <w:szCs w:val="18"/>
          <w:color w:val="57584F"/>
        </w:rPr>
        <w:t>Internal revenue growth from yield for collection and disposal operations was 2.6%, up 90 basis points from the second quarter of 2015.</w:t>
      </w:r>
    </w:p>
    <w:p>
      <w:pPr>
        <w:jc w:val="both"/>
        <w:ind w:left="780" w:hanging="407"/>
        <w:spacing w:after="0" w:line="242" w:lineRule="auto"/>
        <w:tabs>
          <w:tab w:leader="none" w:pos="780" w:val="left"/>
        </w:tabs>
        <w:numPr>
          <w:ilvl w:val="0"/>
          <w:numId w:val="3"/>
        </w:numPr>
        <w:rPr>
          <w:rFonts w:ascii="Times New Roman" w:cs="Times New Roman" w:eastAsia="Times New Roman" w:hAnsi="Times New Roman"/>
          <w:sz w:val="18"/>
          <w:szCs w:val="18"/>
          <w:color w:val="57584F"/>
        </w:rPr>
      </w:pPr>
      <w:r>
        <w:rPr>
          <w:rFonts w:ascii="Arial" w:cs="Arial" w:eastAsia="Arial" w:hAnsi="Arial"/>
          <w:sz w:val="18"/>
          <w:szCs w:val="18"/>
          <w:color w:val="57584F"/>
        </w:rPr>
        <w:t>Traditional solid waste business internal revenue growth from volume was positive 0.8% in the second quarter of 2016. Total Company internal revenue growth from volume was 0.4% in the second quarter, with lower recycling volumes accounting for the 40 basis point difference.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4"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57584F"/>
        </w:rPr>
        <w:t xml:space="preserve">Toni Beck 713.394.5093 </w:t>
      </w:r>
      <w:r>
        <w:rPr>
          <w:rFonts w:ascii="Arial" w:cs="Arial" w:eastAsia="Arial" w:hAnsi="Arial"/>
          <w:sz w:val="17"/>
          <w:szCs w:val="17"/>
          <w:u w:val="single" w:color="auto"/>
          <w:color w:val="0000FF"/>
        </w:rPr>
        <w:t>tbeck3@wm.com</w:t>
      </w:r>
    </w:p>
    <w:p>
      <w:pPr>
        <w:sectPr>
          <w:pgSz w:w="11900" w:h="16838" w:orient="portrait"/>
          <w:cols w:equalWidth="0" w:num="2">
            <w:col w:w="8440" w:space="360"/>
            <w:col w:w="2040"/>
          </w:cols>
          <w:pgMar w:left="240" w:top="0" w:right="819" w:bottom="1440" w:gutter="0" w:footer="0" w:header="0"/>
          <w:type w:val="continuous"/>
        </w:sectPr>
      </w:pPr>
    </w:p>
    <w:bookmarkStart w:id="5" w:name="page6"/>
    <w:bookmarkEnd w:id="5"/>
    <w:p>
      <w:pPr>
        <w:jc w:val="both"/>
        <w:ind w:left="780" w:right="1779" w:hanging="407"/>
        <w:spacing w:after="0" w:line="241"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recycling commodity prices increased 2.3% in the second quarter of 2016 from the prior year period. Recycling volumes declined 2.9% in the second quarter. Results in the Company’s recycling line of business improved by more than $0.01 per diluted share when compared to the prior year period.</w:t>
      </w:r>
    </w:p>
    <w:p>
      <w:pPr>
        <w:jc w:val="both"/>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As a percent of revenue, operating expenses were 62.2% in the second quarter of 2016, as compared to 65.2% in the second quarter of 2015, an improvement of 300 basis points. After adjusting the second quarter of 2015 for pension charges, operating expenses improved 140 basis points.</w:t>
      </w:r>
      <w:r>
        <w:rPr>
          <w:rFonts w:ascii="Arial" w:cs="Arial" w:eastAsia="Arial" w:hAnsi="Arial"/>
          <w:sz w:val="15"/>
          <w:szCs w:val="15"/>
          <w:color w:val="57584F"/>
        </w:rPr>
        <w:t>(b)</w:t>
      </w:r>
    </w:p>
    <w:p>
      <w:pPr>
        <w:spacing w:after="0" w:line="2" w:lineRule="exact"/>
        <w:rPr>
          <w:rFonts w:ascii="Times New Roman" w:cs="Times New Roman" w:eastAsia="Times New Roman" w:hAnsi="Times New Roman"/>
          <w:sz w:val="18"/>
          <w:szCs w:val="18"/>
          <w:color w:val="57584F"/>
        </w:rPr>
      </w:pPr>
    </w:p>
    <w:p>
      <w:pPr>
        <w:jc w:val="both"/>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As a percent of revenue, SG&amp;A expenses were 9.9% in the second quarter of 2016, compared to 9.7% in the second quarter of 2015. Incentive compensation accruals from the Company’s stock-based plans account for the slight increase.</w:t>
      </w:r>
    </w:p>
    <w:p>
      <w:pPr>
        <w:spacing w:after="0" w:line="1" w:lineRule="exact"/>
        <w:rPr>
          <w:rFonts w:ascii="Times New Roman" w:cs="Times New Roman" w:eastAsia="Times New Roman" w:hAnsi="Times New Roman"/>
          <w:sz w:val="18"/>
          <w:szCs w:val="18"/>
          <w:color w:val="57584F"/>
        </w:rPr>
      </w:pPr>
    </w:p>
    <w:p>
      <w:pPr>
        <w:jc w:val="both"/>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 xml:space="preserve">Net cash provided by operating activities was $748 million, compared to $816 million in the second quarter of 2015. Growth in earnings from the Company’s core operations drove a year-over-year increase in operating EBITDA of $127 million, or $76 million on an as-adjusted basis. </w:t>
      </w:r>
      <w:r>
        <w:rPr>
          <w:rFonts w:ascii="Arial" w:cs="Arial" w:eastAsia="Arial" w:hAnsi="Arial"/>
          <w:sz w:val="15"/>
          <w:szCs w:val="15"/>
          <w:color w:val="57584F"/>
        </w:rPr>
        <w:t xml:space="preserve">(b)(d) </w:t>
      </w:r>
      <w:r>
        <w:rPr>
          <w:rFonts w:ascii="Arial" w:cs="Arial" w:eastAsia="Arial" w:hAnsi="Arial"/>
          <w:sz w:val="18"/>
          <w:szCs w:val="18"/>
          <w:color w:val="57584F"/>
        </w:rPr>
        <w:t>Net cash provided by operating activities declined year over year because of the impact of</w:t>
      </w:r>
      <w:r>
        <w:rPr>
          <w:rFonts w:ascii="Arial" w:cs="Arial" w:eastAsia="Arial" w:hAnsi="Arial"/>
          <w:sz w:val="15"/>
          <w:szCs w:val="15"/>
          <w:color w:val="57584F"/>
        </w:rPr>
        <w:t xml:space="preserve"> </w:t>
      </w:r>
      <w:r>
        <w:rPr>
          <w:rFonts w:ascii="Arial" w:cs="Arial" w:eastAsia="Arial" w:hAnsi="Arial"/>
          <w:sz w:val="18"/>
          <w:szCs w:val="18"/>
          <w:color w:val="57584F"/>
        </w:rPr>
        <w:t>timing differences in cash tax payments and working capital changes.</w:t>
      </w:r>
    </w:p>
    <w:p>
      <w:pPr>
        <w:spacing w:after="0" w:line="3" w:lineRule="exact"/>
        <w:rPr>
          <w:rFonts w:ascii="Times New Roman" w:cs="Times New Roman" w:eastAsia="Times New Roman" w:hAnsi="Times New Roman"/>
          <w:sz w:val="18"/>
          <w:szCs w:val="18"/>
          <w:color w:val="57584F"/>
        </w:rPr>
      </w:pPr>
    </w:p>
    <w:p>
      <w:pPr>
        <w:jc w:val="both"/>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Capital expenditures for the quarter were $312 million, an increase of $16 million compared to 2015. The Company now expects full-year capital expenditures to be between $1.4 and $1.45 billion, of which about $100 million relates to one-time capital expenditure items.</w:t>
      </w:r>
    </w:p>
    <w:p>
      <w:pPr>
        <w:spacing w:after="0" w:line="1" w:lineRule="exact"/>
        <w:rPr>
          <w:rFonts w:ascii="Times New Roman" w:cs="Times New Roman" w:eastAsia="Times New Roman" w:hAnsi="Times New Roman"/>
          <w:sz w:val="18"/>
          <w:szCs w:val="18"/>
          <w:color w:val="57584F"/>
        </w:rPr>
      </w:pPr>
    </w:p>
    <w:p>
      <w:pPr>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The Company had $11 million of proceeds from the sale of assets and businesses in the quarter, $48 million less than in the second quarter of 2015.</w:t>
      </w:r>
    </w:p>
    <w:p>
      <w:pPr>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Free cash flow was $447 million in the second quarter of 2016.</w:t>
      </w:r>
      <w:r>
        <w:rPr>
          <w:rFonts w:ascii="Arial" w:cs="Arial" w:eastAsia="Arial" w:hAnsi="Arial"/>
          <w:sz w:val="15"/>
          <w:szCs w:val="15"/>
          <w:color w:val="57584F"/>
        </w:rPr>
        <w:t>(b)</w:t>
      </w:r>
      <w:r>
        <w:rPr>
          <w:rFonts w:ascii="Arial" w:cs="Arial" w:eastAsia="Arial" w:hAnsi="Arial"/>
          <w:sz w:val="18"/>
          <w:szCs w:val="18"/>
          <w:color w:val="57584F"/>
        </w:rPr>
        <w:t xml:space="preserve"> The Company now expects its full-year free cash flow to be between $1.6 and $1.7 billion.</w:t>
      </w:r>
    </w:p>
    <w:p>
      <w:pPr>
        <w:ind w:left="780" w:right="1779" w:hanging="407"/>
        <w:spacing w:after="0" w:line="234"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The Company returned $431 million to shareholders during the second quarter, paying $181 million in dividends and repurchasing $250 million of its common stock.</w:t>
      </w:r>
    </w:p>
    <w:p>
      <w:pPr>
        <w:jc w:val="both"/>
        <w:ind w:left="780" w:right="1779" w:hanging="407"/>
        <w:spacing w:after="0" w:line="242" w:lineRule="auto"/>
        <w:tabs>
          <w:tab w:leader="none" w:pos="780" w:val="left"/>
        </w:tabs>
        <w:numPr>
          <w:ilvl w:val="0"/>
          <w:numId w:val="4"/>
        </w:numPr>
        <w:rPr>
          <w:rFonts w:ascii="Times New Roman" w:cs="Times New Roman" w:eastAsia="Times New Roman" w:hAnsi="Times New Roman"/>
          <w:sz w:val="18"/>
          <w:szCs w:val="18"/>
          <w:color w:val="57584F"/>
        </w:rPr>
      </w:pPr>
      <w:r>
        <w:rPr>
          <w:rFonts w:ascii="Arial" w:cs="Arial" w:eastAsia="Arial" w:hAnsi="Arial"/>
          <w:sz w:val="18"/>
          <w:szCs w:val="18"/>
          <w:color w:val="57584F"/>
        </w:rPr>
        <w:t>The effective tax rate was 37.6%. Adjusting for the items excluded from the Company’s as-reported results, the tax rate was 34.7%. The Company still expects its full year as-adjusted tax rate to be approximately 35%.</w:t>
      </w:r>
      <w:r>
        <w:rPr>
          <w:rFonts w:ascii="Arial" w:cs="Arial" w:eastAsia="Arial" w:hAnsi="Arial"/>
          <w:sz w:val="15"/>
          <w:szCs w:val="15"/>
          <w:color w:val="57584F"/>
        </w:rPr>
        <w:t>(b)</w:t>
      </w:r>
    </w:p>
    <w:p>
      <w:pPr>
        <w:spacing w:after="0" w:line="175" w:lineRule="exact"/>
        <w:rPr>
          <w:sz w:val="20"/>
          <w:szCs w:val="20"/>
          <w:color w:val="auto"/>
        </w:rPr>
      </w:pPr>
    </w:p>
    <w:p>
      <w:pPr>
        <w:ind w:right="1859"/>
        <w:spacing w:after="0" w:line="241" w:lineRule="auto"/>
        <w:rPr>
          <w:sz w:val="20"/>
          <w:szCs w:val="20"/>
          <w:color w:val="auto"/>
        </w:rPr>
      </w:pPr>
      <w:r>
        <w:rPr>
          <w:rFonts w:ascii="Arial" w:cs="Arial" w:eastAsia="Arial" w:hAnsi="Arial"/>
          <w:sz w:val="18"/>
          <w:szCs w:val="18"/>
          <w:color w:val="57584F"/>
        </w:rPr>
        <w:t>Steiner continued, “All of our employees worked hard to deliver strong results by focusing on disciplined pricing, improved customer service, targeted sales growth and cost management. These efforts have driven yield, volume, and cost performance in the first half of 2016 to exceed our plan and position us to increase our adjusted earnings per diluted share guidance to between $2.83 and $2.86 for the full year, a $0.09 to $0.12 increase from the low end of our previous guidance. More importantly, we have raised our free cash flow guidance for 2016 to between $1.6 and $1.7 billion, a $100 to $200 million increase from the low end of our previous guidance.</w:t>
      </w:r>
      <w:r>
        <w:rPr>
          <w:rFonts w:ascii="Arial" w:cs="Arial" w:eastAsia="Arial" w:hAnsi="Arial"/>
          <w:sz w:val="15"/>
          <w:szCs w:val="15"/>
          <w:color w:val="57584F"/>
        </w:rPr>
        <w:t>”(b)</w:t>
      </w:r>
    </w:p>
    <w:p>
      <w:pPr>
        <w:spacing w:after="0" w:line="179" w:lineRule="exact"/>
        <w:rPr>
          <w:sz w:val="20"/>
          <w:szCs w:val="20"/>
          <w:color w:val="auto"/>
        </w:rPr>
      </w:pPr>
    </w:p>
    <w:p>
      <w:pPr>
        <w:ind w:right="1959"/>
        <w:spacing w:after="0" w:line="255" w:lineRule="auto"/>
        <w:rPr>
          <w:sz w:val="20"/>
          <w:szCs w:val="20"/>
          <w:color w:val="auto"/>
        </w:rPr>
      </w:pPr>
      <w:r>
        <w:rPr>
          <w:rFonts w:ascii="Arial" w:cs="Arial" w:eastAsia="Arial" w:hAnsi="Arial"/>
          <w:sz w:val="18"/>
          <w:szCs w:val="18"/>
          <w:color w:val="57584F"/>
        </w:rPr>
        <w:t>Steiner concluded, “With solid momentum in our business, and the continued strong performance of our teams, we expect that our earnings will continue to show improvement in 2016 and beyond, and those earnings will continue to drive solid cash flow that we can deploy to benefit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5360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128" w:lineRule="exact"/>
        <w:rPr>
          <w:sz w:val="20"/>
          <w:szCs w:val="20"/>
          <w:color w:val="auto"/>
        </w:rPr>
      </w:pPr>
    </w:p>
    <w:p>
      <w:pPr>
        <w:ind w:left="780" w:right="2179" w:hanging="421"/>
        <w:spacing w:after="0" w:line="247" w:lineRule="auto"/>
        <w:tabs>
          <w:tab w:leader="none" w:pos="780" w:val="left"/>
        </w:tabs>
        <w:numPr>
          <w:ilvl w:val="0"/>
          <w:numId w:val="5"/>
        </w:numPr>
        <w:rPr>
          <w:rFonts w:ascii="Arial" w:cs="Arial" w:eastAsia="Arial" w:hAnsi="Arial"/>
          <w:sz w:val="12"/>
          <w:szCs w:val="12"/>
          <w:color w:val="57584F"/>
        </w:rPr>
      </w:pPr>
      <w:r>
        <w:rPr>
          <w:rFonts w:ascii="Arial" w:cs="Arial" w:eastAsia="Arial" w:hAnsi="Arial"/>
          <w:sz w:val="12"/>
          <w:szCs w:val="12"/>
          <w:color w:val="57584F"/>
        </w:rPr>
        <w:t>For purposes of this press release, all references to “Net income” refer to the financial statement line items “Net income attributable to Waste Management, Inc.”.</w:t>
      </w:r>
    </w:p>
    <w:p>
      <w:pPr>
        <w:ind w:left="780" w:right="1839" w:hanging="421"/>
        <w:spacing w:after="0" w:line="256" w:lineRule="auto"/>
        <w:tabs>
          <w:tab w:leader="none" w:pos="780" w:val="left"/>
        </w:tabs>
        <w:numPr>
          <w:ilvl w:val="0"/>
          <w:numId w:val="5"/>
        </w:numPr>
        <w:rPr>
          <w:rFonts w:ascii="Arial" w:cs="Arial" w:eastAsia="Arial" w:hAnsi="Arial"/>
          <w:sz w:val="11"/>
          <w:szCs w:val="11"/>
          <w:color w:val="57584F"/>
        </w:rPr>
      </w:pPr>
      <w:r>
        <w:rPr>
          <w:rFonts w:ascii="Arial" w:cs="Arial" w:eastAsia="Arial" w:hAnsi="Arial"/>
          <w:sz w:val="11"/>
          <w:szCs w:val="11"/>
          <w:color w:val="57584F"/>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780" w:right="1799"/>
        <w:spacing w:after="0" w:line="237" w:lineRule="auto"/>
        <w:rPr>
          <w:rFonts w:ascii="Arial" w:cs="Arial" w:eastAsia="Arial" w:hAnsi="Arial"/>
          <w:sz w:val="11"/>
          <w:szCs w:val="11"/>
          <w:color w:val="57584F"/>
        </w:rPr>
      </w:pPr>
      <w:r>
        <w:rPr>
          <w:rFonts w:ascii="Arial" w:cs="Arial" w:eastAsia="Arial" w:hAnsi="Arial"/>
          <w:sz w:val="12"/>
          <w:szCs w:val="12"/>
          <w:color w:val="57584F"/>
        </w:rPr>
        <w:t>(i)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operating expenses, operating EBITDA, and tax rate have been presented in certain instances excluding items identified in the reconciliations provided.</w:t>
      </w:r>
    </w:p>
    <w:p>
      <w:pPr>
        <w:sectPr>
          <w:pgSz w:w="11900" w:h="16838" w:orient="portrait"/>
          <w:cols w:equalWidth="0" w:num="1">
            <w:col w:w="10219"/>
          </w:cols>
          <w:pgMar w:left="240" w:top="319" w:right="1440" w:bottom="1440" w:gutter="0" w:footer="0" w:header="0"/>
        </w:sectPr>
      </w:pPr>
    </w:p>
    <w:bookmarkStart w:id="6" w:name="page7"/>
    <w:bookmarkEnd w:id="6"/>
    <w:p>
      <w:pPr>
        <w:ind w:left="780" w:right="1779"/>
        <w:spacing w:after="0" w:line="265" w:lineRule="auto"/>
        <w:rPr>
          <w:sz w:val="20"/>
          <w:szCs w:val="20"/>
          <w:color w:val="auto"/>
        </w:rPr>
      </w:pPr>
      <w:r>
        <w:rPr>
          <w:rFonts w:ascii="Arial" w:cs="Arial" w:eastAsia="Arial" w:hAnsi="Arial"/>
          <w:sz w:val="11"/>
          <w:szCs w:val="11"/>
          <w:color w:val="57584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projected full year 2016 earnings per diluted share and full year expected adjusted tax rate are not based on GAAP calculations and are anticipated to be adjusted to exclude the effects of events or circumstances in 2016 that are not representative or indicative of the Company’s results of operations, including the items excluded from our as-adjusted second quarter results. Projected GAAP earnings per diluted share and effective tax rate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expected tax rate to a GAAP projection.</w:t>
      </w:r>
    </w:p>
    <w:p>
      <w:pPr>
        <w:spacing w:after="0" w:line="211" w:lineRule="exact"/>
        <w:rPr>
          <w:sz w:val="20"/>
          <w:szCs w:val="20"/>
          <w:color w:val="auto"/>
        </w:rPr>
      </w:pPr>
    </w:p>
    <w:p>
      <w:pPr>
        <w:ind w:left="780" w:right="1899"/>
        <w:spacing w:after="0"/>
        <w:rPr>
          <w:sz w:val="20"/>
          <w:szCs w:val="20"/>
          <w:color w:val="auto"/>
        </w:rPr>
      </w:pPr>
      <w:r>
        <w:rPr>
          <w:rFonts w:ascii="Arial" w:cs="Arial" w:eastAsia="Arial" w:hAnsi="Arial"/>
          <w:sz w:val="12"/>
          <w:szCs w:val="12"/>
          <w:color w:val="57584F"/>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223" w:lineRule="exact"/>
        <w:rPr>
          <w:sz w:val="20"/>
          <w:szCs w:val="20"/>
          <w:color w:val="auto"/>
        </w:rPr>
      </w:pPr>
    </w:p>
    <w:p>
      <w:pPr>
        <w:ind w:left="1020" w:hanging="242"/>
        <w:spacing w:after="0"/>
        <w:tabs>
          <w:tab w:leader="none" w:pos="1020" w:val="left"/>
        </w:tabs>
        <w:numPr>
          <w:ilvl w:val="0"/>
          <w:numId w:val="6"/>
        </w:numPr>
        <w:rPr>
          <w:rFonts w:ascii="Times New Roman" w:cs="Times New Roman" w:eastAsia="Times New Roman" w:hAnsi="Times New Roman"/>
          <w:sz w:val="12"/>
          <w:szCs w:val="12"/>
          <w:color w:val="57584F"/>
        </w:rPr>
      </w:pPr>
      <w:r>
        <w:rPr>
          <w:rFonts w:ascii="Arial" w:cs="Arial" w:eastAsia="Arial" w:hAnsi="Arial"/>
          <w:sz w:val="12"/>
          <w:szCs w:val="12"/>
          <w:color w:val="57584F"/>
        </w:rPr>
        <w:t>Net cash provided by operating activities</w:t>
      </w:r>
    </w:p>
    <w:p>
      <w:pPr>
        <w:spacing w:after="0" w:line="77" w:lineRule="exact"/>
        <w:rPr>
          <w:rFonts w:ascii="Times New Roman" w:cs="Times New Roman" w:eastAsia="Times New Roman" w:hAnsi="Times New Roman"/>
          <w:sz w:val="12"/>
          <w:szCs w:val="12"/>
          <w:color w:val="57584F"/>
        </w:rPr>
      </w:pPr>
    </w:p>
    <w:p>
      <w:pPr>
        <w:ind w:left="1020" w:hanging="242"/>
        <w:spacing w:after="0"/>
        <w:tabs>
          <w:tab w:leader="none" w:pos="1020" w:val="left"/>
        </w:tabs>
        <w:numPr>
          <w:ilvl w:val="0"/>
          <w:numId w:val="6"/>
        </w:numPr>
        <w:rPr>
          <w:rFonts w:ascii="Times New Roman" w:cs="Times New Roman" w:eastAsia="Times New Roman" w:hAnsi="Times New Roman"/>
          <w:sz w:val="12"/>
          <w:szCs w:val="12"/>
          <w:color w:val="57584F"/>
        </w:rPr>
      </w:pPr>
      <w:r>
        <w:rPr>
          <w:rFonts w:ascii="Arial" w:cs="Arial" w:eastAsia="Arial" w:hAnsi="Arial"/>
          <w:sz w:val="12"/>
          <w:szCs w:val="12"/>
          <w:color w:val="57584F"/>
        </w:rPr>
        <w:t>Less, capital expenditures</w:t>
      </w:r>
    </w:p>
    <w:p>
      <w:pPr>
        <w:spacing w:after="0" w:line="77" w:lineRule="exact"/>
        <w:rPr>
          <w:rFonts w:ascii="Times New Roman" w:cs="Times New Roman" w:eastAsia="Times New Roman" w:hAnsi="Times New Roman"/>
          <w:sz w:val="12"/>
          <w:szCs w:val="12"/>
          <w:color w:val="57584F"/>
        </w:rPr>
      </w:pPr>
    </w:p>
    <w:p>
      <w:pPr>
        <w:ind w:left="1020" w:hanging="242"/>
        <w:spacing w:after="0"/>
        <w:tabs>
          <w:tab w:leader="none" w:pos="1020" w:val="left"/>
        </w:tabs>
        <w:numPr>
          <w:ilvl w:val="0"/>
          <w:numId w:val="6"/>
        </w:numPr>
        <w:rPr>
          <w:rFonts w:ascii="Times New Roman" w:cs="Times New Roman" w:eastAsia="Times New Roman" w:hAnsi="Times New Roman"/>
          <w:sz w:val="12"/>
          <w:szCs w:val="12"/>
          <w:color w:val="57584F"/>
        </w:rPr>
      </w:pPr>
      <w:r>
        <w:rPr>
          <w:rFonts w:ascii="Arial" w:cs="Arial" w:eastAsia="Arial" w:hAnsi="Arial"/>
          <w:sz w:val="12"/>
          <w:szCs w:val="12"/>
          <w:color w:val="57584F"/>
        </w:rPr>
        <w:t>Plus, proceeds from divestitures of businesses (net of cash divested) and other sales of assets.</w:t>
      </w:r>
    </w:p>
    <w:p>
      <w:pPr>
        <w:spacing w:after="0" w:line="240" w:lineRule="exact"/>
        <w:rPr>
          <w:sz w:val="20"/>
          <w:szCs w:val="20"/>
          <w:color w:val="auto"/>
        </w:rPr>
      </w:pPr>
    </w:p>
    <w:p>
      <w:pPr>
        <w:ind w:left="780" w:right="1899"/>
        <w:spacing w:after="0" w:line="265" w:lineRule="auto"/>
        <w:rPr>
          <w:sz w:val="20"/>
          <w:szCs w:val="20"/>
          <w:color w:val="auto"/>
        </w:rPr>
      </w:pPr>
      <w:r>
        <w:rPr>
          <w:rFonts w:ascii="Arial" w:cs="Arial" w:eastAsia="Arial" w:hAnsi="Arial"/>
          <w:sz w:val="12"/>
          <w:szCs w:val="12"/>
          <w:color w:val="57584F"/>
        </w:rPr>
        <w:t>The Company’s definition of free cash flow may not be comparable to similarly titled measures presented by other companies, and therefore is not subject to comparison.</w:t>
      </w:r>
    </w:p>
    <w:p>
      <w:pPr>
        <w:spacing w:after="0" w:line="208" w:lineRule="exact"/>
        <w:rPr>
          <w:sz w:val="20"/>
          <w:szCs w:val="20"/>
          <w:color w:val="auto"/>
        </w:rPr>
      </w:pPr>
    </w:p>
    <w:p>
      <w:pPr>
        <w:ind w:left="780" w:right="1819"/>
        <w:spacing w:after="0" w:line="245" w:lineRule="auto"/>
        <w:rPr>
          <w:sz w:val="20"/>
          <w:szCs w:val="20"/>
          <w:color w:val="auto"/>
        </w:rPr>
      </w:pPr>
      <w:r>
        <w:rPr>
          <w:rFonts w:ascii="Arial" w:cs="Arial" w:eastAsia="Arial" w:hAnsi="Arial"/>
          <w:sz w:val="12"/>
          <w:szCs w:val="12"/>
          <w:color w:val="57584F"/>
        </w:rPr>
        <w:t>The quantitative reconciliations of non-GAAP measures used herein to the most comparable GAAP measures are included in the accompanying schedules, with the exception of projected earnings per diluted share and expected tax rate. Non-GAAP measures should not be considered a substitute for financial measures presented in accordance with GAAP, and investors are urged to take into account GAAP measures as well as non-GAAP measures in evaluating the Company.</w:t>
      </w:r>
    </w:p>
    <w:p>
      <w:pPr>
        <w:spacing w:after="0" w:line="17" w:lineRule="exact"/>
        <w:rPr>
          <w:sz w:val="20"/>
          <w:szCs w:val="20"/>
          <w:color w:val="auto"/>
        </w:rPr>
      </w:pPr>
    </w:p>
    <w:p>
      <w:pPr>
        <w:jc w:val="both"/>
        <w:ind w:left="780" w:right="1939" w:hanging="421"/>
        <w:spacing w:after="0" w:line="281" w:lineRule="auto"/>
        <w:tabs>
          <w:tab w:leader="none" w:pos="780" w:val="left"/>
        </w:tabs>
        <w:numPr>
          <w:ilvl w:val="0"/>
          <w:numId w:val="7"/>
        </w:numPr>
        <w:rPr>
          <w:rFonts w:ascii="Arial" w:cs="Arial" w:eastAsia="Arial" w:hAnsi="Arial"/>
          <w:sz w:val="11"/>
          <w:szCs w:val="11"/>
          <w:color w:val="57584F"/>
        </w:rPr>
      </w:pPr>
      <w:r>
        <w:rPr>
          <w:rFonts w:ascii="Arial" w:cs="Arial" w:eastAsia="Arial" w:hAnsi="Arial"/>
          <w:sz w:val="11"/>
          <w:szCs w:val="11"/>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 w:lineRule="exact"/>
        <w:rPr>
          <w:rFonts w:ascii="Arial" w:cs="Arial" w:eastAsia="Arial" w:hAnsi="Arial"/>
          <w:sz w:val="11"/>
          <w:szCs w:val="11"/>
          <w:color w:val="57584F"/>
        </w:rPr>
      </w:pPr>
    </w:p>
    <w:p>
      <w:pPr>
        <w:ind w:left="780" w:right="2339" w:hanging="421"/>
        <w:spacing w:after="0" w:line="265" w:lineRule="auto"/>
        <w:tabs>
          <w:tab w:leader="none" w:pos="780" w:val="left"/>
        </w:tabs>
        <w:numPr>
          <w:ilvl w:val="0"/>
          <w:numId w:val="7"/>
        </w:numPr>
        <w:rPr>
          <w:rFonts w:ascii="Arial" w:cs="Arial" w:eastAsia="Arial" w:hAnsi="Arial"/>
          <w:sz w:val="12"/>
          <w:szCs w:val="12"/>
          <w:color w:val="57584F"/>
        </w:rPr>
      </w:pPr>
      <w:r>
        <w:rPr>
          <w:rFonts w:ascii="Arial" w:cs="Arial" w:eastAsia="Arial" w:hAnsi="Arial"/>
          <w:sz w:val="12"/>
          <w:szCs w:val="12"/>
          <w:color w:val="57584F"/>
        </w:rPr>
        <w:t>Management defines operating EBITDA as GAAP income from operations before depreciation and amortization; this measure may not be comparable to similarly titled measures reported by other companies.</w:t>
      </w:r>
    </w:p>
    <w:p>
      <w:pPr>
        <w:spacing w:after="0" w:line="200" w:lineRule="exact"/>
        <w:rPr>
          <w:sz w:val="20"/>
          <w:szCs w:val="20"/>
          <w:color w:val="auto"/>
        </w:rPr>
      </w:pPr>
    </w:p>
    <w:p>
      <w:pPr>
        <w:spacing w:after="0" w:line="295" w:lineRule="exact"/>
        <w:rPr>
          <w:sz w:val="20"/>
          <w:szCs w:val="20"/>
          <w:color w:val="auto"/>
        </w:rPr>
      </w:pPr>
    </w:p>
    <w:p>
      <w:pPr>
        <w:ind w:right="1819"/>
        <w:spacing w:after="0" w:line="255" w:lineRule="auto"/>
        <w:rPr>
          <w:sz w:val="20"/>
          <w:szCs w:val="20"/>
          <w:color w:val="auto"/>
        </w:rPr>
      </w:pPr>
      <w:r>
        <w:rPr>
          <w:rFonts w:ascii="Arial" w:cs="Arial" w:eastAsia="Arial" w:hAnsi="Arial"/>
          <w:sz w:val="18"/>
          <w:szCs w:val="18"/>
          <w:color w:val="57584F"/>
        </w:rPr>
        <w:t>The Company will host a conference call at 10:00 AM (Eastern) today to discuss the second quarter 2016 results. Information contained within this press release will be referenced and should be considered in conjunction with the call.</w:t>
      </w:r>
    </w:p>
    <w:p>
      <w:pPr>
        <w:spacing w:after="0" w:line="164" w:lineRule="exact"/>
        <w:rPr>
          <w:sz w:val="20"/>
          <w:szCs w:val="20"/>
          <w:color w:val="auto"/>
        </w:rPr>
      </w:pPr>
    </w:p>
    <w:p>
      <w:pPr>
        <w:ind w:right="2179"/>
        <w:spacing w:after="0" w:line="245"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 minutes prior to the scheduled start of the call. If you are calling from outside of the United States or Canada, please dial (706) 643-7398. Please utilize conference ID number 43986112 when prompted by the conference call operator.</w:t>
      </w:r>
    </w:p>
    <w:p>
      <w:pPr>
        <w:spacing w:after="0" w:line="172" w:lineRule="exact"/>
        <w:rPr>
          <w:sz w:val="20"/>
          <w:szCs w:val="20"/>
          <w:color w:val="auto"/>
        </w:rPr>
      </w:pPr>
    </w:p>
    <w:p>
      <w:pPr>
        <w:ind w:right="1859"/>
        <w:spacing w:after="0" w:line="245"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1:00 PM (Eastern) Wednesday, July 27, 2016 through 5:00 PM (Eastern) on Wednesday, August 11, 2016. To access the replay telephonically, please dial (855) 859-2056, or from outside of the United States or Canada dial (404) 537-3406, and use the replay conference ID number 43986112.</w:t>
      </w:r>
    </w:p>
    <w:p>
      <w:pPr>
        <w:spacing w:after="0" w:line="175" w:lineRule="exact"/>
        <w:rPr>
          <w:sz w:val="20"/>
          <w:szCs w:val="20"/>
          <w:color w:val="auto"/>
        </w:rPr>
      </w:pPr>
    </w:p>
    <w:p>
      <w:pPr>
        <w:jc w:val="both"/>
        <w:ind w:right="2199"/>
        <w:spacing w:after="0" w:line="234" w:lineRule="auto"/>
        <w:rPr>
          <w:sz w:val="20"/>
          <w:szCs w:val="20"/>
          <w:color w:val="auto"/>
        </w:rPr>
      </w:pPr>
      <w:r>
        <w:rPr>
          <w:rFonts w:ascii="Arial" w:cs="Arial" w:eastAsia="Arial" w:hAnsi="Arial"/>
          <w:sz w:val="13"/>
          <w:szCs w:val="13"/>
          <w:i w:val="1"/>
          <w:iCs w:val="1"/>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2016 earnings per diluted share; 2016</w:t>
      </w:r>
    </w:p>
    <w:p>
      <w:pPr>
        <w:sectPr>
          <w:pgSz w:w="11900" w:h="16838" w:orient="portrait"/>
          <w:cols w:equalWidth="0" w:num="1">
            <w:col w:w="10219"/>
          </w:cols>
          <w:pgMar w:left="240" w:top="330" w:right="1440" w:bottom="1440" w:gutter="0" w:footer="0" w:header="0"/>
        </w:sectPr>
      </w:pPr>
    </w:p>
    <w:bookmarkStart w:id="7" w:name="page8"/>
    <w:bookmarkEnd w:id="7"/>
    <w:p>
      <w:pPr>
        <w:ind w:right="1779"/>
        <w:spacing w:after="0" w:line="239" w:lineRule="auto"/>
        <w:rPr>
          <w:sz w:val="20"/>
          <w:szCs w:val="20"/>
          <w:color w:val="auto"/>
        </w:rPr>
      </w:pPr>
      <w:r>
        <w:rPr>
          <w:rFonts w:ascii="Arial" w:cs="Arial" w:eastAsia="Arial" w:hAnsi="Arial"/>
          <w:sz w:val="12"/>
          <w:szCs w:val="12"/>
          <w:i w:val="1"/>
          <w:iCs w:val="1"/>
          <w:color w:val="57584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cash flow; 2016 capital expenditures, 2016 adjusted tax rate; future earnings improvement and cash flow; and future volume trends and improvements.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4" w:lineRule="exact"/>
        <w:rPr>
          <w:sz w:val="20"/>
          <w:szCs w:val="20"/>
          <w:color w:val="auto"/>
        </w:rPr>
      </w:pPr>
    </w:p>
    <w:p>
      <w:pPr>
        <w:jc w:val="both"/>
        <w:ind w:right="1759"/>
        <w:spacing w:after="0" w:line="234" w:lineRule="auto"/>
        <w:rPr>
          <w:sz w:val="20"/>
          <w:szCs w:val="20"/>
          <w:color w:val="auto"/>
        </w:rPr>
      </w:pPr>
      <w:r>
        <w:rPr>
          <w:rFonts w:ascii="Arial" w:cs="Arial" w:eastAsia="Arial" w:hAnsi="Arial"/>
          <w:sz w:val="18"/>
          <w:szCs w:val="18"/>
          <w:color w:val="57584F"/>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7584F"/>
        </w:rPr>
        <w:t>www.wm.com</w:t>
      </w:r>
      <w:r>
        <w:rPr>
          <w:rFonts w:ascii="Arial" w:cs="Arial" w:eastAsia="Arial" w:hAnsi="Arial"/>
          <w:sz w:val="18"/>
          <w:szCs w:val="18"/>
          <w:color w:val="57584F"/>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7584F"/>
        </w:rPr>
        <w:t>.</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8"/>
          <w:szCs w:val="18"/>
          <w:color w:val="57584F"/>
        </w:rPr>
        <w:t>###</w:t>
      </w:r>
    </w:p>
    <w:p>
      <w:pPr>
        <w:sectPr>
          <w:pgSz w:w="11900" w:h="16838" w:orient="portrait"/>
          <w:cols w:equalWidth="0" w:num="1">
            <w:col w:w="10219"/>
          </w:cols>
          <w:pgMar w:left="240" w:top="32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8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 from divestitures, asset impairments and unusual items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4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4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4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320" w:type="dxa"/>
            <w:vAlign w:val="bottom"/>
            <w:vMerge w:val="restart"/>
          </w:tcPr>
          <w:p>
            <w:pPr>
              <w:jc w:val="right"/>
              <w:ind w:right="371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jc w:val="right"/>
              <w:ind w:right="365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6,355</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 from divestitures, asset impairments and unusual items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4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4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4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180" w:type="dxa"/>
            <w:vAlign w:val="bottom"/>
            <w:vMerge w:val="restart"/>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441.7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jc w:val="right"/>
              <w:ind w:right="353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20,367</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2,192</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Prior year information has been reclassified to conform to 2016 presentation.</w:t>
      </w:r>
    </w:p>
    <w:p>
      <w:pPr>
        <w:spacing w:after="0" w:line="1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(5)</w:t>
      </w:r>
    </w:p>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receipts from restricted trust and escrow accounts, and 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borrowings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repayments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Premiums paid on early extinguishment of debt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jc w:val="right"/>
              <w:ind w:right="337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7"/>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9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Operating Revenues by Lines of Business</w:t>
            </w:r>
          </w:p>
        </w:tc>
        <w:tc>
          <w:tcPr>
            <w:tcW w:w="296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Collection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865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6"/>
              </w:rPr>
              <w:t>622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Collection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Landfill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6"/>
              </w:rPr>
              <w:t>792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Recycling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6"/>
              </w:rPr>
              <w:t>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18"/>
                <w:szCs w:val="18"/>
                <w:b w:val="1"/>
                <w:bCs w:val="1"/>
                <w:color w:val="auto"/>
              </w:rPr>
              <w:t>(a)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3,176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4"/>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5"/>
              <w:spacing w:after="0" w:line="119" w:lineRule="exact"/>
              <w:rPr>
                <w:sz w:val="20"/>
                <w:szCs w:val="20"/>
                <w:color w:val="auto"/>
              </w:rPr>
            </w:pPr>
            <w:r>
              <w:rPr>
                <w:rFonts w:ascii="Times New Roman" w:cs="Times New Roman" w:eastAsia="Times New Roman" w:hAnsi="Times New Roman"/>
                <w:sz w:val="13"/>
                <w:szCs w:val="13"/>
                <w:color w:val="auto"/>
              </w:rPr>
              <w:t>As a % of</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Total Company</w:t>
            </w:r>
          </w:p>
        </w:tc>
        <w:tc>
          <w:tcPr>
            <w:tcW w:w="16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20" w:type="dxa"/>
            <w:vAlign w:val="bottom"/>
            <w:tcBorders>
              <w:top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Analysis of Change in Year Over Year Revenues</w:t>
            </w: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Average yield </w:t>
            </w:r>
            <w:r>
              <w:rPr>
                <w:rFonts w:ascii="Times New Roman" w:cs="Times New Roman" w:eastAsia="Times New Roman" w:hAnsi="Times New Roman"/>
                <w:sz w:val="18"/>
                <w:szCs w:val="18"/>
                <w:b w:val="1"/>
                <w:bCs w:val="1"/>
                <w:color w:val="auto"/>
              </w:rPr>
              <w:t>(i)</w:t>
            </w:r>
          </w:p>
        </w:tc>
        <w:tc>
          <w:tcPr>
            <w:tcW w:w="2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1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Internal revenue growth</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gridSpan w:val="5"/>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As a % of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60" w:type="dxa"/>
            <w:vAlign w:val="bottom"/>
          </w:tcPr>
          <w:p>
            <w:pPr>
              <w:spacing w:after="0"/>
              <w:rPr>
                <w:sz w:val="12"/>
                <w:szCs w:val="12"/>
                <w:color w:val="auto"/>
              </w:rPr>
            </w:pPr>
          </w:p>
        </w:tc>
        <w:tc>
          <w:tcPr>
            <w:tcW w:w="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Business</w:t>
            </w:r>
          </w:p>
        </w:tc>
        <w:tc>
          <w:tcPr>
            <w:tcW w:w="16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Average yield</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Collection and disposal</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Recycling commodities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Fuel surcharges and mandated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1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center"/>
              <w:ind w:left="4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Free Cash Flow Analysis (b)</w:t>
            </w:r>
          </w:p>
        </w:tc>
        <w:tc>
          <w:tcPr>
            <w:tcW w:w="39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816</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1,315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does not provide a meaningful comparison.</w:t>
      </w:r>
    </w:p>
    <w:p>
      <w:pPr>
        <w:spacing w:after="0" w:line="27"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within the Condensed Consolidated Financial Statements included herein.</w:t>
      </w:r>
    </w:p>
    <w:p>
      <w:pPr>
        <w:spacing w:after="0" w:line="9" w:lineRule="exact"/>
        <w:rPr>
          <w:rFonts w:ascii="Times New Roman" w:cs="Times New Roman" w:eastAsia="Times New Roman" w:hAnsi="Times New Roman"/>
          <w:sz w:val="18"/>
          <w:szCs w:val="18"/>
          <w:color w:val="auto"/>
        </w:rPr>
      </w:pPr>
    </w:p>
    <w:p>
      <w:pPr>
        <w:ind w:left="460" w:right="80" w:hanging="452"/>
        <w:spacing w:after="0" w:line="25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w:t>
      </w:r>
    </w:p>
    <w:p>
      <w:pPr>
        <w:sectPr>
          <w:pgSz w:w="11900" w:h="16838" w:orient="portrait"/>
          <w:cols w:equalWidth="0" w:num="1">
            <w:col w:w="11420"/>
          </w:cols>
          <w:pgMar w:left="240" w:top="266"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Balance Sheet Data</w:t>
            </w:r>
          </w:p>
        </w:tc>
        <w:tc>
          <w:tcPr>
            <w:tcW w:w="6860" w:type="dxa"/>
            <w:vAlign w:val="bottom"/>
            <w:tcBorders>
              <w:bottom w:val="single" w:sz="8" w:color="CCEEFF"/>
            </w:tcBorders>
            <w:gridSpan w:val="4"/>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4"/>
                <w:szCs w:val="24"/>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Debt-to-total capital ratio: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Long-term indebtedness, including current portion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Total capital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14,906</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Debt-to-total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Acquisition Summary (a)</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Other Operational Data</w:t>
            </w:r>
          </w:p>
        </w:tc>
        <w:tc>
          <w:tcPr>
            <w:tcW w:w="650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landfill disposal volumes (tons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Active landfills</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Sites accepting waste at the end of each period presented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Amortization, Accretion and Other Expenses for Landfills Included in Operating Groups: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amortization expense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Total landfill amortization expense (b) (c)</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and other related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Landfill amortization, accretion and other related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4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ind w:left="460" w:right="8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ended June 30, 2016 as compared to the quarter ended March 31, 2016 reflects an increase in amortization expense of approximately $16.7 million, due to an increase in volumes primarily due to seasonality.</w:t>
      </w:r>
    </w:p>
    <w:p>
      <w:pPr>
        <w:ind w:left="460" w:right="10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ended June 30, 2016 as compared to the quarter ended June 30, 2015 reflects an increase in amortization expense of of approximately $4.1 million primarily due to volume.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w:t>
      </w:r>
    </w:p>
    <w:p>
      <w:pPr>
        <w:sectPr>
          <w:pgSz w:w="11900" w:h="16838" w:orient="portrait"/>
          <w:cols w:equalWidth="0" w:num="1">
            <w:col w:w="11420"/>
          </w:cols>
          <w:pgMar w:left="240" w:top="266"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After-Tax</w:t>
            </w:r>
          </w:p>
        </w:tc>
        <w:tc>
          <w:tcPr>
            <w:tcW w:w="12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Net Income and Earnings Per Diluted Share</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 as reported</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287</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0.64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 and diluted EPS: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 xml:space="preserve">Expense from divestitures, asset and investment impairments and unusual items and restructuring charges </w:t>
            </w:r>
            <w:r>
              <w:rPr>
                <w:rFonts w:ascii="Times New Roman" w:cs="Times New Roman" w:eastAsia="Times New Roman" w:hAnsi="Times New Roman"/>
                <w:sz w:val="18"/>
                <w:szCs w:val="18"/>
                <w:b w:val="1"/>
                <w:bCs w:val="1"/>
                <w:color w:val="auto"/>
              </w:rPr>
              <w:t>(a)</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and diluted EPS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0.74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Net Income and Earnings Per Diluted Share</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 as reported</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274</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0.60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 and diluted EPS: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0" w:type="dxa"/>
            <w:vAlign w:val="bottom"/>
            <w:gridSpan w:val="8"/>
          </w:tcPr>
          <w:p>
            <w:pPr>
              <w:ind w:left="340"/>
              <w:spacing w:after="0" w:line="198" w:lineRule="exact"/>
              <w:rPr>
                <w:sz w:val="20"/>
                <w:szCs w:val="20"/>
                <w:color w:val="auto"/>
              </w:rPr>
            </w:pPr>
            <w:r>
              <w:rPr>
                <w:rFonts w:ascii="Times New Roman" w:cs="Times New Roman" w:eastAsia="Times New Roman" w:hAnsi="Times New Roman"/>
                <w:sz w:val="18"/>
                <w:szCs w:val="18"/>
                <w:color w:val="auto"/>
              </w:rPr>
              <w:t>Charges associated with the withdrawal from Central States Pension Plan and Local 945 Pension Fund recorded in</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and diluted EPS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0.67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Quarter Ended June 30, 2016</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Pre-tax</w:t>
            </w:r>
          </w:p>
        </w:tc>
        <w:tc>
          <w:tcPr>
            <w:tcW w:w="500" w:type="dxa"/>
            <w:vAlign w:val="bottom"/>
          </w:tcPr>
          <w:p>
            <w:pPr>
              <w:spacing w:after="0"/>
              <w:rPr>
                <w:sz w:val="10"/>
                <w:szCs w:val="10"/>
                <w:color w:val="auto"/>
              </w:rPr>
            </w:pPr>
          </w:p>
        </w:tc>
        <w:tc>
          <w:tcPr>
            <w:tcW w:w="1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2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0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Rate (c)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Tax Expense Reconciliation and Effective Tax Rate</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459</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173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37.6%</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Expense from divestitures, asset and investment impairments and unusual items and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18"/>
                <w:szCs w:val="18"/>
                <w:b w:val="1"/>
                <w:bCs w:val="1"/>
                <w:color w:val="auto"/>
              </w:rPr>
              <w:t>(a)</w:t>
            </w:r>
          </w:p>
        </w:tc>
        <w:tc>
          <w:tcPr>
            <w:tcW w:w="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504</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40" w:hanging="452"/>
        <w:spacing w:after="0" w:line="257" w:lineRule="auto"/>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net charges reflected in: i) the “Other, net” financial caption of approximately $40 million after-tax related to the write-down of investments in waste diversion technology companies to their fair value; ii) the “Restructuring” financial caption; and iii) the “Expense from Divestitures, Asset Impairments and Unusual Items” financial caption.</w:t>
      </w:r>
    </w:p>
    <w:p>
      <w:pPr>
        <w:spacing w:after="0" w:line="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quarter 2016 as-adjusted earnings per diluted share increased $0.07, or 10.4%, as compared with adjusted results for the same period prior year.</w:t>
      </w:r>
    </w:p>
    <w:p>
      <w:pPr>
        <w:spacing w:after="0" w:line="9" w:lineRule="exact"/>
        <w:rPr>
          <w:rFonts w:ascii="Times New Roman" w:cs="Times New Roman" w:eastAsia="Times New Roman" w:hAnsi="Times New Roman"/>
          <w:sz w:val="18"/>
          <w:szCs w:val="18"/>
          <w:b w:val="1"/>
          <w:bCs w:val="1"/>
          <w:color w:val="auto"/>
        </w:rPr>
      </w:pPr>
    </w:p>
    <w:p>
      <w:pPr>
        <w:ind w:left="460" w:right="240" w:hanging="452"/>
        <w:spacing w:after="0" w:line="261" w:lineRule="auto"/>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w:t>
      </w:r>
    </w:p>
    <w:p>
      <w:pPr>
        <w:sectPr>
          <w:pgSz w:w="11900" w:h="16838" w:orient="portrait"/>
          <w:cols w:equalWidth="0" w:num="1">
            <w:col w:w="11420"/>
          </w:cols>
          <w:pgMar w:left="240" w:top="26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5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Income from Operations and Adjusted Income from Operations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$3,425</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611</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 from divestitures, asset impairments and unusual items and restructuring charges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18.0%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5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Income from Operations and Adjusted Income from Operations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$3,315</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Charges associated with the withdrawal from Central States Pension Plan and Local 945 Pension Fund recorded in</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16.8%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80" w:hanging="452"/>
        <w:spacing w:after="0" w:line="282" w:lineRule="auto"/>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income from operations grew $58 million, or 120 basis points as a percent of revenues, as compared with adjusted results for the same period prior year.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w:t>
      </w:r>
    </w:p>
    <w:p>
      <w:pPr>
        <w:sectPr>
          <w:pgSz w:w="11900" w:h="16838" w:orient="portrait"/>
          <w:cols w:equalWidth="0" w:num="1">
            <w:col w:w="11420"/>
          </w:cols>
          <w:pgMar w:left="240" w:top="266"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 Adjusted Operating EBITDA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$3,425</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611</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27.8%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 from divestitures, asset impairments and unusual items and restructuring charges</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0" w:type="dxa"/>
            <w:vAlign w:val="bottom"/>
            <w:tcBorders>
              <w:bottom w:val="single" w:sz="8" w:color="auto"/>
            </w:tcBorders>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27.9%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 Adjusted Operating EBITDA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$3,315</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502</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824</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24.9%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Charges associated with the withdrawal from Central States Pension Plan and Local 945 Pension Fund recorded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 operating expenses</w:t>
            </w:r>
          </w:p>
        </w:tc>
        <w:tc>
          <w:tcPr>
            <w:tcW w:w="1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20" w:type="dxa"/>
            <w:vAlign w:val="bottom"/>
            <w:tcBorders>
              <w:bottom w:val="single" w:sz="8" w:color="auto"/>
            </w:tcBorders>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26.5%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reported operating EBITDA increased $127 million, or 290 basis points as a percent of revenues, as compared with the same period prior year.</w:t>
      </w:r>
    </w:p>
    <w:p>
      <w:pPr>
        <w:spacing w:after="0" w:line="27" w:lineRule="exact"/>
        <w:rPr>
          <w:rFonts w:ascii="Times New Roman" w:cs="Times New Roman" w:eastAsia="Times New Roman" w:hAnsi="Times New Roman"/>
          <w:sz w:val="18"/>
          <w:szCs w:val="18"/>
          <w:b w:val="1"/>
          <w:bCs w:val="1"/>
          <w:color w:val="auto"/>
        </w:rPr>
      </w:pPr>
    </w:p>
    <w:p>
      <w:pPr>
        <w:ind w:left="460" w:right="100" w:hanging="452"/>
        <w:spacing w:after="0" w:line="261" w:lineRule="auto"/>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operating EBITDA increased $76 million, or 140 basis points as a percent of revenues, as compared with adjusted results for the same period prior year.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w:t>
      </w:r>
    </w:p>
    <w:p>
      <w:pPr>
        <w:sectPr>
          <w:pgSz w:w="11900" w:h="16838" w:orient="portrait"/>
          <w:cols w:equalWidth="0" w:num="1">
            <w:col w:w="11420"/>
          </w:cols>
          <w:pgMar w:left="240" w:top="266"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Quarters Ended</w:t>
      </w:r>
    </w:p>
    <w:p>
      <w:pPr>
        <w:ind w:left="99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as a Percent of Revenues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2,130</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 to operating expenses: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Charges associated with the withdrawal from Central States Pension Plan and Local 945 Pension Fund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 (a)</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 as a percent of revenues (a)</w:t>
            </w:r>
          </w:p>
        </w:tc>
        <w:tc>
          <w:tcPr>
            <w:tcW w:w="14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62.2%</w:t>
            </w: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63.6%</w:t>
            </w:r>
          </w:p>
        </w:tc>
        <w:tc>
          <w:tcPr>
            <w:tcW w:w="0" w:type="dxa"/>
            <w:vAlign w:val="bottom"/>
          </w:tcPr>
          <w:p>
            <w:pPr>
              <w:spacing w:after="0"/>
              <w:rPr>
                <w:sz w:val="1"/>
                <w:szCs w:val="1"/>
                <w:color w:val="auto"/>
              </w:rPr>
            </w:pPr>
          </w:p>
        </w:tc>
      </w:tr>
      <w:tr>
        <w:trPr>
          <w:trHeight w:val="540"/>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2016 Projected Free Cash Flow Reconciliation </w:t>
            </w:r>
            <w:r>
              <w:rPr>
                <w:rFonts w:ascii="Times New Roman" w:cs="Times New Roman" w:eastAsia="Times New Roman" w:hAnsi="Times New Roman"/>
                <w:sz w:val="18"/>
                <w:szCs w:val="18"/>
                <w:b w:val="1"/>
                <w:bCs w:val="1"/>
                <w:color w:val="auto"/>
              </w:rPr>
              <w:t>(b)</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500" w:hanging="452"/>
        <w:spacing w:after="0" w:line="261" w:lineRule="auto"/>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expenses increased $22 million on a dollar basis, but improved 140 basis points as compared with the adjusted operating expenses as a percent of revenues in the second quarter of 2015.</w:t>
      </w:r>
    </w:p>
    <w:p>
      <w:pPr>
        <w:ind w:left="460" w:right="120" w:hanging="452"/>
        <w:spacing w:after="0" w:line="261" w:lineRule="auto"/>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 includes two scenarios that illustrate our projected free cash flow range for 2016. The amounts used in the reconciliation are subject to many variables, some of which are not under our control and, therefore, are not necessarily indicative of actual results.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2019-12-05T20:42:31Z</dcterms:created>
  <dcterms:modified xsi:type="dcterms:W3CDTF">2019-12-05T20:42:31Z</dcterms:modified>
</cp:coreProperties>
</file>